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A7B6F">
      <w:pPr>
        <w:spacing w:line="258" w:lineRule="auto"/>
        <w:jc w:val="both"/>
        <w:rPr>
          <w:rFonts w:eastAsia="宋体"/>
          <w:color w:val="000000"/>
          <w:highlight w:val="none"/>
        </w:rPr>
      </w:pPr>
    </w:p>
    <w:p w14:paraId="10A6C968">
      <w:pPr>
        <w:spacing w:line="258" w:lineRule="auto"/>
        <w:jc w:val="both"/>
        <w:rPr>
          <w:color w:val="000000"/>
          <w:highlight w:val="none"/>
        </w:rPr>
      </w:pPr>
    </w:p>
    <w:p w14:paraId="7AD3CB03">
      <w:pPr>
        <w:spacing w:line="258" w:lineRule="auto"/>
        <w:jc w:val="both"/>
        <w:rPr>
          <w:color w:val="000000"/>
          <w:highlight w:val="none"/>
        </w:rPr>
      </w:pPr>
    </w:p>
    <w:p w14:paraId="6EA21D8A">
      <w:pPr>
        <w:spacing w:line="258" w:lineRule="auto"/>
        <w:jc w:val="both"/>
        <w:rPr>
          <w:color w:val="000000"/>
          <w:highlight w:val="none"/>
        </w:rPr>
      </w:pPr>
    </w:p>
    <w:p w14:paraId="72568425">
      <w:pPr>
        <w:spacing w:line="259" w:lineRule="auto"/>
        <w:jc w:val="both"/>
        <w:rPr>
          <w:color w:val="000000"/>
          <w:highlight w:val="none"/>
        </w:rPr>
      </w:pPr>
    </w:p>
    <w:p w14:paraId="38A66C5C">
      <w:pPr>
        <w:spacing w:line="259" w:lineRule="auto"/>
        <w:jc w:val="both"/>
        <w:rPr>
          <w:color w:val="000000"/>
          <w:highlight w:val="none"/>
        </w:rPr>
      </w:pPr>
    </w:p>
    <w:p w14:paraId="15A811AE">
      <w:pPr>
        <w:pStyle w:val="17"/>
        <w:jc w:val="center"/>
        <w:rPr>
          <w:rFonts w:ascii="方正小标宋简体" w:hAnsi="宋体" w:eastAsia="方正小标宋简体" w:cs="Times New Roman"/>
          <w:snapToGrid/>
          <w:color w:val="000000"/>
          <w:kern w:val="2"/>
          <w:sz w:val="52"/>
          <w:szCs w:val="52"/>
          <w:highlight w:val="none"/>
        </w:rPr>
      </w:pPr>
      <w:r>
        <w:rPr>
          <w:rFonts w:hint="eastAsia" w:ascii="方正小标宋简体" w:hAnsi="宋体" w:eastAsia="方正小标宋简体" w:cs="Times New Roman"/>
          <w:snapToGrid/>
          <w:color w:val="000000"/>
          <w:kern w:val="2"/>
          <w:sz w:val="52"/>
          <w:szCs w:val="52"/>
          <w:highlight w:val="none"/>
        </w:rPr>
        <w:t>绍兴市房屋建筑和市政基础设施货物</w:t>
      </w:r>
    </w:p>
    <w:p w14:paraId="45B7D784">
      <w:pPr>
        <w:widowControl w:val="0"/>
        <w:kinsoku/>
        <w:autoSpaceDE/>
        <w:autoSpaceDN/>
        <w:adjustRightInd/>
        <w:snapToGrid/>
        <w:jc w:val="center"/>
        <w:textAlignment w:val="auto"/>
        <w:rPr>
          <w:rFonts w:ascii="方正小标宋简体" w:hAnsi="宋体" w:eastAsia="方正小标宋简体" w:cs="Times New Roman"/>
          <w:snapToGrid/>
          <w:color w:val="000000"/>
          <w:kern w:val="2"/>
          <w:sz w:val="52"/>
          <w:szCs w:val="52"/>
          <w:highlight w:val="none"/>
        </w:rPr>
      </w:pPr>
      <w:r>
        <w:rPr>
          <w:rFonts w:hint="eastAsia" w:ascii="方正小标宋简体" w:hAnsi="宋体" w:eastAsia="方正小标宋简体" w:cs="Times New Roman"/>
          <w:snapToGrid/>
          <w:color w:val="000000"/>
          <w:kern w:val="2"/>
          <w:sz w:val="52"/>
          <w:szCs w:val="52"/>
          <w:highlight w:val="none"/>
        </w:rPr>
        <w:t>招标文件</w:t>
      </w:r>
    </w:p>
    <w:p w14:paraId="59CABB2B">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D0E8711">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0AACB47">
      <w:pPr>
        <w:pStyle w:val="9"/>
        <w:rPr>
          <w:rFonts w:eastAsia="宋体"/>
          <w:color w:val="000000"/>
          <w:highlight w:val="none"/>
        </w:rPr>
      </w:pPr>
    </w:p>
    <w:p w14:paraId="29F1D064">
      <w:pPr>
        <w:widowControl w:val="0"/>
        <w:kinsoku/>
        <w:autoSpaceDE/>
        <w:autoSpaceDN/>
        <w:adjustRightInd/>
        <w:snapToGrid/>
        <w:jc w:val="center"/>
        <w:textAlignment w:val="auto"/>
        <w:rPr>
          <w:rFonts w:hint="default" w:ascii="宋体" w:hAnsi="宋体" w:eastAsia="宋体" w:cs="Times New Roman"/>
          <w:snapToGrid/>
          <w:color w:val="000000"/>
          <w:kern w:val="2"/>
          <w:sz w:val="48"/>
          <w:szCs w:val="48"/>
          <w:highlight w:val="none"/>
          <w:lang w:val="en-US" w:eastAsia="zh-CN"/>
        </w:rPr>
      </w:pPr>
      <w:r>
        <w:rPr>
          <w:rFonts w:hint="eastAsia" w:ascii="宋体" w:hAnsi="宋体" w:eastAsia="宋体" w:cs="Times New Roman"/>
          <w:snapToGrid/>
          <w:color w:val="000000"/>
          <w:kern w:val="2"/>
          <w:sz w:val="48"/>
          <w:szCs w:val="48"/>
          <w:highlight w:val="none"/>
        </w:rPr>
        <w:t>（2024-01版）20241</w:t>
      </w:r>
      <w:r>
        <w:rPr>
          <w:rFonts w:hint="eastAsia" w:ascii="宋体" w:hAnsi="宋体" w:eastAsia="宋体" w:cs="Times New Roman"/>
          <w:snapToGrid/>
          <w:color w:val="000000"/>
          <w:kern w:val="2"/>
          <w:sz w:val="48"/>
          <w:szCs w:val="48"/>
          <w:highlight w:val="none"/>
          <w:lang w:val="en-US" w:eastAsia="zh-CN"/>
        </w:rPr>
        <w:t>205</w:t>
      </w:r>
    </w:p>
    <w:p w14:paraId="77E85995">
      <w:pPr>
        <w:widowControl w:val="0"/>
        <w:kinsoku/>
        <w:autoSpaceDE/>
        <w:autoSpaceDN/>
        <w:adjustRightInd/>
        <w:snapToGrid/>
        <w:jc w:val="center"/>
        <w:textAlignment w:val="auto"/>
        <w:rPr>
          <w:rFonts w:ascii="宋体" w:hAnsi="宋体" w:eastAsia="宋体" w:cs="Times New Roman"/>
          <w:snapToGrid/>
          <w:color w:val="000000"/>
          <w:kern w:val="2"/>
          <w:sz w:val="48"/>
          <w:szCs w:val="48"/>
          <w:highlight w:val="none"/>
        </w:rPr>
      </w:pPr>
    </w:p>
    <w:p w14:paraId="6B3B7C68">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5B8969C2">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E8CB452">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A381B3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4D7EFA27">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2ACDB357">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3FFECBC">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0B56C80D">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729066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2BDFB5EB">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7470A241">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F6AF2C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A659422">
      <w:pPr>
        <w:widowControl w:val="0"/>
        <w:tabs>
          <w:tab w:val="left" w:pos="6627"/>
        </w:tabs>
        <w:kinsoku/>
        <w:autoSpaceDE/>
        <w:autoSpaceDN/>
        <w:adjustRightInd/>
        <w:snapToGrid/>
        <w:textAlignment w:val="auto"/>
        <w:rPr>
          <w:rFonts w:ascii="宋体" w:hAnsi="Times New Roman" w:eastAsia="宋体" w:cs="Times New Roman"/>
          <w:b/>
          <w:snapToGrid/>
          <w:color w:val="000000"/>
          <w:kern w:val="2"/>
          <w:sz w:val="32"/>
          <w:szCs w:val="24"/>
          <w:highlight w:val="none"/>
        </w:rPr>
      </w:pPr>
      <w:r>
        <w:rPr>
          <w:rFonts w:hint="eastAsia" w:ascii="宋体" w:hAnsi="Times New Roman" w:eastAsia="宋体" w:cs="Times New Roman"/>
          <w:b/>
          <w:snapToGrid/>
          <w:color w:val="000000"/>
          <w:kern w:val="2"/>
          <w:sz w:val="32"/>
          <w:szCs w:val="24"/>
          <w:highlight w:val="none"/>
        </w:rPr>
        <w:tab/>
      </w:r>
    </w:p>
    <w:p w14:paraId="549C44C4">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77A0578">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595BEEFD">
      <w:pPr>
        <w:widowControl w:val="0"/>
        <w:kinsoku/>
        <w:autoSpaceDE/>
        <w:autoSpaceDN/>
        <w:adjustRightInd/>
        <w:snapToGrid/>
        <w:jc w:val="center"/>
        <w:textAlignment w:val="auto"/>
        <w:rPr>
          <w:rFonts w:ascii="宋体" w:hAnsi="Times New Roman" w:eastAsia="宋体" w:cs="Times New Roman"/>
          <w:b/>
          <w:snapToGrid/>
          <w:color w:val="000000"/>
          <w:kern w:val="2"/>
          <w:sz w:val="44"/>
          <w:szCs w:val="44"/>
          <w:highlight w:val="none"/>
        </w:rPr>
      </w:pPr>
      <w:r>
        <w:rPr>
          <w:rFonts w:hint="eastAsia" w:ascii="宋体" w:hAnsi="Times New Roman" w:eastAsia="宋体" w:cs="Times New Roman"/>
          <w:b/>
          <w:snapToGrid/>
          <w:color w:val="000000"/>
          <w:kern w:val="2"/>
          <w:sz w:val="44"/>
          <w:szCs w:val="44"/>
          <w:highlight w:val="none"/>
        </w:rPr>
        <w:t>绍兴市政务服务办公室</w:t>
      </w:r>
    </w:p>
    <w:p w14:paraId="18BE0683">
      <w:pPr>
        <w:pStyle w:val="9"/>
        <w:rPr>
          <w:rFonts w:eastAsia="宋体"/>
          <w:color w:val="000000"/>
          <w:highlight w:val="none"/>
        </w:rPr>
      </w:pPr>
    </w:p>
    <w:p w14:paraId="7363F6FE">
      <w:pPr>
        <w:pStyle w:val="9"/>
        <w:jc w:val="center"/>
        <w:rPr>
          <w:color w:val="000000"/>
          <w:highlight w:val="none"/>
        </w:rPr>
        <w:sectPr>
          <w:footerReference r:id="rId3" w:type="default"/>
          <w:pgSz w:w="11906" w:h="16839"/>
          <w:pgMar w:top="1417" w:right="1559" w:bottom="1417" w:left="1474" w:header="1134" w:footer="1134" w:gutter="0"/>
          <w:pgNumType w:fmt="decimal"/>
          <w:cols w:space="720" w:num="1"/>
        </w:sectPr>
      </w:pPr>
      <w:r>
        <w:rPr>
          <w:rFonts w:hint="eastAsia" w:ascii="宋体"/>
          <w:b/>
          <w:color w:val="000000"/>
          <w:sz w:val="44"/>
          <w:szCs w:val="44"/>
          <w:highlight w:val="none"/>
        </w:rPr>
        <w:t>二〇二</w:t>
      </w:r>
      <w:r>
        <w:rPr>
          <w:rFonts w:hint="eastAsia" w:ascii="宋体" w:hAnsi="宋体" w:eastAsia="宋体"/>
          <w:b/>
          <w:color w:val="000000"/>
          <w:sz w:val="44"/>
          <w:szCs w:val="44"/>
          <w:highlight w:val="none"/>
        </w:rPr>
        <w:t>四</w:t>
      </w:r>
      <w:r>
        <w:rPr>
          <w:rFonts w:hint="eastAsia" w:ascii="宋体"/>
          <w:b/>
          <w:color w:val="000000"/>
          <w:sz w:val="44"/>
          <w:szCs w:val="44"/>
          <w:highlight w:val="none"/>
        </w:rPr>
        <w:t>年一月</w:t>
      </w:r>
    </w:p>
    <w:p w14:paraId="57EF3D27">
      <w:pPr>
        <w:spacing w:before="336" w:line="225" w:lineRule="auto"/>
        <w:ind w:left="3317"/>
        <w:jc w:val="both"/>
        <w:rPr>
          <w:rFonts w:ascii="黑体" w:hAnsi="黑体" w:eastAsia="黑体" w:cs="黑体"/>
          <w:color w:val="000000"/>
          <w:sz w:val="43"/>
          <w:szCs w:val="43"/>
          <w:highlight w:val="none"/>
        </w:rPr>
      </w:pPr>
      <w:r>
        <w:rPr>
          <w:rFonts w:ascii="黑体" w:hAnsi="黑体" w:eastAsia="黑体" w:cs="黑体"/>
          <w:color w:val="000000"/>
          <w:sz w:val="43"/>
          <w:szCs w:val="43"/>
          <w:highlight w:val="none"/>
        </w:rPr>
        <w:t>使用指南</w:t>
      </w:r>
    </w:p>
    <w:p w14:paraId="61CC937B">
      <w:pPr>
        <w:spacing w:line="334" w:lineRule="auto"/>
        <w:jc w:val="both"/>
        <w:rPr>
          <w:color w:val="000000"/>
          <w:highlight w:val="none"/>
        </w:rPr>
      </w:pPr>
    </w:p>
    <w:p w14:paraId="67344E3F">
      <w:pPr>
        <w:spacing w:line="440" w:lineRule="exact"/>
        <w:jc w:val="both"/>
        <w:rPr>
          <w:rFonts w:ascii="宋体" w:hAnsi="宋体" w:eastAsia="宋体" w:cs="宋体"/>
          <w:color w:val="000000"/>
          <w:sz w:val="24"/>
          <w:szCs w:val="24"/>
          <w:highlight w:val="none"/>
        </w:rPr>
      </w:pPr>
      <w:r>
        <w:rPr>
          <w:rFonts w:ascii="宋体" w:hAnsi="宋体" w:eastAsia="宋体" w:cs="宋体"/>
          <w:color w:val="000000"/>
          <w:position w:val="2"/>
          <w:sz w:val="24"/>
          <w:szCs w:val="24"/>
          <w:highlight w:val="none"/>
        </w:rPr>
        <w:t>一、总体要求</w:t>
      </w:r>
    </w:p>
    <w:p w14:paraId="69E94D4A">
      <w:pPr>
        <w:spacing w:line="440" w:lineRule="exact"/>
        <w:ind w:firstLine="496"/>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1.适用范围。</w:t>
      </w:r>
      <w:r>
        <w:rPr>
          <w:rFonts w:hint="eastAsia" w:ascii="宋体" w:hAnsi="宋体" w:eastAsia="宋体" w:cs="宋体"/>
          <w:color w:val="000000"/>
          <w:sz w:val="24"/>
          <w:szCs w:val="24"/>
          <w:highlight w:val="none"/>
        </w:rPr>
        <w:t>绍兴市行政区域内依法必须招标的</w:t>
      </w:r>
      <w:r>
        <w:rPr>
          <w:rFonts w:ascii="宋体" w:hAnsi="宋体" w:eastAsia="宋体" w:cs="宋体"/>
          <w:color w:val="000000"/>
          <w:sz w:val="24"/>
          <w:szCs w:val="24"/>
          <w:highlight w:val="none"/>
        </w:rPr>
        <w:t>建设项目的货物类项目招标，招标人应使用本范本编制招标文件。</w:t>
      </w:r>
    </w:p>
    <w:p w14:paraId="4847D2DC">
      <w:pPr>
        <w:spacing w:line="440" w:lineRule="exact"/>
        <w:ind w:firstLine="481"/>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2.括号加斜体字部分为提示性内容，招标人选择或填写相关内容后，在定稿的招标文件中应删除。</w:t>
      </w:r>
    </w:p>
    <w:p w14:paraId="295E7DBA">
      <w:pPr>
        <w:spacing w:line="440" w:lineRule="exact"/>
        <w:ind w:firstLine="46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3.以“□”前缀部分为选择性内容，在定稿的招标文件中招标人应删除未选择的内容。</w:t>
      </w:r>
    </w:p>
    <w:p w14:paraId="37A60A57">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4.下划线和投标人须知前附表空格部分，由招标人根据招标项目实际情况和国家有关法律法规规定进行填写，文字应采用斜体字；确实不需要填写具体内容的，用“/”标示。</w:t>
      </w:r>
    </w:p>
    <w:p w14:paraId="441E942F">
      <w:pPr>
        <w:spacing w:line="440" w:lineRule="exact"/>
        <w:ind w:firstLine="47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5.除可选择部分和下划线部分由招标人根据以上2、3、4</w:t>
      </w:r>
      <w:r>
        <w:rPr>
          <w:rFonts w:hint="eastAsia" w:ascii="宋体" w:hAnsi="宋体" w:eastAsia="宋体" w:cs="宋体"/>
          <w:color w:val="000000"/>
          <w:sz w:val="24"/>
          <w:szCs w:val="24"/>
          <w:highlight w:val="none"/>
        </w:rPr>
        <w:t>三</w:t>
      </w:r>
      <w:r>
        <w:rPr>
          <w:rFonts w:ascii="宋体" w:hAnsi="宋体" w:eastAsia="宋体" w:cs="宋体"/>
          <w:color w:val="000000"/>
          <w:sz w:val="24"/>
          <w:szCs w:val="24"/>
          <w:highlight w:val="none"/>
        </w:rPr>
        <w:t>项进行选择或填写外，其他文字不得改动。</w:t>
      </w:r>
    </w:p>
    <w:p w14:paraId="2B78D86B">
      <w:pPr>
        <w:spacing w:line="440" w:lineRule="exact"/>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二、招标公告部分</w:t>
      </w:r>
    </w:p>
    <w:p w14:paraId="2D50A680">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(一)招标项目基本信息</w:t>
      </w:r>
    </w:p>
    <w:p w14:paraId="19F9695F">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1.项目名称、文号。应与项目工可批复或初步设计批复</w:t>
      </w:r>
      <w:r>
        <w:rPr>
          <w:rFonts w:hint="eastAsia" w:ascii="宋体" w:hAnsi="宋体" w:eastAsia="宋体" w:cs="宋体"/>
          <w:color w:val="000000"/>
          <w:sz w:val="24"/>
          <w:szCs w:val="24"/>
          <w:highlight w:val="none"/>
        </w:rPr>
        <w:t>或企业信息赋码表中</w:t>
      </w:r>
      <w:r>
        <w:rPr>
          <w:rFonts w:ascii="宋体" w:hAnsi="宋体" w:eastAsia="宋体" w:cs="宋体"/>
          <w:color w:val="000000"/>
          <w:sz w:val="24"/>
          <w:szCs w:val="24"/>
          <w:highlight w:val="none"/>
        </w:rPr>
        <w:t>内容一致。</w:t>
      </w:r>
    </w:p>
    <w:p w14:paraId="11FF906C">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2.项目建设规模。应与工可批复或初步设计批复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中内容一致，主要包括建筑面积、总投资等内容。</w:t>
      </w:r>
    </w:p>
    <w:p w14:paraId="3AE86BA0">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3.建设地址、建成时间、资金来源、投资比例。按工可批复或初步设计批复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内容填写。</w:t>
      </w:r>
    </w:p>
    <w:p w14:paraId="532F2FBA">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4.项目业主。即本招标项目的法人。</w:t>
      </w:r>
    </w:p>
    <w:p w14:paraId="53C61526">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5.招标人。为组织项目招标活动的主体。</w:t>
      </w:r>
    </w:p>
    <w:p w14:paraId="533C7D7C">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6.代理机构。为本次招标提供招标代理服务的机构，自行招标的，括号内的代理内容应删除。</w:t>
      </w:r>
    </w:p>
    <w:p w14:paraId="4EC3EB2F">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7.标段名称。招标人应合理划分标段，标段名称应恰当反映本次招标内容。</w:t>
      </w:r>
    </w:p>
    <w:p w14:paraId="141DECCA">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(二)本次招标内容</w:t>
      </w:r>
    </w:p>
    <w:p w14:paraId="55394BAD">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1.本次招标内容。尽可能详细说明本次招标项目的招标范围、内容、规模、服务要求等</w:t>
      </w:r>
      <w:r>
        <w:rPr>
          <w:rFonts w:hint="eastAsia" w:ascii="宋体" w:hAnsi="宋体" w:eastAsia="宋体" w:cs="宋体"/>
          <w:color w:val="000000"/>
          <w:sz w:val="24"/>
          <w:szCs w:val="24"/>
          <w:highlight w:val="none"/>
        </w:rPr>
        <w:t>。</w:t>
      </w:r>
    </w:p>
    <w:p w14:paraId="3A2B92A1">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2.估算(或概算)造价。应根据工可批复或初步设计批复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内容填写本次招标范围的服务费用造价，批复汇总表不能反映本次招标的估算(或概算)造价的，应根据经批准的估算(或概算)详细文件汇总计算。</w:t>
      </w:r>
    </w:p>
    <w:p w14:paraId="56712BBB">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(三)投标资格条件、要求</w:t>
      </w:r>
    </w:p>
    <w:p w14:paraId="508FC267">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1.企业资格要求。根据本次招标内容，设置投标人资格要求。</w:t>
      </w:r>
    </w:p>
    <w:p w14:paraId="1268B83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2.联合体。根据本次招标的实际情况进行约定。</w:t>
      </w:r>
    </w:p>
    <w:p w14:paraId="4B16384D">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3.无行贿犯罪记录。查询的时间区间为投标截止之日上溯不少于三年。投标人不必提供外证或自证材料，由招标人在定标前在中国裁判文书网查询。</w:t>
      </w:r>
    </w:p>
    <w:p w14:paraId="43A96001">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25C1099">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(四)招标文件的获取</w:t>
      </w:r>
    </w:p>
    <w:p w14:paraId="255BCAA3">
      <w:pPr>
        <w:spacing w:line="440" w:lineRule="exact"/>
        <w:ind w:firstLine="496"/>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1.网上下载时间。</w:t>
      </w:r>
      <w:r>
        <w:rPr>
          <w:rFonts w:hint="eastAsia" w:ascii="宋体" w:hAnsi="宋体" w:eastAsia="宋体" w:cs="宋体"/>
          <w:color w:val="000000"/>
          <w:sz w:val="24"/>
          <w:szCs w:val="24"/>
          <w:highlight w:val="none"/>
        </w:rPr>
        <w:t>招标人应在招标公告及招标文件中明确招标文件发售方式及时间，发售期不得少于5日。</w:t>
      </w:r>
      <w:r>
        <w:rPr>
          <w:rFonts w:ascii="宋体" w:hAnsi="宋体" w:eastAsia="宋体" w:cs="宋体"/>
          <w:color w:val="000000"/>
          <w:sz w:val="24"/>
          <w:szCs w:val="24"/>
          <w:highlight w:val="none"/>
        </w:rPr>
        <w:t>截止时间如遇国家法定休假日的，应顺延至法定休假日后的第一个工作日。</w:t>
      </w:r>
    </w:p>
    <w:p w14:paraId="2C98D12D">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2.</w:t>
      </w:r>
      <w:r>
        <w:rPr>
          <w:rFonts w:hint="eastAsia" w:ascii="宋体" w:hAnsi="宋体" w:eastAsia="宋体" w:cs="宋体"/>
          <w:color w:val="000000"/>
          <w:position w:val="1"/>
          <w:sz w:val="24"/>
          <w:szCs w:val="24"/>
          <w:highlight w:val="none"/>
        </w:rPr>
        <w:t>疑问提交时间。由招标人依法设定，具体时间应充分考虑投标人获取、阅读招标文件、提出疑问的时间，同时要为答疑预留一定的时间。</w:t>
      </w:r>
    </w:p>
    <w:p w14:paraId="12882D6E">
      <w:pPr>
        <w:spacing w:line="440" w:lineRule="exact"/>
        <w:ind w:firstLine="473"/>
        <w:jc w:val="both"/>
        <w:rPr>
          <w:color w:val="000000"/>
          <w:sz w:val="24"/>
          <w:szCs w:val="24"/>
          <w:highlight w:val="none"/>
        </w:rPr>
      </w:pPr>
      <w:r>
        <w:rPr>
          <w:rFonts w:ascii="宋体" w:hAnsi="宋体" w:eastAsia="宋体" w:cs="宋体"/>
          <w:color w:val="000000"/>
          <w:sz w:val="24"/>
          <w:szCs w:val="24"/>
          <w:highlight w:val="none"/>
        </w:rPr>
        <w:t>3.补充(答疑、澄清)招标文件发布日期。为招标人最迟可能发出补充文件的时间，充分考虑在投标截止时间前可能发生的变化。</w:t>
      </w:r>
    </w:p>
    <w:p w14:paraId="559F7074">
      <w:pPr>
        <w:spacing w:line="440" w:lineRule="exact"/>
        <w:ind w:firstLine="479"/>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4.投标截止时间。</w:t>
      </w:r>
      <w:r>
        <w:rPr>
          <w:rFonts w:hint="eastAsia" w:ascii="宋体" w:hAnsi="宋体" w:eastAsia="宋体" w:cs="宋体"/>
          <w:color w:val="000000"/>
          <w:sz w:val="24"/>
          <w:szCs w:val="24"/>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78BB4C90">
      <w:pPr>
        <w:pStyle w:val="59"/>
        <w:spacing w:line="42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3D06F38A">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三、投标人须知前附表部分</w:t>
      </w:r>
    </w:p>
    <w:p w14:paraId="68FCDC62">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1.条款号1.1.2—1.2.2。与招标公告相关内容填写一致。</w:t>
      </w:r>
    </w:p>
    <w:p w14:paraId="18D080D9">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2.招标范围。应与招标公告中招标内容一致，具体描述可详见公告。</w:t>
      </w:r>
    </w:p>
    <w:p w14:paraId="5E7FA498">
      <w:pPr>
        <w:keepNext w:val="0"/>
        <w:keepLines w:val="0"/>
        <w:pageBreakBefore w:val="0"/>
        <w:widowControl w:val="0"/>
        <w:kinsoku w:val="0"/>
        <w:wordWrap/>
        <w:overflowPunct/>
        <w:topLinePunct w:val="0"/>
        <w:autoSpaceDE w:val="0"/>
        <w:autoSpaceDN w:val="0"/>
        <w:bidi w:val="0"/>
        <w:adjustRightInd w:val="0"/>
        <w:snapToGrid w:val="0"/>
        <w:spacing w:line="440" w:lineRule="exact"/>
        <w:ind w:left="0" w:leftChars="0" w:firstLine="420" w:firstLineChars="0"/>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3.交货期。交货期应满足招标的要求，并应当允许投标人提出优于交货期的投标承诺。</w:t>
      </w:r>
    </w:p>
    <w:p w14:paraId="3CB3891A">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80"/>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4.条款号1.4.1-2.2.1。根据本次招标的具体情况和要求，按示范文本提示内容选择或填写。</w:t>
      </w:r>
    </w:p>
    <w:p w14:paraId="16BDCB4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5.投标截止时间。</w:t>
      </w:r>
      <w:r>
        <w:rPr>
          <w:rFonts w:hint="eastAsia" w:ascii="宋体" w:hAnsi="宋体" w:eastAsia="宋体" w:cs="宋体"/>
          <w:color w:val="000000"/>
          <w:position w:val="1"/>
          <w:sz w:val="24"/>
          <w:szCs w:val="24"/>
          <w:highlight w:val="none"/>
        </w:rPr>
        <w:t>应与招标公告规定的投标截止时间一致。</w:t>
      </w:r>
      <w:r>
        <w:rPr>
          <w:rFonts w:ascii="宋体" w:hAnsi="宋体" w:eastAsia="宋体" w:cs="宋体"/>
          <w:color w:val="000000"/>
          <w:position w:val="1"/>
          <w:sz w:val="24"/>
          <w:szCs w:val="24"/>
          <w:highlight w:val="none"/>
        </w:rPr>
        <w:t>。</w:t>
      </w:r>
    </w:p>
    <w:p w14:paraId="3F1B2BB8">
      <w:pPr>
        <w:spacing w:line="440" w:lineRule="exact"/>
        <w:ind w:firstLine="482"/>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163D6142">
      <w:pPr>
        <w:spacing w:line="440" w:lineRule="exact"/>
        <w:ind w:firstLine="484"/>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6B3B24E2">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79581B83">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9.招标人根据实际情况需要补充的其他内容，应集中在第10.4条。</w:t>
      </w:r>
    </w:p>
    <w:p w14:paraId="6E6A41A9">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四、评标办法部分</w:t>
      </w:r>
    </w:p>
    <w:p w14:paraId="2AC40F13">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0D76D946">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0786219D">
      <w:pPr>
        <w:spacing w:line="440" w:lineRule="exact"/>
        <w:ind w:firstLine="480" w:firstLineChars="200"/>
        <w:jc w:val="both"/>
        <w:rPr>
          <w:rFonts w:ascii="宋体" w:hAnsi="宋体" w:eastAsia="宋体" w:cs="宋体"/>
          <w:color w:val="000000"/>
          <w:sz w:val="24"/>
          <w:szCs w:val="24"/>
          <w:highlight w:val="none"/>
        </w:rPr>
      </w:pPr>
      <w:r>
        <w:rPr>
          <w:rFonts w:hint="eastAsia" w:ascii="宋体" w:hAnsi="宋体" w:cs="宋体"/>
          <w:color w:val="000000"/>
          <w:sz w:val="24"/>
          <w:szCs w:val="24"/>
          <w:highlight w:val="none"/>
        </w:rPr>
        <w:t>使用的电子招标工具应及时更新，并选择与本项目相匹配的招标工具模式（如：评标办法、电子标书递交方式等）。</w:t>
      </w:r>
    </w:p>
    <w:p w14:paraId="0D8F25B5">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五、合同文本部分</w:t>
      </w:r>
    </w:p>
    <w:p w14:paraId="1D7D4C8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合同条款与格式由招标人根据项目实际提供。建议采用国家或行业的示范文本。</w:t>
      </w:r>
    </w:p>
    <w:p w14:paraId="471820FC">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六、相关表单部分</w:t>
      </w:r>
    </w:p>
    <w:p w14:paraId="563B0581">
      <w:pPr>
        <w:spacing w:line="440" w:lineRule="exact"/>
        <w:ind w:firstLine="46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投标人前附表设置了“实质性响应招标文件及评审打分资料”栏，在相关表单中无需再设强制性审查表单，以避免前后不一致。</w:t>
      </w:r>
    </w:p>
    <w:p w14:paraId="2C3688F4">
      <w:pPr>
        <w:jc w:val="both"/>
        <w:rPr>
          <w:color w:val="000000"/>
          <w:highlight w:val="none"/>
        </w:rPr>
        <w:sectPr>
          <w:pgSz w:w="11906" w:h="16839"/>
          <w:pgMar w:top="1417" w:right="1559" w:bottom="1417" w:left="1474" w:header="1134" w:footer="1134" w:gutter="0"/>
          <w:pgNumType w:fmt="decimal"/>
          <w:cols w:space="720" w:num="1"/>
        </w:sectPr>
      </w:pPr>
    </w:p>
    <w:p w14:paraId="479D5CEA">
      <w:pPr>
        <w:spacing w:line="245" w:lineRule="auto"/>
        <w:jc w:val="both"/>
        <w:rPr>
          <w:color w:val="000000"/>
          <w:highlight w:val="none"/>
        </w:rPr>
      </w:pPr>
    </w:p>
    <w:p w14:paraId="33276D5C">
      <w:pPr>
        <w:spacing w:line="245" w:lineRule="auto"/>
        <w:jc w:val="both"/>
        <w:rPr>
          <w:rFonts w:eastAsia="宋体"/>
          <w:color w:val="000000"/>
          <w:highlight w:val="none"/>
        </w:rPr>
      </w:pPr>
    </w:p>
    <w:p w14:paraId="12DEDEB9">
      <w:pPr>
        <w:pStyle w:val="11"/>
        <w:jc w:val="both"/>
        <w:rPr>
          <w:color w:val="000000"/>
          <w:highlight w:val="none"/>
        </w:rPr>
      </w:pPr>
    </w:p>
    <w:p w14:paraId="3B454A26">
      <w:pPr>
        <w:tabs>
          <w:tab w:val="left" w:pos="2909"/>
        </w:tabs>
        <w:spacing w:before="114" w:line="227" w:lineRule="auto"/>
        <w:ind w:left="0" w:leftChars="0" w:firstLine="0" w:firstLineChars="0"/>
        <w:jc w:val="center"/>
        <w:rPr>
          <w:rFonts w:ascii="黑体" w:hAnsi="黑体" w:eastAsia="黑体" w:cs="黑体"/>
          <w:color w:val="000000"/>
          <w:sz w:val="35"/>
          <w:szCs w:val="35"/>
          <w:highlight w:val="none"/>
        </w:rPr>
      </w:pPr>
      <w:r>
        <w:rPr>
          <w:rFonts w:hint="eastAsia" w:ascii="黑体" w:hAnsi="黑体" w:eastAsia="黑体" w:cs="黑体"/>
          <w:color w:val="000000"/>
          <w:sz w:val="35"/>
          <w:szCs w:val="35"/>
          <w:highlight w:val="none"/>
          <w:u w:val="single"/>
          <w:lang w:eastAsia="zh-CN"/>
        </w:rPr>
        <w:t>凤凰山高品质养老院建设工程电梯设备采购安装项目（重新招标）</w:t>
      </w:r>
      <w:r>
        <w:rPr>
          <w:rFonts w:ascii="黑体" w:hAnsi="黑体" w:eastAsia="黑体" w:cs="黑体"/>
          <w:color w:val="000000"/>
          <w:sz w:val="35"/>
          <w:szCs w:val="35"/>
          <w:highlight w:val="none"/>
        </w:rPr>
        <w:t>(项目名称)(货物)采购</w:t>
      </w:r>
    </w:p>
    <w:p w14:paraId="240DF2A0">
      <w:pPr>
        <w:spacing w:line="250" w:lineRule="auto"/>
        <w:jc w:val="both"/>
        <w:rPr>
          <w:color w:val="000000"/>
          <w:highlight w:val="none"/>
        </w:rPr>
      </w:pPr>
    </w:p>
    <w:p w14:paraId="05E4C7A3">
      <w:pPr>
        <w:spacing w:line="250" w:lineRule="auto"/>
        <w:jc w:val="both"/>
        <w:rPr>
          <w:color w:val="000000"/>
          <w:highlight w:val="none"/>
        </w:rPr>
      </w:pPr>
    </w:p>
    <w:p w14:paraId="358BDA74">
      <w:pPr>
        <w:spacing w:line="250" w:lineRule="auto"/>
        <w:jc w:val="both"/>
        <w:rPr>
          <w:color w:val="000000"/>
          <w:highlight w:val="none"/>
        </w:rPr>
      </w:pPr>
    </w:p>
    <w:p w14:paraId="29DCCE0E">
      <w:pPr>
        <w:spacing w:line="250" w:lineRule="auto"/>
        <w:jc w:val="both"/>
        <w:rPr>
          <w:rFonts w:eastAsia="宋体"/>
          <w:color w:val="000000"/>
          <w:highlight w:val="none"/>
        </w:rPr>
      </w:pPr>
    </w:p>
    <w:p w14:paraId="1613D70E">
      <w:pPr>
        <w:pStyle w:val="11"/>
        <w:jc w:val="both"/>
        <w:rPr>
          <w:color w:val="000000"/>
          <w:highlight w:val="none"/>
        </w:rPr>
      </w:pPr>
    </w:p>
    <w:p w14:paraId="12E366FD">
      <w:pPr>
        <w:pStyle w:val="12"/>
        <w:jc w:val="both"/>
        <w:rPr>
          <w:color w:val="000000"/>
          <w:spacing w:val="0"/>
          <w:highlight w:val="none"/>
        </w:rPr>
      </w:pPr>
    </w:p>
    <w:p w14:paraId="39344A66">
      <w:pPr>
        <w:pStyle w:val="12"/>
        <w:jc w:val="both"/>
        <w:rPr>
          <w:color w:val="000000"/>
          <w:spacing w:val="0"/>
          <w:highlight w:val="none"/>
        </w:rPr>
      </w:pPr>
    </w:p>
    <w:p w14:paraId="417C078D">
      <w:pPr>
        <w:spacing w:line="250" w:lineRule="auto"/>
        <w:jc w:val="both"/>
        <w:rPr>
          <w:color w:val="000000"/>
          <w:highlight w:val="none"/>
        </w:rPr>
      </w:pPr>
    </w:p>
    <w:p w14:paraId="7E9520EF">
      <w:pPr>
        <w:spacing w:line="250" w:lineRule="auto"/>
        <w:jc w:val="both"/>
        <w:rPr>
          <w:rFonts w:eastAsia="宋体"/>
          <w:color w:val="000000"/>
          <w:highlight w:val="none"/>
        </w:rPr>
      </w:pPr>
    </w:p>
    <w:p w14:paraId="4B17F90B">
      <w:pPr>
        <w:pStyle w:val="11"/>
        <w:jc w:val="both"/>
        <w:rPr>
          <w:color w:val="000000"/>
          <w:highlight w:val="none"/>
        </w:rPr>
      </w:pPr>
    </w:p>
    <w:p w14:paraId="580150DA">
      <w:pPr>
        <w:pStyle w:val="12"/>
        <w:jc w:val="both"/>
        <w:rPr>
          <w:color w:val="000000"/>
          <w:spacing w:val="0"/>
          <w:highlight w:val="none"/>
        </w:rPr>
      </w:pPr>
    </w:p>
    <w:p w14:paraId="5C176E94">
      <w:pPr>
        <w:pStyle w:val="12"/>
        <w:jc w:val="both"/>
        <w:rPr>
          <w:color w:val="000000"/>
          <w:spacing w:val="0"/>
          <w:highlight w:val="none"/>
        </w:rPr>
      </w:pPr>
    </w:p>
    <w:p w14:paraId="6EBC4F21">
      <w:pPr>
        <w:spacing w:line="250" w:lineRule="auto"/>
        <w:jc w:val="both"/>
        <w:rPr>
          <w:color w:val="000000"/>
          <w:highlight w:val="none"/>
        </w:rPr>
      </w:pPr>
    </w:p>
    <w:p w14:paraId="2284B5C7">
      <w:pPr>
        <w:spacing w:line="250" w:lineRule="auto"/>
        <w:jc w:val="both"/>
        <w:rPr>
          <w:color w:val="000000"/>
          <w:highlight w:val="none"/>
        </w:rPr>
      </w:pPr>
    </w:p>
    <w:p w14:paraId="0E31C7F1">
      <w:pPr>
        <w:spacing w:line="251" w:lineRule="auto"/>
        <w:jc w:val="both"/>
        <w:rPr>
          <w:color w:val="000000"/>
          <w:highlight w:val="none"/>
        </w:rPr>
      </w:pPr>
    </w:p>
    <w:p w14:paraId="067823BC">
      <w:pPr>
        <w:spacing w:before="231" w:line="224" w:lineRule="auto"/>
        <w:jc w:val="center"/>
        <w:rPr>
          <w:rFonts w:ascii="黑体" w:hAnsi="黑体" w:eastAsia="黑体" w:cs="黑体"/>
          <w:color w:val="000000"/>
          <w:sz w:val="71"/>
          <w:szCs w:val="71"/>
          <w:highlight w:val="none"/>
        </w:rPr>
      </w:pPr>
      <w:r>
        <w:rPr>
          <w:rFonts w:ascii="黑体" w:hAnsi="黑体" w:eastAsia="黑体" w:cs="黑体"/>
          <w:color w:val="000000"/>
          <w:sz w:val="71"/>
          <w:szCs w:val="71"/>
          <w:highlight w:val="none"/>
        </w:rPr>
        <w:t>招标文件</w:t>
      </w:r>
    </w:p>
    <w:p w14:paraId="06F26F4A">
      <w:pPr>
        <w:spacing w:line="247" w:lineRule="auto"/>
        <w:jc w:val="both"/>
        <w:rPr>
          <w:color w:val="000000"/>
          <w:highlight w:val="none"/>
        </w:rPr>
      </w:pPr>
    </w:p>
    <w:p w14:paraId="35556519">
      <w:pPr>
        <w:spacing w:line="247" w:lineRule="auto"/>
        <w:jc w:val="both"/>
        <w:rPr>
          <w:color w:val="000000"/>
          <w:highlight w:val="none"/>
        </w:rPr>
      </w:pPr>
    </w:p>
    <w:p w14:paraId="57F19438">
      <w:pPr>
        <w:spacing w:line="247" w:lineRule="auto"/>
        <w:jc w:val="both"/>
        <w:rPr>
          <w:color w:val="000000"/>
          <w:highlight w:val="none"/>
        </w:rPr>
      </w:pPr>
    </w:p>
    <w:p w14:paraId="6E907271">
      <w:pPr>
        <w:spacing w:line="247" w:lineRule="auto"/>
        <w:jc w:val="both"/>
        <w:rPr>
          <w:color w:val="000000"/>
          <w:highlight w:val="none"/>
        </w:rPr>
      </w:pPr>
    </w:p>
    <w:p w14:paraId="49EB4528">
      <w:pPr>
        <w:spacing w:line="247" w:lineRule="auto"/>
        <w:jc w:val="both"/>
        <w:rPr>
          <w:color w:val="000000"/>
          <w:highlight w:val="none"/>
        </w:rPr>
      </w:pPr>
    </w:p>
    <w:p w14:paraId="3F49412B">
      <w:pPr>
        <w:spacing w:line="247" w:lineRule="auto"/>
        <w:jc w:val="both"/>
        <w:rPr>
          <w:color w:val="000000"/>
          <w:highlight w:val="none"/>
        </w:rPr>
      </w:pPr>
    </w:p>
    <w:p w14:paraId="5A81636B">
      <w:pPr>
        <w:spacing w:line="248" w:lineRule="auto"/>
        <w:jc w:val="both"/>
        <w:rPr>
          <w:color w:val="000000"/>
          <w:highlight w:val="none"/>
        </w:rPr>
      </w:pPr>
    </w:p>
    <w:p w14:paraId="3C019E23">
      <w:pPr>
        <w:spacing w:line="248" w:lineRule="auto"/>
        <w:jc w:val="both"/>
        <w:rPr>
          <w:color w:val="000000"/>
          <w:highlight w:val="none"/>
        </w:rPr>
      </w:pPr>
    </w:p>
    <w:p w14:paraId="434031BE">
      <w:pPr>
        <w:spacing w:line="248" w:lineRule="auto"/>
        <w:jc w:val="both"/>
        <w:rPr>
          <w:color w:val="000000"/>
          <w:highlight w:val="none"/>
        </w:rPr>
      </w:pPr>
    </w:p>
    <w:p w14:paraId="0E2AB31B">
      <w:pPr>
        <w:spacing w:line="248" w:lineRule="auto"/>
        <w:jc w:val="both"/>
        <w:rPr>
          <w:color w:val="000000"/>
          <w:highlight w:val="none"/>
        </w:rPr>
      </w:pPr>
    </w:p>
    <w:p w14:paraId="006C5EFC">
      <w:pPr>
        <w:spacing w:line="248" w:lineRule="auto"/>
        <w:jc w:val="both"/>
        <w:rPr>
          <w:color w:val="000000"/>
          <w:highlight w:val="none"/>
        </w:rPr>
      </w:pPr>
    </w:p>
    <w:p w14:paraId="1C2537C2">
      <w:pPr>
        <w:spacing w:line="248" w:lineRule="auto"/>
        <w:jc w:val="both"/>
        <w:rPr>
          <w:color w:val="000000"/>
          <w:highlight w:val="none"/>
        </w:rPr>
      </w:pPr>
    </w:p>
    <w:p w14:paraId="0B56E273">
      <w:pPr>
        <w:spacing w:line="248" w:lineRule="auto"/>
        <w:jc w:val="both"/>
        <w:rPr>
          <w:color w:val="000000"/>
          <w:highlight w:val="none"/>
        </w:rPr>
      </w:pPr>
    </w:p>
    <w:p w14:paraId="7503735C">
      <w:pPr>
        <w:spacing w:line="248" w:lineRule="auto"/>
        <w:jc w:val="both"/>
        <w:rPr>
          <w:color w:val="000000"/>
          <w:highlight w:val="none"/>
        </w:rPr>
      </w:pPr>
    </w:p>
    <w:p w14:paraId="02037F1E">
      <w:pPr>
        <w:spacing w:line="248" w:lineRule="auto"/>
        <w:jc w:val="both"/>
        <w:rPr>
          <w:color w:val="000000"/>
          <w:highlight w:val="none"/>
        </w:rPr>
      </w:pPr>
    </w:p>
    <w:p w14:paraId="50BC5895">
      <w:pPr>
        <w:spacing w:line="248" w:lineRule="auto"/>
        <w:jc w:val="both"/>
        <w:rPr>
          <w:color w:val="000000"/>
          <w:highlight w:val="none"/>
        </w:rPr>
      </w:pPr>
    </w:p>
    <w:p w14:paraId="3CC06291">
      <w:pPr>
        <w:spacing w:line="248" w:lineRule="auto"/>
        <w:jc w:val="both"/>
        <w:rPr>
          <w:color w:val="000000"/>
          <w:highlight w:val="none"/>
        </w:rPr>
      </w:pPr>
    </w:p>
    <w:p w14:paraId="621C4791">
      <w:pPr>
        <w:spacing w:line="248" w:lineRule="auto"/>
        <w:jc w:val="both"/>
        <w:rPr>
          <w:color w:val="000000"/>
          <w:highlight w:val="none"/>
        </w:rPr>
      </w:pPr>
    </w:p>
    <w:p w14:paraId="3035AF6F">
      <w:pPr>
        <w:spacing w:line="248" w:lineRule="auto"/>
        <w:jc w:val="both"/>
        <w:rPr>
          <w:color w:val="000000"/>
          <w:highlight w:val="none"/>
        </w:rPr>
      </w:pPr>
    </w:p>
    <w:p w14:paraId="7FF3ACC4">
      <w:pPr>
        <w:spacing w:before="100" w:line="372" w:lineRule="auto"/>
        <w:jc w:val="center"/>
        <w:rPr>
          <w:rFonts w:hint="eastAsia" w:ascii="黑体" w:hAnsi="黑体" w:eastAsia="黑体" w:cs="黑体"/>
          <w:color w:val="auto"/>
          <w:sz w:val="30"/>
          <w:szCs w:val="30"/>
          <w:highlight w:val="none"/>
        </w:rPr>
      </w:pPr>
      <w:r>
        <w:rPr>
          <w:rFonts w:ascii="黑体" w:hAnsi="黑体" w:eastAsia="黑体" w:cs="黑体"/>
          <w:color w:val="auto"/>
          <w:sz w:val="30"/>
          <w:szCs w:val="30"/>
          <w:highlight w:val="none"/>
        </w:rPr>
        <w:t>招标人：</w:t>
      </w:r>
      <w:r>
        <w:rPr>
          <w:rFonts w:hint="eastAsia" w:ascii="黑体" w:hAnsi="黑体" w:eastAsia="黑体" w:cs="黑体"/>
          <w:color w:val="auto"/>
          <w:sz w:val="30"/>
          <w:szCs w:val="30"/>
          <w:highlight w:val="none"/>
          <w:u w:val="single"/>
        </w:rPr>
        <w:t>中建三局集团有限公司、绍兴城建市政建设有限公司</w:t>
      </w:r>
      <w:r>
        <w:rPr>
          <w:rFonts w:ascii="黑体" w:hAnsi="黑体" w:eastAsia="黑体" w:cs="黑体"/>
          <w:color w:val="auto"/>
          <w:sz w:val="30"/>
          <w:szCs w:val="30"/>
          <w:highlight w:val="none"/>
        </w:rPr>
        <w:t>(盖章)</w:t>
      </w:r>
    </w:p>
    <w:p w14:paraId="2C192EEE">
      <w:pPr>
        <w:tabs>
          <w:tab w:val="left" w:pos="3427"/>
        </w:tabs>
        <w:spacing w:line="228" w:lineRule="auto"/>
        <w:jc w:val="center"/>
        <w:rPr>
          <w:rFonts w:ascii="黑体" w:hAnsi="黑体" w:eastAsia="黑体" w:cs="黑体"/>
          <w:color w:val="000000"/>
          <w:sz w:val="31"/>
          <w:szCs w:val="31"/>
          <w:highlight w:val="none"/>
        </w:rPr>
      </w:pPr>
      <w:r>
        <w:rPr>
          <w:rFonts w:hint="eastAsia" w:ascii="黑体" w:hAnsi="黑体" w:eastAsia="黑体" w:cs="黑体"/>
          <w:color w:val="auto"/>
          <w:sz w:val="30"/>
          <w:szCs w:val="30"/>
          <w:highlight w:val="none"/>
          <w:u w:val="single"/>
        </w:rPr>
        <w:t>2025</w:t>
      </w:r>
      <w:r>
        <w:rPr>
          <w:rFonts w:ascii="黑体" w:hAnsi="黑体" w:eastAsia="黑体" w:cs="黑体"/>
          <w:color w:val="auto"/>
          <w:sz w:val="30"/>
          <w:szCs w:val="30"/>
          <w:highlight w:val="none"/>
        </w:rPr>
        <w:t>年</w:t>
      </w:r>
      <w:r>
        <w:rPr>
          <w:rFonts w:hint="eastAsia" w:ascii="黑体" w:hAnsi="黑体" w:eastAsia="黑体" w:cs="黑体"/>
          <w:color w:val="auto"/>
          <w:sz w:val="30"/>
          <w:szCs w:val="30"/>
          <w:highlight w:val="none"/>
          <w:u w:val="single"/>
          <w:lang w:val="en-US" w:eastAsia="zh-CN"/>
        </w:rPr>
        <w:t xml:space="preserve"> 12 </w:t>
      </w:r>
      <w:r>
        <w:rPr>
          <w:rFonts w:hint="eastAsia" w:ascii="黑体" w:hAnsi="黑体" w:eastAsia="黑体" w:cs="黑体"/>
          <w:color w:val="auto"/>
          <w:sz w:val="30"/>
          <w:szCs w:val="30"/>
          <w:highlight w:val="none"/>
        </w:rPr>
        <w:t>月</w:t>
      </w:r>
      <w:r>
        <w:rPr>
          <w:rFonts w:hint="eastAsia" w:ascii="黑体" w:hAnsi="黑体" w:eastAsia="黑体" w:cs="黑体"/>
          <w:color w:val="auto"/>
          <w:sz w:val="30"/>
          <w:szCs w:val="30"/>
          <w:highlight w:val="none"/>
          <w:u w:val="single"/>
          <w:lang w:val="en-US" w:eastAsia="zh-CN"/>
        </w:rPr>
        <w:t xml:space="preserve"> 9 </w:t>
      </w:r>
      <w:r>
        <w:rPr>
          <w:rFonts w:hint="eastAsia" w:ascii="黑体" w:hAnsi="黑体" w:eastAsia="黑体" w:cs="黑体"/>
          <w:color w:val="auto"/>
          <w:sz w:val="30"/>
          <w:szCs w:val="30"/>
          <w:highlight w:val="none"/>
        </w:rPr>
        <w:t>日</w:t>
      </w:r>
    </w:p>
    <w:p w14:paraId="11F26CCB">
      <w:pPr>
        <w:jc w:val="both"/>
        <w:rPr>
          <w:color w:val="000000"/>
          <w:highlight w:val="none"/>
        </w:rPr>
        <w:sectPr>
          <w:footerReference r:id="rId4" w:type="default"/>
          <w:pgSz w:w="11906" w:h="16839"/>
          <w:pgMar w:top="1418" w:right="1559" w:bottom="1418" w:left="1474" w:header="0" w:footer="0" w:gutter="0"/>
          <w:pgNumType w:fmt="decimal" w:start="1"/>
          <w:cols w:space="720" w:num="1"/>
        </w:sectPr>
      </w:pPr>
    </w:p>
    <w:p w14:paraId="6A934645">
      <w:pPr>
        <w:spacing w:before="64" w:line="227" w:lineRule="auto"/>
        <w:ind w:left="3498"/>
        <w:jc w:val="both"/>
        <w:rPr>
          <w:rFonts w:ascii="宋体" w:hAnsi="宋体" w:eastAsia="宋体" w:cs="黑体"/>
          <w:color w:val="000000"/>
          <w:sz w:val="36"/>
          <w:szCs w:val="36"/>
          <w:highlight w:val="none"/>
        </w:rPr>
      </w:pPr>
      <w:r>
        <w:rPr>
          <w:rFonts w:ascii="宋体" w:hAnsi="宋体" w:eastAsia="宋体" w:cs="黑体"/>
          <w:color w:val="000000"/>
          <w:sz w:val="36"/>
          <w:szCs w:val="36"/>
          <w:highlight w:val="none"/>
        </w:rPr>
        <w:t>目录</w:t>
      </w:r>
    </w:p>
    <w:p w14:paraId="0DBB8069">
      <w:pPr>
        <w:spacing w:line="269" w:lineRule="auto"/>
        <w:jc w:val="both"/>
        <w:rPr>
          <w:color w:val="000000"/>
          <w:highlight w:val="none"/>
        </w:rPr>
      </w:pPr>
    </w:p>
    <w:p w14:paraId="0667B254">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rFonts w:ascii="宋体" w:hAnsi="宋体" w:eastAsia="宋体" w:cs="宋体"/>
          <w:color w:val="000000"/>
          <w:sz w:val="23"/>
          <w:szCs w:val="23"/>
          <w:highlight w:val="none"/>
        </w:rPr>
        <w:t>第一章招标公告</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1</w:t>
      </w:r>
      <w:r>
        <w:rPr>
          <w:rFonts w:ascii="宋体" w:hAnsi="宋体" w:eastAsia="宋体" w:cs="宋体"/>
          <w:color w:val="000000"/>
          <w:sz w:val="23"/>
          <w:szCs w:val="23"/>
          <w:highlight w:val="none"/>
        </w:rPr>
        <w:fldChar w:fldCharType="end"/>
      </w:r>
    </w:p>
    <w:p w14:paraId="09EA6BC8">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"_bookmark2" </w:instrText>
      </w:r>
      <w:r>
        <w:rPr>
          <w:color w:val="000000"/>
          <w:highlight w:val="none"/>
        </w:rPr>
        <w:fldChar w:fldCharType="separate"/>
      </w:r>
      <w:r>
        <w:rPr>
          <w:rFonts w:ascii="宋体" w:hAnsi="宋体" w:eastAsia="宋体" w:cs="宋体"/>
          <w:color w:val="000000"/>
          <w:sz w:val="23"/>
          <w:szCs w:val="23"/>
          <w:highlight w:val="none"/>
        </w:rPr>
        <w:t>第二章投标人须知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3</w:t>
      </w:r>
      <w:r>
        <w:rPr>
          <w:rFonts w:ascii="宋体" w:hAnsi="宋体" w:eastAsia="宋体" w:cs="宋体"/>
          <w:color w:val="000000"/>
          <w:sz w:val="23"/>
          <w:szCs w:val="23"/>
          <w:highlight w:val="none"/>
        </w:rPr>
        <w:fldChar w:fldCharType="end"/>
      </w:r>
    </w:p>
    <w:p w14:paraId="2D88B72E">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"_bookmark3" </w:instrText>
      </w:r>
      <w:r>
        <w:rPr>
          <w:color w:val="000000"/>
          <w:highlight w:val="none"/>
        </w:rPr>
        <w:fldChar w:fldCharType="separate"/>
      </w:r>
      <w:r>
        <w:rPr>
          <w:rFonts w:ascii="宋体" w:hAnsi="宋体" w:eastAsia="宋体" w:cs="宋体"/>
          <w:color w:val="000000"/>
          <w:sz w:val="23"/>
          <w:szCs w:val="23"/>
          <w:highlight w:val="none"/>
        </w:rPr>
        <w:t>第一节投标人须知前附表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3</w:t>
      </w:r>
      <w:r>
        <w:rPr>
          <w:rFonts w:ascii="宋体" w:hAnsi="宋体" w:eastAsia="宋体" w:cs="宋体"/>
          <w:color w:val="000000"/>
          <w:sz w:val="23"/>
          <w:szCs w:val="23"/>
          <w:highlight w:val="none"/>
        </w:rPr>
        <w:fldChar w:fldCharType="end"/>
      </w:r>
    </w:p>
    <w:p w14:paraId="70ED9479">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"_bookmark4" </w:instrText>
      </w:r>
      <w:r>
        <w:rPr>
          <w:color w:val="000000"/>
          <w:highlight w:val="none"/>
        </w:rPr>
        <w:fldChar w:fldCharType="separate"/>
      </w:r>
      <w:r>
        <w:rPr>
          <w:rFonts w:ascii="宋体" w:hAnsi="宋体" w:eastAsia="宋体" w:cs="宋体"/>
          <w:color w:val="000000"/>
          <w:sz w:val="23"/>
          <w:szCs w:val="23"/>
          <w:highlight w:val="none"/>
        </w:rPr>
        <w:t>第二节投标人须知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1</w:t>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w:t>
      </w:r>
    </w:p>
    <w:p w14:paraId="77A13D80">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"_bookmark5" </w:instrText>
      </w:r>
      <w:r>
        <w:rPr>
          <w:color w:val="000000"/>
          <w:highlight w:val="none"/>
        </w:rPr>
        <w:fldChar w:fldCharType="separate"/>
      </w:r>
      <w:r>
        <w:rPr>
          <w:rFonts w:ascii="宋体" w:hAnsi="宋体" w:eastAsia="宋体" w:cs="宋体"/>
          <w:color w:val="000000"/>
          <w:sz w:val="23"/>
          <w:szCs w:val="23"/>
          <w:highlight w:val="none"/>
        </w:rPr>
        <w:t>附表一：开标记录表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21</w:t>
      </w:r>
    </w:p>
    <w:p w14:paraId="14F7F4D9">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"_bookmark6" </w:instrText>
      </w:r>
      <w:r>
        <w:rPr>
          <w:color w:val="000000"/>
          <w:highlight w:val="none"/>
        </w:rPr>
        <w:fldChar w:fldCharType="separate"/>
      </w:r>
      <w:r>
        <w:rPr>
          <w:rFonts w:ascii="宋体" w:hAnsi="宋体" w:eastAsia="宋体" w:cs="宋体"/>
          <w:color w:val="000000"/>
          <w:sz w:val="23"/>
          <w:szCs w:val="23"/>
          <w:highlight w:val="none"/>
        </w:rPr>
        <w:t>附表二：问题澄清通知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22</w:t>
      </w:r>
    </w:p>
    <w:p w14:paraId="6A610D51">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"_bookmark7" </w:instrText>
      </w:r>
      <w:r>
        <w:rPr>
          <w:color w:val="000000"/>
          <w:highlight w:val="none"/>
        </w:rPr>
        <w:fldChar w:fldCharType="separate"/>
      </w:r>
      <w:r>
        <w:rPr>
          <w:rFonts w:ascii="宋体" w:hAnsi="宋体" w:eastAsia="宋体" w:cs="宋体"/>
          <w:color w:val="000000"/>
          <w:sz w:val="23"/>
          <w:szCs w:val="23"/>
          <w:highlight w:val="none"/>
        </w:rPr>
        <w:t>附表三：问题的澄清</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23</w:t>
      </w:r>
    </w:p>
    <w:p w14:paraId="52F16418">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"_bookmark8" </w:instrText>
      </w:r>
      <w:r>
        <w:rPr>
          <w:color w:val="000000"/>
          <w:highlight w:val="none"/>
        </w:rPr>
        <w:fldChar w:fldCharType="separate"/>
      </w:r>
      <w:r>
        <w:rPr>
          <w:rFonts w:ascii="宋体" w:hAnsi="宋体" w:eastAsia="宋体" w:cs="宋体"/>
          <w:color w:val="000000"/>
          <w:sz w:val="23"/>
          <w:szCs w:val="23"/>
          <w:highlight w:val="none"/>
        </w:rPr>
        <w:t>附表四：中标通知书</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24</w:t>
      </w:r>
    </w:p>
    <w:p w14:paraId="7EE0B2F9">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"_bookmark10" </w:instrText>
      </w:r>
      <w:r>
        <w:rPr>
          <w:color w:val="000000"/>
          <w:highlight w:val="none"/>
        </w:rPr>
        <w:fldChar w:fldCharType="separate"/>
      </w:r>
      <w:r>
        <w:rPr>
          <w:rFonts w:ascii="宋体" w:hAnsi="宋体" w:eastAsia="宋体" w:cs="宋体"/>
          <w:color w:val="000000"/>
          <w:sz w:val="23"/>
          <w:szCs w:val="23"/>
          <w:highlight w:val="none"/>
        </w:rPr>
        <w:t>附表</w:t>
      </w:r>
      <w:r>
        <w:rPr>
          <w:rFonts w:hint="eastAsia" w:ascii="宋体" w:hAnsi="宋体" w:eastAsia="宋体" w:cs="宋体"/>
          <w:color w:val="000000"/>
          <w:sz w:val="23"/>
          <w:szCs w:val="23"/>
          <w:highlight w:val="none"/>
        </w:rPr>
        <w:t>五</w:t>
      </w:r>
      <w:r>
        <w:rPr>
          <w:rFonts w:ascii="宋体" w:hAnsi="宋体" w:eastAsia="宋体" w:cs="宋体"/>
          <w:color w:val="000000"/>
          <w:sz w:val="23"/>
          <w:szCs w:val="23"/>
          <w:highlight w:val="none"/>
        </w:rPr>
        <w:t>：确认通知</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25</w:t>
      </w:r>
      <w:r>
        <w:rPr>
          <w:rFonts w:hint="eastAsia" w:ascii="宋体" w:hAnsi="宋体" w:eastAsia="宋体" w:cs="宋体"/>
          <w:color w:val="000000"/>
          <w:sz w:val="23"/>
          <w:szCs w:val="23"/>
          <w:highlight w:val="none"/>
        </w:rPr>
        <w:fldChar w:fldCharType="end"/>
      </w:r>
    </w:p>
    <w:p w14:paraId="1CB0FECC">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"_bookmark11" </w:instrText>
      </w:r>
      <w:r>
        <w:rPr>
          <w:color w:val="000000"/>
          <w:highlight w:val="none"/>
        </w:rPr>
        <w:fldChar w:fldCharType="separate"/>
      </w:r>
      <w:r>
        <w:rPr>
          <w:rFonts w:ascii="宋体" w:hAnsi="宋体" w:eastAsia="宋体" w:cs="宋体"/>
          <w:color w:val="000000"/>
          <w:sz w:val="23"/>
          <w:szCs w:val="23"/>
          <w:highlight w:val="none"/>
        </w:rPr>
        <w:t>第三章评标定标办法</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2</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6</w:t>
      </w:r>
    </w:p>
    <w:p w14:paraId="2C749AF4">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"_bookmark12" </w:instrText>
      </w:r>
      <w:r>
        <w:rPr>
          <w:color w:val="000000"/>
          <w:highlight w:val="none"/>
        </w:rPr>
        <w:fldChar w:fldCharType="separate"/>
      </w:r>
      <w:r>
        <w:rPr>
          <w:rFonts w:ascii="宋体" w:hAnsi="宋体" w:eastAsia="宋体" w:cs="宋体"/>
          <w:color w:val="000000"/>
          <w:sz w:val="23"/>
          <w:szCs w:val="23"/>
          <w:highlight w:val="none"/>
        </w:rPr>
        <w:t>第四章合同条款及格式</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3</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5</w:t>
      </w:r>
    </w:p>
    <w:p w14:paraId="2C424208">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"_bookmark13" </w:instrText>
      </w:r>
      <w:r>
        <w:rPr>
          <w:color w:val="000000"/>
          <w:highlight w:val="none"/>
        </w:rPr>
        <w:fldChar w:fldCharType="separate"/>
      </w:r>
      <w:r>
        <w:rPr>
          <w:rFonts w:ascii="宋体" w:hAnsi="宋体" w:eastAsia="宋体" w:cs="宋体"/>
          <w:color w:val="000000"/>
          <w:sz w:val="23"/>
          <w:szCs w:val="23"/>
          <w:highlight w:val="none"/>
        </w:rPr>
        <w:t>第五章招标内容和技术要求</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1</w:t>
      </w:r>
    </w:p>
    <w:p w14:paraId="012C89E0">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"_bookmark14" </w:instrText>
      </w:r>
      <w:r>
        <w:rPr>
          <w:color w:val="000000"/>
          <w:highlight w:val="none"/>
        </w:rPr>
        <w:fldChar w:fldCharType="separate"/>
      </w:r>
      <w:r>
        <w:rPr>
          <w:rFonts w:ascii="宋体" w:hAnsi="宋体" w:eastAsia="宋体" w:cs="宋体"/>
          <w:color w:val="000000"/>
          <w:sz w:val="23"/>
          <w:szCs w:val="23"/>
          <w:highlight w:val="none"/>
        </w:rPr>
        <w:t>第六章投标文件格式</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w:t>
      </w:r>
    </w:p>
    <w:p w14:paraId="3B1BBB63">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"_bookmark15" </w:instrText>
      </w:r>
      <w:r>
        <w:rPr>
          <w:color w:val="000000"/>
          <w:highlight w:val="none"/>
        </w:rPr>
        <w:fldChar w:fldCharType="separate"/>
      </w:r>
      <w:r>
        <w:rPr>
          <w:rFonts w:ascii="宋体" w:hAnsi="宋体" w:eastAsia="宋体" w:cs="宋体"/>
          <w:color w:val="000000"/>
          <w:sz w:val="23"/>
          <w:szCs w:val="23"/>
          <w:highlight w:val="none"/>
        </w:rPr>
        <w:t>格式一：投标函</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53</w:t>
      </w:r>
      <w:r>
        <w:rPr>
          <w:rFonts w:hint="eastAsia" w:ascii="宋体" w:hAnsi="宋体" w:eastAsia="宋体" w:cs="宋体"/>
          <w:color w:val="000000"/>
          <w:sz w:val="23"/>
          <w:szCs w:val="23"/>
          <w:highlight w:val="none"/>
        </w:rPr>
        <w:fldChar w:fldCharType="end"/>
      </w:r>
    </w:p>
    <w:p w14:paraId="6F189378">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"_bookmark16" </w:instrText>
      </w:r>
      <w:r>
        <w:rPr>
          <w:color w:val="000000"/>
          <w:highlight w:val="none"/>
        </w:rPr>
        <w:fldChar w:fldCharType="separate"/>
      </w:r>
      <w:r>
        <w:rPr>
          <w:rFonts w:ascii="宋体" w:hAnsi="宋体" w:eastAsia="宋体" w:cs="宋体"/>
          <w:color w:val="000000"/>
          <w:sz w:val="23"/>
          <w:szCs w:val="23"/>
          <w:highlight w:val="none"/>
        </w:rPr>
        <w:t>格式二：法定代表人身份证明</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54</w:t>
      </w:r>
      <w:r>
        <w:rPr>
          <w:rFonts w:hint="eastAsia" w:ascii="宋体" w:hAnsi="宋体" w:eastAsia="宋体" w:cs="宋体"/>
          <w:color w:val="000000"/>
          <w:sz w:val="23"/>
          <w:szCs w:val="23"/>
          <w:highlight w:val="none"/>
        </w:rPr>
        <w:fldChar w:fldCharType="end"/>
      </w:r>
    </w:p>
    <w:p w14:paraId="7B62337B">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"_bookmark17" </w:instrText>
      </w:r>
      <w:r>
        <w:rPr>
          <w:color w:val="000000"/>
          <w:highlight w:val="none"/>
        </w:rPr>
        <w:fldChar w:fldCharType="separate"/>
      </w:r>
      <w:r>
        <w:rPr>
          <w:rFonts w:ascii="宋体" w:hAnsi="宋体" w:eastAsia="宋体" w:cs="宋体"/>
          <w:color w:val="000000"/>
          <w:sz w:val="23"/>
          <w:szCs w:val="23"/>
          <w:highlight w:val="none"/>
        </w:rPr>
        <w:t>格式三：法定代表人授权委托书</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55</w:t>
      </w:r>
    </w:p>
    <w:p w14:paraId="46D36F4E">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"_bookmark18" </w:instrText>
      </w:r>
      <w:r>
        <w:rPr>
          <w:color w:val="000000"/>
          <w:highlight w:val="none"/>
        </w:rPr>
        <w:fldChar w:fldCharType="separate"/>
      </w:r>
      <w:r>
        <w:rPr>
          <w:rFonts w:ascii="宋体" w:hAnsi="宋体" w:eastAsia="宋体" w:cs="宋体"/>
          <w:color w:val="000000"/>
          <w:sz w:val="23"/>
          <w:szCs w:val="23"/>
          <w:highlight w:val="none"/>
        </w:rPr>
        <w:t>格式四：投标报价表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5</w:t>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6</w:t>
      </w:r>
    </w:p>
    <w:p w14:paraId="1F005081">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"_bookmark19" </w:instrText>
      </w:r>
      <w:r>
        <w:rPr>
          <w:color w:val="000000"/>
          <w:highlight w:val="none"/>
        </w:rPr>
        <w:fldChar w:fldCharType="separate"/>
      </w:r>
      <w:r>
        <w:rPr>
          <w:rFonts w:ascii="宋体" w:hAnsi="宋体" w:eastAsia="宋体" w:cs="宋体"/>
          <w:color w:val="000000"/>
          <w:sz w:val="23"/>
          <w:szCs w:val="23"/>
          <w:highlight w:val="none"/>
        </w:rPr>
        <w:t>格式五：资料一览表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5</w:t>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7</w:t>
      </w:r>
    </w:p>
    <w:p w14:paraId="59AFC1A8">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"_bookmark20" </w:instrText>
      </w:r>
      <w:r>
        <w:rPr>
          <w:color w:val="000000"/>
          <w:highlight w:val="none"/>
        </w:rPr>
        <w:fldChar w:fldCharType="separate"/>
      </w:r>
      <w:r>
        <w:rPr>
          <w:rFonts w:ascii="宋体" w:hAnsi="宋体" w:eastAsia="宋体" w:cs="宋体"/>
          <w:color w:val="000000"/>
          <w:sz w:val="23"/>
          <w:szCs w:val="23"/>
          <w:highlight w:val="none"/>
        </w:rPr>
        <w:t>格式六：打分资料一览表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5</w:t>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8</w:t>
      </w:r>
    </w:p>
    <w:p w14:paraId="461EF4FE">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"_bookmark20" </w:instrText>
      </w:r>
      <w:r>
        <w:rPr>
          <w:color w:val="000000"/>
          <w:highlight w:val="none"/>
        </w:rPr>
        <w:fldChar w:fldCharType="separate"/>
      </w:r>
      <w:r>
        <w:rPr>
          <w:rFonts w:ascii="宋体" w:hAnsi="宋体" w:eastAsia="宋体" w:cs="宋体"/>
          <w:color w:val="000000"/>
          <w:sz w:val="23"/>
          <w:szCs w:val="23"/>
          <w:highlight w:val="none"/>
        </w:rPr>
        <w:t>格式</w:t>
      </w:r>
      <w:r>
        <w:rPr>
          <w:rFonts w:hint="eastAsia" w:ascii="宋体" w:hAnsi="宋体" w:eastAsia="宋体" w:cs="宋体"/>
          <w:color w:val="000000"/>
          <w:sz w:val="23"/>
          <w:szCs w:val="23"/>
          <w:highlight w:val="none"/>
        </w:rPr>
        <w:t>七</w:t>
      </w:r>
      <w:r>
        <w:rPr>
          <w:rFonts w:ascii="宋体" w:hAnsi="宋体" w:eastAsia="宋体" w:cs="宋体"/>
          <w:color w:val="000000"/>
          <w:sz w:val="23"/>
          <w:szCs w:val="23"/>
          <w:highlight w:val="none"/>
        </w:rPr>
        <w:t>：</w:t>
      </w:r>
      <w:r>
        <w:rPr>
          <w:rFonts w:hint="eastAsia" w:ascii="宋体" w:hAnsi="宋体" w:eastAsia="宋体" w:cs="宋体"/>
          <w:color w:val="000000"/>
          <w:sz w:val="23"/>
          <w:szCs w:val="23"/>
          <w:highlight w:val="none"/>
        </w:rPr>
        <w:t>投标人基本情况</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9</w:t>
      </w:r>
    </w:p>
    <w:p w14:paraId="256EDA23">
      <w:pPr>
        <w:jc w:val="both"/>
        <w:rPr>
          <w:color w:val="000000"/>
          <w:highlight w:val="none"/>
        </w:rPr>
        <w:sectPr>
          <w:footerReference r:id="rId5" w:type="default"/>
          <w:pgSz w:w="11906" w:h="16839"/>
          <w:pgMar w:top="1418" w:right="1559" w:bottom="1418" w:left="1474" w:header="0" w:footer="0" w:gutter="0"/>
          <w:pgNumType w:fmt="decimal"/>
          <w:cols w:space="720" w:num="1"/>
        </w:sectPr>
      </w:pPr>
    </w:p>
    <w:p w14:paraId="1F5A6818">
      <w:pPr>
        <w:spacing w:before="101" w:line="224" w:lineRule="auto"/>
        <w:ind w:left="3173"/>
        <w:jc w:val="both"/>
        <w:outlineLvl w:val="0"/>
        <w:rPr>
          <w:rFonts w:ascii="宋体" w:hAnsi="宋体" w:eastAsia="宋体" w:cs="宋体"/>
          <w:color w:val="000000"/>
          <w:sz w:val="31"/>
          <w:szCs w:val="31"/>
          <w:highlight w:val="none"/>
        </w:rPr>
      </w:pPr>
      <w:bookmarkStart w:id="0" w:name="_bookmark1"/>
      <w:bookmarkEnd w:id="0"/>
      <w:r>
        <w:rPr>
          <w:rFonts w:ascii="宋体" w:hAnsi="宋体" w:eastAsia="宋体" w:cs="宋体"/>
          <w:color w:val="000000"/>
          <w:sz w:val="31"/>
          <w:szCs w:val="31"/>
          <w:highlight w:val="none"/>
        </w:rPr>
        <w:t>第一章招标公告</w:t>
      </w:r>
    </w:p>
    <w:p w14:paraId="60D80F5E">
      <w:pPr>
        <w:wordWrap w:val="0"/>
        <w:spacing w:before="125" w:line="353" w:lineRule="auto"/>
        <w:ind w:left="10" w:right="65" w:firstLine="497"/>
        <w:jc w:val="right"/>
        <w:rPr>
          <w:rFonts w:hint="default"/>
          <w:color w:val="000000"/>
          <w:highlight w:val="none"/>
          <w:lang w:val="en-US"/>
        </w:rPr>
      </w:pPr>
      <w:r>
        <w:rPr>
          <w:rFonts w:ascii="宋体" w:hAnsi="宋体" w:eastAsia="宋体" w:cs="宋体"/>
          <w:color w:val="000000"/>
          <w:highlight w:val="none"/>
        </w:rPr>
        <w:t>项目编号：</w:t>
      </w:r>
      <w:r>
        <w:rPr>
          <w:rFonts w:hint="eastAsia" w:ascii="宋体" w:hAnsi="宋体" w:eastAsia="宋体" w:cs="宋体"/>
          <w:color w:val="000000"/>
          <w:highlight w:val="none"/>
          <w:u w:val="single"/>
          <w:lang w:val="en-US" w:eastAsia="zh-CN"/>
        </w:rPr>
        <w:t>A3306010720060186001</w:t>
      </w:r>
    </w:p>
    <w:p w14:paraId="272401CE">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position w:val="2"/>
          <w:highlight w:val="none"/>
          <w:lang w:val="en-US" w:eastAsia="zh-CN"/>
        </w:rPr>
      </w:pPr>
      <w:r>
        <w:rPr>
          <w:rFonts w:hint="eastAsia" w:ascii="宋体" w:hAnsi="宋体" w:eastAsia="宋体" w:cs="宋体"/>
          <w:color w:val="000000"/>
          <w:highlight w:val="none"/>
          <w:u w:val="none"/>
        </w:rPr>
        <w:t>本次招标项目</w:t>
      </w:r>
      <w:r>
        <w:rPr>
          <w:rFonts w:hint="eastAsia" w:ascii="宋体" w:hAnsi="宋体" w:eastAsia="宋体" w:cs="宋体"/>
          <w:b/>
          <w:color w:val="auto"/>
          <w:highlight w:val="none"/>
          <w:u w:val="single"/>
        </w:rPr>
        <w:t>凤凰山高品质养老院建设工程</w:t>
      </w:r>
      <w:r>
        <w:rPr>
          <w:rFonts w:hint="eastAsia" w:ascii="宋体" w:hAnsi="宋体" w:eastAsia="宋体" w:cs="宋体"/>
          <w:color w:val="000000"/>
          <w:highlight w:val="none"/>
          <w:u w:val="none"/>
        </w:rPr>
        <w:t>（项目名称），已由</w:t>
      </w:r>
      <w:r>
        <w:rPr>
          <w:rFonts w:hint="eastAsia" w:ascii="宋体" w:hAnsi="宋体" w:eastAsia="宋体" w:cs="宋体"/>
          <w:b/>
          <w:bCs/>
          <w:iCs/>
          <w:color w:val="auto"/>
          <w:spacing w:val="-1"/>
          <w:highlight w:val="none"/>
          <w:u w:val="single"/>
        </w:rPr>
        <w:t>绍兴市越城区发展和改革</w:t>
      </w:r>
      <w:r>
        <w:rPr>
          <w:rFonts w:hint="eastAsia" w:ascii="宋体" w:hAnsi="宋体" w:eastAsia="宋体" w:cs="宋体"/>
          <w:b/>
          <w:bCs/>
          <w:iCs/>
          <w:color w:val="auto"/>
          <w:spacing w:val="-1"/>
          <w:highlight w:val="none"/>
          <w:u w:val="single"/>
          <w:lang w:val="en-US" w:eastAsia="zh-CN"/>
        </w:rPr>
        <w:t>局</w:t>
      </w:r>
      <w:r>
        <w:rPr>
          <w:rFonts w:hint="eastAsia" w:ascii="宋体" w:hAnsi="宋体" w:eastAsia="宋体" w:cs="宋体"/>
          <w:color w:val="000000"/>
          <w:highlight w:val="none"/>
          <w:u w:val="none"/>
        </w:rPr>
        <w:t>（项目审批、核准或备案机关名称）以</w:t>
      </w:r>
      <w:r>
        <w:rPr>
          <w:rFonts w:hint="eastAsia" w:ascii="宋体" w:hAnsi="宋体" w:eastAsia="宋体" w:cs="宋体"/>
          <w:b/>
          <w:bCs/>
          <w:color w:val="auto"/>
          <w:highlight w:val="none"/>
          <w:u w:val="single"/>
        </w:rPr>
        <w:t>2408-330602-04-01-130353</w:t>
      </w:r>
      <w:r>
        <w:rPr>
          <w:rFonts w:hint="eastAsia" w:ascii="宋体" w:hAnsi="宋体" w:eastAsia="宋体" w:cs="宋体"/>
          <w:color w:val="000000"/>
          <w:highlight w:val="none"/>
          <w:u w:val="none"/>
        </w:rPr>
        <w:t>（批文名称及编号）批准建设，项目业主为</w:t>
      </w:r>
      <w:r>
        <w:rPr>
          <w:rFonts w:hint="eastAsia" w:ascii="宋体" w:hAnsi="宋体" w:eastAsia="宋体" w:cs="宋体"/>
          <w:b/>
          <w:color w:val="auto"/>
          <w:highlight w:val="none"/>
          <w:u w:val="single"/>
        </w:rPr>
        <w:t>绍兴市城投康养产业发展有限公司</w:t>
      </w:r>
      <w:r>
        <w:rPr>
          <w:rFonts w:hint="eastAsia" w:ascii="宋体" w:hAnsi="宋体" w:eastAsia="宋体" w:cs="宋体"/>
          <w:color w:val="000000"/>
          <w:highlight w:val="none"/>
          <w:u w:val="none"/>
        </w:rPr>
        <w:t>，建设资金</w:t>
      </w:r>
      <w:r>
        <w:rPr>
          <w:rFonts w:hint="eastAsia" w:ascii="宋体" w:hAnsi="宋体" w:eastAsia="宋体" w:cs="宋体"/>
          <w:b/>
          <w:color w:val="auto"/>
          <w:highlight w:val="none"/>
          <w:u w:val="single"/>
        </w:rPr>
        <w:t>自筹</w:t>
      </w:r>
      <w:r>
        <w:rPr>
          <w:rFonts w:hint="eastAsia" w:ascii="宋体" w:hAnsi="宋体" w:eastAsia="宋体" w:cs="宋体"/>
          <w:b/>
          <w:color w:val="auto"/>
          <w:highlight w:val="none"/>
          <w:u w:val="single"/>
          <w:lang w:val="en-US" w:eastAsia="zh-CN"/>
        </w:rPr>
        <w:t>100%</w:t>
      </w:r>
      <w:r>
        <w:rPr>
          <w:rFonts w:hint="eastAsia" w:ascii="宋体" w:hAnsi="宋体" w:eastAsia="宋体" w:cs="宋体"/>
          <w:color w:val="000000"/>
          <w:highlight w:val="none"/>
          <w:u w:val="none"/>
        </w:rPr>
        <w:t>（资金来源），招标人为</w:t>
      </w:r>
      <w:r>
        <w:rPr>
          <w:rFonts w:hint="eastAsia" w:ascii="宋体" w:hAnsi="宋体" w:eastAsia="宋体" w:cs="宋体"/>
          <w:b/>
          <w:color w:val="auto"/>
          <w:highlight w:val="none"/>
          <w:u w:val="single"/>
        </w:rPr>
        <w:t>中建三局集团</w:t>
      </w:r>
      <w:r>
        <w:rPr>
          <w:rFonts w:hint="eastAsia" w:ascii="宋体" w:hAnsi="宋体" w:eastAsia="宋体" w:cs="宋体"/>
          <w:b/>
          <w:bCs/>
          <w:color w:val="auto"/>
          <w:highlight w:val="none"/>
          <w:u w:val="single"/>
        </w:rPr>
        <w:t>有限公司、绍兴城建市政建设有限公司</w:t>
      </w:r>
      <w:r>
        <w:rPr>
          <w:rFonts w:hint="eastAsia" w:ascii="宋体" w:hAnsi="宋体" w:eastAsia="宋体" w:cs="宋体"/>
          <w:color w:val="000000"/>
          <w:highlight w:val="none"/>
          <w:u w:val="none"/>
        </w:rPr>
        <w:t>。项目已具备招标条件，现对该项目的</w:t>
      </w:r>
      <w:r>
        <w:rPr>
          <w:rFonts w:hint="eastAsia" w:ascii="宋体" w:hAnsi="宋体" w:eastAsia="宋体" w:cs="宋体"/>
          <w:b/>
          <w:color w:val="auto"/>
          <w:highlight w:val="none"/>
          <w:u w:val="single"/>
        </w:rPr>
        <w:t>电梯设备采购安装项目</w:t>
      </w:r>
      <w:r>
        <w:rPr>
          <w:rFonts w:hint="eastAsia" w:ascii="宋体" w:hAnsi="宋体" w:eastAsia="宋体" w:cs="宋体"/>
          <w:b/>
          <w:color w:val="auto"/>
          <w:highlight w:val="none"/>
          <w:u w:val="single"/>
          <w:lang w:eastAsia="zh-CN"/>
        </w:rPr>
        <w:t>（</w:t>
      </w:r>
      <w:r>
        <w:rPr>
          <w:rFonts w:hint="eastAsia" w:ascii="宋体" w:hAnsi="宋体" w:eastAsia="宋体" w:cs="宋体"/>
          <w:b/>
          <w:color w:val="auto"/>
          <w:highlight w:val="none"/>
          <w:u w:val="single"/>
          <w:lang w:val="en-US" w:eastAsia="zh-CN"/>
        </w:rPr>
        <w:t>重新招标</w:t>
      </w:r>
      <w:r>
        <w:rPr>
          <w:rFonts w:hint="eastAsia" w:ascii="宋体" w:hAnsi="宋体" w:eastAsia="宋体" w:cs="宋体"/>
          <w:b/>
          <w:color w:val="auto"/>
          <w:highlight w:val="none"/>
          <w:u w:val="single"/>
          <w:lang w:eastAsia="zh-CN"/>
        </w:rPr>
        <w:t>）</w:t>
      </w:r>
      <w:r>
        <w:rPr>
          <w:rFonts w:hint="eastAsia" w:ascii="宋体" w:hAnsi="宋体" w:eastAsia="宋体" w:cs="宋体"/>
          <w:color w:val="000000"/>
          <w:highlight w:val="none"/>
          <w:u w:val="none"/>
        </w:rPr>
        <w:t>货物进行公开招标</w:t>
      </w:r>
      <w:r>
        <w:rPr>
          <w:rFonts w:hint="eastAsia" w:ascii="宋体" w:hAnsi="宋体" w:eastAsia="宋体" w:cs="宋体"/>
          <w:color w:val="000000"/>
          <w:highlight w:val="none"/>
          <w:u w:val="none"/>
          <w:lang w:eastAsia="zh-CN"/>
        </w:rPr>
        <w:t>。</w:t>
      </w:r>
    </w:p>
    <w:p w14:paraId="35EE6240">
      <w:pPr>
        <w:keepNext w:val="0"/>
        <w:keepLines w:val="0"/>
        <w:pageBreakBefore w:val="0"/>
        <w:widowControl/>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position w:val="2"/>
          <w:highlight w:val="none"/>
        </w:rPr>
        <w:t>一、本次招标内容</w:t>
      </w:r>
    </w:p>
    <w:p w14:paraId="69C8F185">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b/>
          <w:color w:val="auto"/>
          <w:spacing w:val="15"/>
          <w:highlight w:val="none"/>
          <w:u w:val="single"/>
          <w:lang w:val="zh-CN" w:bidi="zh-CN"/>
        </w:rPr>
      </w:pPr>
      <w:r>
        <w:rPr>
          <w:rFonts w:hint="eastAsia" w:ascii="宋体" w:hAnsi="宋体" w:eastAsia="宋体" w:cs="宋体"/>
          <w:color w:val="000000"/>
          <w:highlight w:val="none"/>
        </w:rPr>
        <w:t>1.1</w:t>
      </w:r>
      <w:r>
        <w:rPr>
          <w:rFonts w:hint="eastAsia" w:ascii="宋体" w:hAnsi="宋体" w:eastAsia="宋体" w:cs="宋体"/>
          <w:color w:val="auto"/>
          <w:highlight w:val="none"/>
          <w:u w:val="none"/>
        </w:rPr>
        <w:t>本次招标</w:t>
      </w:r>
      <w:r>
        <w:rPr>
          <w:rFonts w:hint="eastAsia" w:ascii="宋体" w:hAnsi="宋体" w:eastAsia="宋体" w:cs="宋体"/>
          <w:color w:val="auto"/>
          <w:highlight w:val="none"/>
          <w:u w:val="none"/>
          <w:lang w:val="en-US" w:eastAsia="zh-CN"/>
        </w:rPr>
        <w:t>内容：</w:t>
      </w:r>
      <w:r>
        <w:rPr>
          <w:rFonts w:hint="eastAsia" w:ascii="宋体" w:hAnsi="宋体" w:eastAsia="宋体" w:cs="宋体"/>
          <w:b/>
          <w:color w:val="auto"/>
          <w:highlight w:val="none"/>
          <w:u w:val="single"/>
        </w:rPr>
        <w:t>包含凤凰山高品质养老院建设工程</w:t>
      </w:r>
      <w:r>
        <w:rPr>
          <w:rFonts w:hint="eastAsia" w:ascii="宋体" w:hAnsi="宋体" w:eastAsia="宋体" w:cs="宋体"/>
          <w:b/>
          <w:color w:val="auto"/>
          <w:highlight w:val="none"/>
          <w:u w:val="single"/>
          <w:lang w:val="en-US" w:eastAsia="zh-CN"/>
        </w:rPr>
        <w:t>所有</w:t>
      </w:r>
      <w:r>
        <w:rPr>
          <w:rFonts w:hint="eastAsia" w:ascii="宋体" w:hAnsi="宋体" w:eastAsia="宋体" w:cs="宋体"/>
          <w:b/>
          <w:color w:val="auto"/>
          <w:highlight w:val="none"/>
          <w:u w:val="single"/>
        </w:rPr>
        <w:t>电梯，合计垂直电梯19台，总计19台</w:t>
      </w:r>
      <w:r>
        <w:rPr>
          <w:rFonts w:hint="eastAsia" w:ascii="宋体" w:hAnsi="宋体" w:eastAsia="宋体" w:cs="宋体"/>
          <w:b/>
          <w:color w:val="auto"/>
          <w:spacing w:val="15"/>
          <w:highlight w:val="none"/>
          <w:u w:val="single"/>
          <w:lang w:val="zh-CN" w:bidi="zh-CN"/>
        </w:rPr>
        <w:t>。</w:t>
      </w:r>
    </w:p>
    <w:p w14:paraId="4F1676E3">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none"/>
          <w:lang w:val="en-US" w:eastAsia="zh-CN"/>
        </w:rPr>
        <w:t>招标</w:t>
      </w:r>
      <w:r>
        <w:rPr>
          <w:rFonts w:hint="eastAsia" w:ascii="宋体" w:hAnsi="宋体" w:eastAsia="宋体" w:cs="宋体"/>
          <w:color w:val="auto"/>
          <w:highlight w:val="none"/>
          <w:u w:val="none"/>
        </w:rPr>
        <w:t>范围</w:t>
      </w:r>
      <w:r>
        <w:rPr>
          <w:rFonts w:hint="eastAsia" w:ascii="宋体" w:hAnsi="宋体" w:eastAsia="宋体" w:cs="宋体"/>
          <w:color w:val="auto"/>
          <w:highlight w:val="none"/>
          <w:u w:val="none"/>
          <w:lang w:eastAsia="zh-CN"/>
        </w:rPr>
        <w:t>：</w:t>
      </w:r>
      <w:r>
        <w:rPr>
          <w:rFonts w:hint="eastAsia" w:ascii="宋体" w:hAnsi="宋体" w:eastAsia="宋体" w:cs="宋体"/>
          <w:color w:val="auto"/>
          <w:sz w:val="21"/>
          <w:highlight w:val="none"/>
          <w:u w:val="single"/>
        </w:rPr>
        <w:t>包含但不限于电梯制造、仓储、运输、装卸、二次搬运、深化设计、安装、装修、调试、检测检验、委托监检、成品保护、权威部门验收、培训、交付使用、售后服务，以及向招标人提供全过程形成的图纸、记录、档案资料和其他相关服务等交钥匙内容，服从土建施工总包管理，与其他相关专业施工配合等。</w:t>
      </w:r>
      <w:r>
        <w:rPr>
          <w:rFonts w:hint="eastAsia" w:ascii="宋体" w:hAnsi="宋体" w:eastAsia="宋体" w:cs="宋体"/>
          <w:bCs/>
          <w:color w:val="auto"/>
          <w:sz w:val="21"/>
          <w:highlight w:val="none"/>
          <w:u w:val="single"/>
        </w:rPr>
        <w:t>具体范围详见图纸及电梯设备清单</w:t>
      </w:r>
      <w:r>
        <w:rPr>
          <w:rFonts w:hint="eastAsia" w:ascii="宋体" w:hAnsi="宋体" w:eastAsia="宋体" w:cs="宋体"/>
          <w:bCs/>
          <w:color w:val="auto"/>
          <w:sz w:val="21"/>
          <w:highlight w:val="none"/>
          <w:u w:val="single"/>
          <w:lang w:eastAsia="zh-CN"/>
        </w:rPr>
        <w:t>。</w:t>
      </w:r>
    </w:p>
    <w:p w14:paraId="214C9F4E">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本次招标范围内的工程</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估算(或</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概算)造价</w:t>
      </w:r>
      <w:r>
        <w:rPr>
          <w:rFonts w:hint="eastAsia" w:ascii="宋体" w:hAnsi="宋体" w:eastAsia="宋体" w:cs="宋体"/>
          <w:b/>
          <w:color w:val="auto"/>
          <w:highlight w:val="none"/>
          <w:u w:val="single"/>
        </w:rPr>
        <w:t xml:space="preserve"> </w:t>
      </w:r>
      <w:r>
        <w:rPr>
          <w:rFonts w:hint="eastAsia" w:ascii="宋体" w:hAnsi="宋体" w:eastAsia="宋体" w:cs="宋体"/>
          <w:b/>
          <w:bCs/>
          <w:color w:val="000000"/>
          <w:highlight w:val="none"/>
          <w:u w:val="single"/>
          <w:lang w:val="en-US" w:eastAsia="zh-CN"/>
        </w:rPr>
        <w:t>715.8410</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000000"/>
          <w:highlight w:val="none"/>
        </w:rPr>
        <w:t>，采用投标资格后审方式招标。</w:t>
      </w:r>
    </w:p>
    <w:p w14:paraId="316F0D20">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1.2是否属于政府采购工程</w:t>
      </w: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是</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否</w:t>
      </w:r>
    </w:p>
    <w:p w14:paraId="500CB2E4">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1.3是否专门面向中小企业预留</w:t>
      </w:r>
    </w:p>
    <w:p w14:paraId="0D6E9B01">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A3"/>
      </w:r>
      <w:r>
        <w:rPr>
          <w:rFonts w:hint="eastAsia" w:ascii="宋体" w:hAnsi="宋体" w:eastAsia="宋体" w:cs="宋体"/>
          <w:color w:val="000000"/>
          <w:highlight w:val="none"/>
        </w:rPr>
        <w:t>是</w:t>
      </w:r>
    </w:p>
    <w:p w14:paraId="0DF21C62">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52"/>
      </w:r>
      <w:r>
        <w:rPr>
          <w:rFonts w:hint="eastAsia" w:ascii="宋体" w:hAnsi="宋体" w:eastAsia="宋体" w:cs="宋体"/>
          <w:color w:val="000000"/>
          <w:highlight w:val="none"/>
        </w:rPr>
        <w:t>否（不专门面向中小企业采购的原因及适用条款）</w:t>
      </w:r>
    </w:p>
    <w:p w14:paraId="37AF64DD">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1.4专门面向中小企业预留的实施方式</w:t>
      </w:r>
    </w:p>
    <w:p w14:paraId="5B6183AB">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1.4.1本标段整体面向中小企业；</w:t>
      </w:r>
    </w:p>
    <w:p w14:paraId="5CF9C919">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1.4.2本标段联合体形式面向中小企业，以联合体形式参加本次投标的，联合体中中小企业承担的合同份额需达到（不低于40%）以上。</w:t>
      </w:r>
    </w:p>
    <w:p w14:paraId="11C1EA2E">
      <w:pPr>
        <w:keepNext w:val="0"/>
        <w:keepLines w:val="0"/>
        <w:pageBreakBefore w:val="0"/>
        <w:widowControl/>
        <w:wordWrap/>
        <w:overflowPunct/>
        <w:topLinePunct w:val="0"/>
        <w:bidi w:val="0"/>
        <w:adjustRightInd/>
        <w:snapToGrid/>
        <w:spacing w:line="400" w:lineRule="exact"/>
        <w:ind w:left="0" w:right="0"/>
        <w:jc w:val="both"/>
        <w:rPr>
          <w:rFonts w:hint="eastAsia" w:ascii="宋体" w:hAnsi="宋体" w:eastAsia="宋体" w:cs="宋体"/>
          <w:color w:val="000000"/>
          <w:highlight w:val="none"/>
        </w:rPr>
      </w:pPr>
      <w:r>
        <w:rPr>
          <w:rFonts w:hint="eastAsia" w:ascii="宋体" w:hAnsi="宋体" w:eastAsia="宋体" w:cs="宋体"/>
          <w:color w:val="000000"/>
          <w:position w:val="1"/>
          <w:highlight w:val="none"/>
        </w:rPr>
        <w:t>二、投标资格条件、要求</w:t>
      </w:r>
    </w:p>
    <w:p w14:paraId="45C6D381">
      <w:pPr>
        <w:keepNext w:val="0"/>
        <w:keepLines w:val="0"/>
        <w:pageBreakBefore w:val="0"/>
        <w:widowControl/>
        <w:wordWrap/>
        <w:overflowPunct/>
        <w:topLinePunct w:val="0"/>
        <w:bidi w:val="0"/>
        <w:adjustRightInd/>
        <w:snapToGrid/>
        <w:spacing w:line="400" w:lineRule="exact"/>
        <w:ind w:left="0" w:right="0" w:firstLine="497"/>
        <w:jc w:val="both"/>
        <w:rPr>
          <w:rFonts w:hint="eastAsia" w:ascii="宋体" w:hAnsi="宋体" w:eastAsia="宋体" w:cs="宋体"/>
          <w:color w:val="000000"/>
          <w:highlight w:val="none"/>
        </w:rPr>
      </w:pPr>
      <w:r>
        <w:rPr>
          <w:rFonts w:hint="eastAsia" w:ascii="宋体" w:hAnsi="宋体" w:eastAsia="宋体" w:cs="宋体"/>
          <w:color w:val="000000"/>
          <w:highlight w:val="none"/>
        </w:rPr>
        <w:t>1.投标人及其拟派项目负责人自</w:t>
      </w:r>
      <w:r>
        <w:rPr>
          <w:rFonts w:hint="eastAsia" w:ascii="宋体" w:hAnsi="宋体" w:eastAsia="宋体" w:cs="宋体"/>
          <w:b/>
          <w:bCs/>
          <w:color w:val="000000"/>
          <w:highlight w:val="none"/>
          <w:u w:val="single"/>
          <w:lang w:val="en-US" w:eastAsia="zh-CN"/>
        </w:rPr>
        <w:t>2022</w:t>
      </w:r>
      <w:r>
        <w:rPr>
          <w:rFonts w:hint="eastAsia" w:ascii="宋体" w:hAnsi="宋体" w:eastAsia="宋体" w:cs="宋体"/>
          <w:color w:val="000000"/>
          <w:highlight w:val="none"/>
        </w:rPr>
        <w:t>年</w:t>
      </w:r>
      <w:r>
        <w:rPr>
          <w:rFonts w:hint="eastAsia" w:ascii="宋体" w:hAnsi="宋体" w:eastAsia="宋体" w:cs="宋体"/>
          <w:b/>
          <w:bCs/>
          <w:color w:val="000000"/>
          <w:highlight w:val="none"/>
          <w:u w:val="single"/>
          <w:lang w:val="en-US" w:eastAsia="zh-CN"/>
        </w:rPr>
        <w:t>7</w:t>
      </w:r>
      <w:r>
        <w:rPr>
          <w:rFonts w:hint="eastAsia" w:ascii="宋体" w:hAnsi="宋体" w:eastAsia="宋体" w:cs="宋体"/>
          <w:color w:val="000000"/>
          <w:highlight w:val="none"/>
        </w:rPr>
        <w:t>月</w:t>
      </w:r>
      <w:r>
        <w:rPr>
          <w:rFonts w:hint="eastAsia" w:ascii="宋体" w:hAnsi="宋体" w:eastAsia="宋体" w:cs="宋体"/>
          <w:b/>
          <w:bCs/>
          <w:color w:val="000000"/>
          <w:highlight w:val="none"/>
          <w:u w:val="single"/>
          <w:lang w:val="en-US" w:eastAsia="zh-CN"/>
        </w:rPr>
        <w:t>1</w:t>
      </w:r>
      <w:r>
        <w:rPr>
          <w:rFonts w:hint="eastAsia" w:ascii="宋体" w:hAnsi="宋体" w:eastAsia="宋体" w:cs="宋体"/>
          <w:color w:val="000000"/>
          <w:highlight w:val="none"/>
        </w:rPr>
        <w:t>日起至投标截止日止无行贿犯罪记录；</w:t>
      </w:r>
    </w:p>
    <w:p w14:paraId="79260DAA">
      <w:pPr>
        <w:keepNext w:val="0"/>
        <w:keepLines w:val="0"/>
        <w:pageBreakBefore w:val="0"/>
        <w:widowControl/>
        <w:wordWrap/>
        <w:overflowPunct/>
        <w:topLinePunct w:val="0"/>
        <w:bidi w:val="0"/>
        <w:adjustRightInd/>
        <w:snapToGrid/>
        <w:spacing w:line="400" w:lineRule="exact"/>
        <w:ind w:left="0" w:right="0" w:firstLine="498"/>
        <w:jc w:val="both"/>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52"/>
      </w:r>
      <w:r>
        <w:rPr>
          <w:rFonts w:hint="eastAsia" w:ascii="宋体" w:hAnsi="宋体" w:eastAsia="宋体" w:cs="宋体"/>
          <w:color w:val="000000"/>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32D30266">
      <w:pPr>
        <w:keepNext w:val="0"/>
        <w:keepLines w:val="0"/>
        <w:pageBreakBefore w:val="0"/>
        <w:widowControl/>
        <w:wordWrap/>
        <w:overflowPunct/>
        <w:topLinePunct w:val="0"/>
        <w:bidi w:val="0"/>
        <w:adjustRightInd/>
        <w:snapToGrid/>
        <w:spacing w:line="400" w:lineRule="exact"/>
        <w:ind w:left="0" w:right="0" w:firstLine="474"/>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3.本次招标(□接受</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不接受)联合体投标，联合体投标的，应满足下列要求：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w:t>
      </w:r>
      <w:r>
        <w:rPr>
          <w:rFonts w:hint="eastAsia" w:ascii="宋体" w:hAnsi="宋体" w:eastAsia="宋体" w:cs="宋体"/>
          <w:color w:val="000000"/>
          <w:highlight w:val="none"/>
          <w:u w:val="single"/>
        </w:rPr>
        <w:t>；</w:t>
      </w:r>
    </w:p>
    <w:p w14:paraId="334E86FD">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□4.面向中小企业招标的，投标人（或联合体中的中小企业）须为中小企业，并提供《中小企业声明函》。</w:t>
      </w:r>
    </w:p>
    <w:p w14:paraId="449A7ED7">
      <w:pPr>
        <w:keepNext w:val="0"/>
        <w:keepLines w:val="0"/>
        <w:pageBreakBefore w:val="0"/>
        <w:widowControl/>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52"/>
      </w:r>
      <w:r>
        <w:rPr>
          <w:rFonts w:hint="eastAsia" w:ascii="宋体" w:hAnsi="宋体" w:eastAsia="宋体" w:cs="宋体"/>
          <w:color w:val="000000"/>
          <w:highlight w:val="none"/>
        </w:rPr>
        <w:t>5.(招标人认为需要增加的符合法律法规规定的其他要求)；</w:t>
      </w:r>
    </w:p>
    <w:p w14:paraId="39BEF2E4">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20" w:firstLineChars="200"/>
        <w:textAlignment w:val="auto"/>
        <w:rPr>
          <w:rFonts w:hint="eastAsia" w:ascii="宋体" w:hAnsi="宋体" w:eastAsia="宋体" w:cs="宋体"/>
          <w:b/>
          <w:bCs/>
          <w:snapToGrid w:val="0"/>
          <w:color w:val="000000"/>
          <w:sz w:val="21"/>
          <w:szCs w:val="21"/>
          <w:highlight w:val="none"/>
          <w:u w:val="single"/>
          <w:lang w:val="en-US" w:eastAsia="zh-CN" w:bidi="ar-SA"/>
        </w:rPr>
      </w:pPr>
      <w:r>
        <w:rPr>
          <w:rFonts w:hint="eastAsia" w:ascii="宋体" w:hAnsi="宋体" w:eastAsia="宋体" w:cs="宋体"/>
          <w:snapToGrid w:val="0"/>
          <w:color w:val="000000"/>
          <w:sz w:val="21"/>
          <w:szCs w:val="21"/>
          <w:highlight w:val="none"/>
          <w:u w:val="single"/>
          <w:lang w:val="en-US" w:eastAsia="zh-CN" w:bidi="ar-SA"/>
        </w:rPr>
        <w:t>5.1</w:t>
      </w:r>
      <w:r>
        <w:rPr>
          <w:rFonts w:hint="eastAsia" w:ascii="宋体" w:hAnsi="宋体" w:eastAsia="宋体" w:cs="宋体"/>
          <w:b/>
          <w:bCs/>
          <w:snapToGrid w:val="0"/>
          <w:color w:val="000000"/>
          <w:sz w:val="21"/>
          <w:szCs w:val="21"/>
          <w:highlight w:val="none"/>
          <w:u w:val="single"/>
          <w:lang w:val="en-US" w:eastAsia="zh-CN" w:bidi="ar-SA"/>
        </w:rPr>
        <w:t>投标人必须满足以下两种条件之一：</w:t>
      </w:r>
    </w:p>
    <w:p w14:paraId="10A55990">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22" w:firstLineChars="200"/>
        <w:textAlignment w:val="auto"/>
        <w:rPr>
          <w:rFonts w:hint="eastAsia" w:ascii="宋体" w:hAnsi="宋体" w:eastAsia="宋体" w:cs="宋体"/>
          <w:b/>
          <w:bCs/>
          <w:snapToGrid w:val="0"/>
          <w:color w:val="000000"/>
          <w:sz w:val="21"/>
          <w:szCs w:val="21"/>
          <w:highlight w:val="none"/>
          <w:u w:val="single"/>
          <w:lang w:val="en-US" w:eastAsia="zh-CN" w:bidi="ar-SA"/>
        </w:rPr>
      </w:pPr>
      <w:r>
        <w:rPr>
          <w:rFonts w:hint="eastAsia" w:ascii="宋体" w:hAnsi="宋体" w:eastAsia="宋体" w:cs="宋体"/>
          <w:b/>
          <w:bCs/>
          <w:snapToGrid w:val="0"/>
          <w:color w:val="000000"/>
          <w:sz w:val="21"/>
          <w:szCs w:val="21"/>
          <w:highlight w:val="none"/>
          <w:u w:val="single"/>
          <w:lang w:val="en-US" w:eastAsia="zh-CN" w:bidi="ar-SA"/>
        </w:rPr>
        <w:t>（1）具有独立法人资格的电梯设备制造单位，且具有市场监督管理局核发的《中华人民共和国特种设备生产许可证》（许可项目：电梯制造（含安装、修理、改造），许可子项目：曳引驱动乘客电梯（含消防员电梯））。</w:t>
      </w:r>
    </w:p>
    <w:p w14:paraId="1E211111">
      <w:pPr>
        <w:pStyle w:val="2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22" w:firstLineChars="200"/>
        <w:textAlignment w:val="auto"/>
        <w:rPr>
          <w:rFonts w:hint="eastAsia" w:ascii="宋体" w:hAnsi="宋体" w:eastAsia="宋体" w:cs="宋体"/>
          <w:snapToGrid w:val="0"/>
          <w:color w:val="000000"/>
          <w:sz w:val="21"/>
          <w:szCs w:val="21"/>
          <w:highlight w:val="none"/>
          <w:u w:val="single"/>
          <w:lang w:val="en-US" w:eastAsia="zh-CN" w:bidi="ar-SA"/>
        </w:rPr>
      </w:pPr>
      <w:r>
        <w:rPr>
          <w:rFonts w:hint="eastAsia" w:ascii="宋体" w:hAnsi="宋体" w:eastAsia="宋体" w:cs="宋体"/>
          <w:b/>
          <w:bCs/>
          <w:snapToGrid w:val="0"/>
          <w:color w:val="000000"/>
          <w:sz w:val="21"/>
          <w:szCs w:val="21"/>
          <w:highlight w:val="none"/>
          <w:u w:val="single"/>
          <w:lang w:val="en-US" w:eastAsia="zh-CN" w:bidi="ar-SA"/>
        </w:rPr>
        <w:t>（2）具有独立法人资格的电梯设备销售代理单位（须有制造单位对本项目的唯一授权书，授权书格式见投标文件格式附件九），投标品牌的电梯设备制造单位须满足前述（1）条要求。</w:t>
      </w:r>
    </w:p>
    <w:p w14:paraId="677E7545">
      <w:pPr>
        <w:pStyle w:val="2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5.2 </w:t>
      </w:r>
      <w:r>
        <w:rPr>
          <w:rFonts w:hint="eastAsia" w:ascii="宋体" w:hAnsi="宋体" w:eastAsia="宋体" w:cs="宋体"/>
          <w:color w:val="auto"/>
          <w:sz w:val="21"/>
          <w:szCs w:val="21"/>
          <w:highlight w:val="none"/>
          <w:u w:val="single"/>
        </w:rPr>
        <w:t>投标人自</w:t>
      </w:r>
      <w:r>
        <w:rPr>
          <w:rFonts w:hint="eastAsia" w:ascii="宋体" w:hAnsi="宋体" w:eastAsia="宋体" w:cs="宋体"/>
          <w:b/>
          <w:bCs/>
          <w:color w:val="auto"/>
          <w:spacing w:val="-1"/>
          <w:sz w:val="21"/>
          <w:szCs w:val="21"/>
          <w:highlight w:val="none"/>
          <w:u w:val="single"/>
        </w:rPr>
        <w:t>20</w:t>
      </w:r>
      <w:r>
        <w:rPr>
          <w:rFonts w:hint="eastAsia" w:ascii="宋体" w:hAnsi="宋体" w:eastAsia="宋体" w:cs="宋体"/>
          <w:b/>
          <w:bCs/>
          <w:color w:val="auto"/>
          <w:spacing w:val="-1"/>
          <w:sz w:val="21"/>
          <w:szCs w:val="21"/>
          <w:highlight w:val="none"/>
          <w:u w:val="single"/>
          <w:lang w:val="en-US" w:eastAsia="zh-CN"/>
        </w:rPr>
        <w:t>20</w:t>
      </w:r>
      <w:r>
        <w:rPr>
          <w:rFonts w:hint="eastAsia" w:ascii="宋体" w:hAnsi="宋体" w:eastAsia="宋体" w:cs="宋体"/>
          <w:b/>
          <w:bCs/>
          <w:color w:val="auto"/>
          <w:spacing w:val="-1"/>
          <w:sz w:val="21"/>
          <w:szCs w:val="21"/>
          <w:highlight w:val="none"/>
          <w:u w:val="single"/>
        </w:rPr>
        <w:t>年</w:t>
      </w:r>
      <w:r>
        <w:rPr>
          <w:rFonts w:hint="eastAsia" w:ascii="宋体" w:hAnsi="宋体" w:eastAsia="宋体" w:cs="宋体"/>
          <w:b/>
          <w:bCs/>
          <w:color w:val="auto"/>
          <w:spacing w:val="-1"/>
          <w:sz w:val="21"/>
          <w:szCs w:val="21"/>
          <w:highlight w:val="none"/>
          <w:u w:val="single"/>
          <w:lang w:val="en-US" w:eastAsia="zh-CN"/>
        </w:rPr>
        <w:t>7</w:t>
      </w:r>
      <w:r>
        <w:rPr>
          <w:rFonts w:hint="eastAsia" w:ascii="宋体" w:hAnsi="宋体" w:eastAsia="宋体" w:cs="宋体"/>
          <w:b/>
          <w:bCs/>
          <w:color w:val="auto"/>
          <w:spacing w:val="-1"/>
          <w:sz w:val="21"/>
          <w:szCs w:val="21"/>
          <w:highlight w:val="none"/>
          <w:u w:val="single"/>
        </w:rPr>
        <w:t>月</w:t>
      </w:r>
      <w:r>
        <w:rPr>
          <w:rFonts w:hint="eastAsia" w:ascii="宋体" w:hAnsi="宋体" w:eastAsia="宋体" w:cs="宋体"/>
          <w:b/>
          <w:bCs/>
          <w:color w:val="auto"/>
          <w:spacing w:val="-1"/>
          <w:sz w:val="21"/>
          <w:szCs w:val="21"/>
          <w:highlight w:val="none"/>
          <w:u w:val="single"/>
          <w:lang w:val="en-US" w:eastAsia="zh-CN"/>
        </w:rPr>
        <w:t>1</w:t>
      </w:r>
      <w:r>
        <w:rPr>
          <w:rFonts w:hint="eastAsia" w:ascii="宋体" w:hAnsi="宋体" w:eastAsia="宋体" w:cs="宋体"/>
          <w:b/>
          <w:bCs/>
          <w:color w:val="auto"/>
          <w:spacing w:val="-1"/>
          <w:sz w:val="21"/>
          <w:szCs w:val="21"/>
          <w:highlight w:val="none"/>
          <w:u w:val="single"/>
        </w:rPr>
        <w:t>日</w:t>
      </w:r>
      <w:r>
        <w:rPr>
          <w:rFonts w:hint="eastAsia" w:ascii="宋体" w:hAnsi="宋体" w:eastAsia="宋体" w:cs="宋体"/>
          <w:color w:val="auto"/>
          <w:sz w:val="21"/>
          <w:szCs w:val="21"/>
          <w:highlight w:val="none"/>
          <w:u w:val="single"/>
        </w:rPr>
        <w:t>以来</w:t>
      </w:r>
      <w:r>
        <w:rPr>
          <w:rFonts w:hint="eastAsia" w:ascii="宋体" w:hAnsi="宋体" w:eastAsia="宋体" w:cs="宋体"/>
          <w:color w:val="auto"/>
          <w:spacing w:val="-1"/>
          <w:sz w:val="21"/>
          <w:szCs w:val="21"/>
          <w:highlight w:val="none"/>
          <w:u w:val="single"/>
        </w:rPr>
        <w:t>【以合同签订时间为准】</w:t>
      </w:r>
      <w:r>
        <w:rPr>
          <w:rFonts w:hint="eastAsia" w:ascii="宋体" w:hAnsi="宋体" w:eastAsia="宋体" w:cs="宋体"/>
          <w:color w:val="auto"/>
          <w:sz w:val="21"/>
          <w:szCs w:val="21"/>
          <w:highlight w:val="none"/>
          <w:u w:val="single"/>
        </w:rPr>
        <w:t>完成过单个合同金额</w:t>
      </w:r>
      <w:r>
        <w:rPr>
          <w:rFonts w:hint="eastAsia" w:ascii="宋体" w:hAnsi="宋体" w:eastAsia="宋体" w:cs="宋体"/>
          <w:b/>
          <w:bCs/>
          <w:color w:val="auto"/>
          <w:sz w:val="21"/>
          <w:szCs w:val="21"/>
          <w:highlight w:val="none"/>
          <w:u w:val="single"/>
          <w:lang w:val="en-US" w:eastAsia="zh-CN"/>
        </w:rPr>
        <w:t>500</w:t>
      </w:r>
      <w:r>
        <w:rPr>
          <w:rFonts w:hint="eastAsia" w:ascii="宋体" w:hAnsi="宋体" w:eastAsia="宋体" w:cs="宋体"/>
          <w:b/>
          <w:bCs/>
          <w:color w:val="auto"/>
          <w:sz w:val="21"/>
          <w:szCs w:val="21"/>
          <w:highlight w:val="none"/>
          <w:u w:val="single"/>
        </w:rPr>
        <w:t>万元</w:t>
      </w:r>
      <w:r>
        <w:rPr>
          <w:rFonts w:hint="eastAsia" w:ascii="宋体" w:hAnsi="宋体" w:eastAsia="宋体" w:cs="宋体"/>
          <w:color w:val="auto"/>
          <w:sz w:val="21"/>
          <w:szCs w:val="21"/>
          <w:highlight w:val="none"/>
          <w:u w:val="single"/>
        </w:rPr>
        <w:t>及以上的公共建筑电梯销售（含安装）业绩。</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如投标人为满足5.1要求的电梯设备销售代理单位可提供所代理的投标品牌制造单位的业绩</w:t>
      </w:r>
      <w:r>
        <w:rPr>
          <w:rFonts w:hint="eastAsia" w:ascii="宋体" w:hAnsi="宋体" w:eastAsia="宋体" w:cs="宋体"/>
          <w:b/>
          <w:bCs/>
          <w:color w:val="auto"/>
          <w:sz w:val="21"/>
          <w:szCs w:val="21"/>
          <w:highlight w:val="none"/>
          <w:u w:val="single"/>
          <w:lang w:eastAsia="zh-CN"/>
        </w:rPr>
        <w:t>）</w:t>
      </w:r>
    </w:p>
    <w:p w14:paraId="7965BDF7">
      <w:pPr>
        <w:keepNext w:val="0"/>
        <w:keepLines w:val="0"/>
        <w:pageBreakBefore w:val="0"/>
        <w:kinsoku/>
        <w:wordWrap/>
        <w:overflowPunct/>
        <w:topLinePunct w:val="0"/>
        <w:autoSpaceDE/>
        <w:autoSpaceDN/>
        <w:bidi w:val="0"/>
        <w:adjustRightInd/>
        <w:snapToGrid/>
        <w:spacing w:line="400" w:lineRule="exact"/>
        <w:ind w:left="0" w:right="0" w:firstLine="416"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pacing w:val="-1"/>
          <w:sz w:val="21"/>
          <w:szCs w:val="21"/>
          <w:highlight w:val="none"/>
          <w:u w:val="single"/>
        </w:rPr>
        <w:t>业绩证明材料：中标通知书、合同、</w:t>
      </w:r>
      <w:r>
        <w:rPr>
          <w:rFonts w:hint="eastAsia" w:ascii="宋体" w:hAnsi="宋体" w:eastAsia="宋体" w:cs="宋体"/>
          <w:color w:val="auto"/>
          <w:sz w:val="21"/>
          <w:szCs w:val="21"/>
          <w:highlight w:val="none"/>
          <w:u w:val="single"/>
        </w:rPr>
        <w:t>特种设备使用登记证或特种设备监督检验部门出具的已盖公章（或检测专用章）的检验报告复制件</w:t>
      </w:r>
      <w:r>
        <w:rPr>
          <w:rFonts w:hint="eastAsia" w:ascii="宋体" w:hAnsi="宋体" w:eastAsia="宋体" w:cs="宋体"/>
          <w:color w:val="auto"/>
          <w:spacing w:val="-1"/>
          <w:sz w:val="21"/>
          <w:szCs w:val="21"/>
          <w:highlight w:val="none"/>
          <w:u w:val="single"/>
        </w:rPr>
        <w:t>，上述材料缺一不可；</w:t>
      </w:r>
    </w:p>
    <w:p w14:paraId="74993805">
      <w:pPr>
        <w:pStyle w:val="20"/>
        <w:keepNext w:val="0"/>
        <w:keepLines w:val="0"/>
        <w:pageBreakBefore w:val="0"/>
        <w:widowControl/>
        <w:kinsoku/>
        <w:wordWrap/>
        <w:overflowPunct/>
        <w:topLinePunct w:val="0"/>
        <w:autoSpaceDE/>
        <w:autoSpaceDN/>
        <w:bidi w:val="0"/>
        <w:adjustRightInd/>
        <w:snapToGrid/>
        <w:spacing w:after="0" w:line="400" w:lineRule="exact"/>
        <w:ind w:left="0" w:right="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注：公共建筑定义：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14:paraId="138FB469">
      <w:pPr>
        <w:pStyle w:val="20"/>
        <w:keepNext w:val="0"/>
        <w:keepLines w:val="0"/>
        <w:pageBreakBefore w:val="0"/>
        <w:widowControl/>
        <w:kinsoku/>
        <w:wordWrap/>
        <w:overflowPunct/>
        <w:topLinePunct w:val="0"/>
        <w:autoSpaceDE/>
        <w:autoSpaceDN/>
        <w:bidi w:val="0"/>
        <w:adjustRightInd/>
        <w:snapToGrid/>
        <w:spacing w:after="0" w:line="400" w:lineRule="exact"/>
        <w:ind w:left="0" w:right="0" w:firstLine="420" w:firstLineChars="200"/>
        <w:textAlignment w:val="auto"/>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5.3 </w:t>
      </w:r>
      <w:r>
        <w:rPr>
          <w:rFonts w:hint="eastAsia" w:ascii="宋体" w:hAnsi="宋体" w:eastAsia="宋体" w:cs="宋体"/>
          <w:color w:val="auto"/>
          <w:sz w:val="21"/>
          <w:szCs w:val="21"/>
          <w:highlight w:val="none"/>
          <w:u w:val="single"/>
        </w:rPr>
        <w:t>一个制造单位对同一品牌的电梯，仅能委托一个代理单位参加投标，否则均作废标处理。如制造单位与其代理单位同时参与投标，制造单位投标有效，代理单位作废标处理。</w:t>
      </w:r>
    </w:p>
    <w:p w14:paraId="7EEF3D94">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三、招标文件的获取</w:t>
      </w:r>
    </w:p>
    <w:p w14:paraId="482C448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snapToGrid/>
        <w:spacing w:before="0" w:beforeAutospacing="0" w:afterAutospacing="0" w:line="400" w:lineRule="exact"/>
        <w:ind w:left="0" w:right="0" w:firstLine="420"/>
        <w:jc w:val="left"/>
        <w:textAlignment w:val="baseline"/>
        <w:rPr>
          <w:rFonts w:hint="eastAsia" w:ascii="宋体" w:hAnsi="宋体" w:eastAsia="宋体" w:cs="宋体"/>
          <w:i w:val="0"/>
          <w:iCs w:val="0"/>
          <w:caps w:val="0"/>
          <w:color w:val="3F3F3F"/>
          <w:spacing w:val="0"/>
          <w:sz w:val="19"/>
          <w:szCs w:val="19"/>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1.本项目招标文件（含图纸）和补充（答疑、澄清）、修改文件以网上下载方式发放，</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000000"/>
          <w:spacing w:val="0"/>
          <w:kern w:val="0"/>
          <w:sz w:val="21"/>
          <w:szCs w:val="21"/>
          <w:highlight w:val="none"/>
          <w:lang w:val="en-US" w:eastAsia="zh-CN" w:bidi="ar"/>
        </w:rPr>
        <w:t>，请各潜在投标人使用CA锁登录绍兴市公共资源交易中心电子招投标交易平台（http://220.187.225.202:8088/TPBidder-ztk/memberLogin）获取,未使用CA锁登录并获取招标文件的投标将被拒收。</w:t>
      </w:r>
    </w:p>
    <w:p w14:paraId="68E550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snapToGrid/>
        <w:spacing w:before="0" w:beforeAutospacing="0" w:afterAutospacing="0" w:line="400" w:lineRule="exact"/>
        <w:ind w:left="0" w:right="0" w:firstLine="478"/>
        <w:jc w:val="both"/>
        <w:textAlignment w:val="baseline"/>
        <w:rPr>
          <w:rFonts w:hint="eastAsia" w:ascii="宋体" w:hAnsi="宋体" w:eastAsia="宋体" w:cs="宋体"/>
          <w:i w:val="0"/>
          <w:iCs w:val="0"/>
          <w:caps w:val="0"/>
          <w:color w:val="3F3F3F"/>
          <w:spacing w:val="0"/>
          <w:sz w:val="19"/>
          <w:szCs w:val="19"/>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2.招标文件获取下载网址：潜在投标人登录</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000000"/>
          <w:spacing w:val="0"/>
          <w:kern w:val="0"/>
          <w:sz w:val="21"/>
          <w:szCs w:val="21"/>
          <w:highlight w:val="none"/>
          <w:lang w:val="en-US" w:eastAsia="zh-CN" w:bidi="ar"/>
        </w:rPr>
        <w:t>，自行件获取下载招标文件。</w:t>
      </w:r>
    </w:p>
    <w:p w14:paraId="66298C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snapToGrid/>
        <w:spacing w:before="0" w:beforeAutospacing="0" w:afterAutospacing="0" w:line="400" w:lineRule="exact"/>
        <w:ind w:left="0" w:right="0" w:firstLine="420" w:firstLineChars="200"/>
        <w:jc w:val="both"/>
        <w:textAlignment w:val="baseline"/>
        <w:rPr>
          <w:rFonts w:hint="eastAsia" w:ascii="宋体" w:hAnsi="宋体" w:eastAsia="宋体" w:cs="宋体"/>
          <w:snapToGrid/>
          <w:color w:val="000000"/>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3.招标文件网上下载时间：</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（公告发布之日起至投标文件递交截止时间）</w:t>
      </w:r>
      <w:r>
        <w:rPr>
          <w:rFonts w:hint="eastAsia" w:ascii="宋体" w:hAnsi="宋体" w:eastAsia="宋体" w:cs="宋体"/>
          <w:i w:val="0"/>
          <w:iCs w:val="0"/>
          <w:caps w:val="0"/>
          <w:snapToGrid w:val="0"/>
          <w:color w:val="000000"/>
          <w:spacing w:val="0"/>
          <w:kern w:val="0"/>
          <w:sz w:val="21"/>
          <w:szCs w:val="21"/>
          <w:highlight w:val="none"/>
          <w:lang w:val="en-US" w:eastAsia="zh-CN" w:bidi="ar"/>
        </w:rPr>
        <w:t>。</w:t>
      </w:r>
    </w:p>
    <w:p w14:paraId="08F16B65">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四、投标保证金</w:t>
      </w:r>
    </w:p>
    <w:p w14:paraId="62695436">
      <w:pPr>
        <w:keepNext w:val="0"/>
        <w:keepLines w:val="0"/>
        <w:pageBreakBefore w:val="0"/>
        <w:widowControl w:val="0"/>
        <w:kinsoku/>
        <w:wordWrap/>
        <w:overflowPunct/>
        <w:topLinePunct w:val="0"/>
        <w:autoSpaceDE/>
        <w:autoSpaceDN/>
        <w:bidi w:val="0"/>
        <w:adjustRightInd/>
        <w:snapToGrid/>
        <w:spacing w:line="400" w:lineRule="exact"/>
        <w:ind w:left="0" w:right="0" w:firstLine="369" w:firstLineChars="176"/>
        <w:jc w:val="both"/>
        <w:textAlignment w:val="auto"/>
        <w:rPr>
          <w:rFonts w:hint="eastAsia" w:ascii="宋体" w:hAnsi="宋体" w:eastAsia="宋体" w:cs="宋体"/>
          <w:b/>
          <w:bCs/>
          <w:snapToGrid/>
          <w:color w:val="000000"/>
          <w:kern w:val="2"/>
          <w:highlight w:val="none"/>
        </w:rPr>
      </w:pPr>
      <w:r>
        <w:rPr>
          <w:rFonts w:hint="eastAsia" w:ascii="宋体" w:hAnsi="宋体" w:eastAsia="宋体" w:cs="宋体"/>
          <w:snapToGrid/>
          <w:color w:val="000000"/>
          <w:kern w:val="2"/>
          <w:highlight w:val="none"/>
        </w:rPr>
        <w:t>1.金额：</w:t>
      </w:r>
    </w:p>
    <w:p w14:paraId="4E644385">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highlight w:val="none"/>
        </w:rPr>
      </w:pPr>
      <w:r>
        <w:rPr>
          <w:rFonts w:hint="eastAsia" w:ascii="宋体" w:hAnsi="宋体" w:eastAsia="宋体" w:cs="宋体"/>
          <w:snapToGrid/>
          <w:color w:val="000000"/>
          <w:highlight w:val="none"/>
        </w:rPr>
        <w:t>□本项目不缴纳投标保证金。</w:t>
      </w:r>
    </w:p>
    <w:p w14:paraId="1017876A">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highlight w:val="none"/>
          <w:lang w:eastAsia="zh-CN"/>
        </w:rPr>
        <w:t>☑</w:t>
      </w:r>
      <w:r>
        <w:rPr>
          <w:rFonts w:hint="eastAsia" w:ascii="宋体" w:hAnsi="宋体" w:eastAsia="宋体" w:cs="宋体"/>
          <w:snapToGrid/>
          <w:color w:val="000000"/>
          <w:kern w:val="2"/>
          <w:highlight w:val="none"/>
        </w:rPr>
        <w:t>本项目需缴纳投标保证金</w:t>
      </w:r>
      <w:r>
        <w:rPr>
          <w:rFonts w:hint="eastAsia" w:ascii="宋体" w:hAnsi="宋体" w:eastAsia="宋体" w:cs="宋体"/>
          <w:b/>
          <w:bCs/>
          <w:snapToGrid/>
          <w:color w:val="000000"/>
          <w:kern w:val="2"/>
          <w:highlight w:val="none"/>
          <w:u w:val="single"/>
        </w:rPr>
        <w:t xml:space="preserve"> </w:t>
      </w:r>
      <w:r>
        <w:rPr>
          <w:rFonts w:hint="eastAsia" w:ascii="宋体" w:hAnsi="宋体" w:eastAsia="宋体" w:cs="宋体"/>
          <w:b/>
          <w:bCs/>
          <w:snapToGrid/>
          <w:color w:val="000000"/>
          <w:kern w:val="2"/>
          <w:highlight w:val="none"/>
          <w:u w:val="single"/>
          <w:lang w:val="en-US" w:eastAsia="zh-CN"/>
        </w:rPr>
        <w:t>14</w:t>
      </w:r>
      <w:r>
        <w:rPr>
          <w:rFonts w:hint="eastAsia" w:ascii="宋体" w:hAnsi="宋体" w:eastAsia="宋体" w:cs="宋体"/>
          <w:b/>
          <w:bCs/>
          <w:snapToGrid/>
          <w:color w:val="000000"/>
          <w:kern w:val="2"/>
          <w:highlight w:val="none"/>
          <w:u w:val="single"/>
        </w:rPr>
        <w:t xml:space="preserve"> </w:t>
      </w:r>
      <w:r>
        <w:rPr>
          <w:rFonts w:hint="eastAsia" w:ascii="宋体" w:hAnsi="宋体" w:eastAsia="宋体" w:cs="宋体"/>
          <w:b/>
          <w:bCs/>
          <w:snapToGrid/>
          <w:color w:val="000000"/>
          <w:kern w:val="2"/>
          <w:highlight w:val="none"/>
        </w:rPr>
        <w:t>万元</w:t>
      </w:r>
      <w:r>
        <w:rPr>
          <w:rFonts w:hint="eastAsia" w:ascii="宋体" w:hAnsi="宋体" w:eastAsia="宋体" w:cs="宋体"/>
          <w:color w:val="000000"/>
          <w:highlight w:val="none"/>
        </w:rPr>
        <w:t>（不得超过50万元）</w:t>
      </w:r>
      <w:r>
        <w:rPr>
          <w:rFonts w:hint="eastAsia" w:ascii="宋体" w:hAnsi="宋体" w:eastAsia="宋体" w:cs="宋体"/>
          <w:snapToGrid/>
          <w:color w:val="000000"/>
          <w:kern w:val="2"/>
          <w:highlight w:val="none"/>
        </w:rPr>
        <w:t>，投标保证金在投标人自行获取招标文件后，在</w:t>
      </w:r>
      <w:r>
        <w:rPr>
          <w:rFonts w:hint="eastAsia" w:ascii="宋体" w:hAnsi="宋体" w:eastAsia="宋体" w:cs="宋体"/>
          <w:b/>
          <w:bCs/>
          <w:snapToGrid/>
          <w:color w:val="000000"/>
          <w:kern w:val="2"/>
          <w:highlight w:val="none"/>
        </w:rPr>
        <w:t>投标文件递交截止时间</w:t>
      </w:r>
      <w:r>
        <w:rPr>
          <w:rFonts w:hint="eastAsia" w:ascii="宋体" w:hAnsi="宋体" w:eastAsia="宋体" w:cs="宋体"/>
          <w:snapToGrid/>
          <w:color w:val="000000"/>
          <w:kern w:val="2"/>
          <w:highlight w:val="none"/>
        </w:rPr>
        <w:t>前缴纳。</w:t>
      </w:r>
    </w:p>
    <w:p w14:paraId="7527FE2E">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2.缴纳方式：投标人基本账户银行转出的保函/保证保险/担保公司担保/转账/数字保函等(不包括现金）。</w:t>
      </w:r>
    </w:p>
    <w:p w14:paraId="499DED19">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2.1缴纳要求</w:t>
      </w:r>
      <w:r>
        <w:rPr>
          <w:rFonts w:hint="eastAsia" w:ascii="宋体" w:hAnsi="宋体" w:eastAsia="宋体" w:cs="宋体"/>
          <w:snapToGrid/>
          <w:color w:val="000000"/>
          <w:kern w:val="2"/>
          <w:highlight w:val="none"/>
          <w:lang w:eastAsia="zh-CN"/>
        </w:rPr>
        <w:t>（</w:t>
      </w:r>
      <w:r>
        <w:rPr>
          <w:rFonts w:hint="eastAsia" w:ascii="宋体" w:hAnsi="宋体" w:eastAsia="宋体" w:cs="宋体"/>
          <w:snapToGrid/>
          <w:color w:val="000000"/>
          <w:kern w:val="2"/>
          <w:highlight w:val="none"/>
        </w:rPr>
        <w:t>转账</w:t>
      </w:r>
      <w:r>
        <w:rPr>
          <w:rFonts w:hint="eastAsia" w:ascii="宋体" w:hAnsi="宋体" w:eastAsia="宋体" w:cs="宋体"/>
          <w:snapToGrid/>
          <w:color w:val="000000"/>
          <w:kern w:val="2"/>
          <w:highlight w:val="none"/>
          <w:lang w:eastAsia="zh-CN"/>
        </w:rPr>
        <w:t>）</w:t>
      </w:r>
      <w:r>
        <w:rPr>
          <w:rFonts w:hint="eastAsia" w:ascii="宋体" w:hAnsi="宋体" w:eastAsia="宋体" w:cs="宋体"/>
          <w:snapToGrid/>
          <w:color w:val="000000"/>
          <w:kern w:val="2"/>
          <w:highlight w:val="none"/>
        </w:rPr>
        <w:t>：</w:t>
      </w:r>
    </w:p>
    <w:p w14:paraId="62B56406">
      <w:pPr>
        <w:keepNext w:val="0"/>
        <w:keepLines w:val="0"/>
        <w:pageBreakBefore w:val="0"/>
        <w:wordWrap/>
        <w:overflowPunct/>
        <w:topLinePunct w:val="0"/>
        <w:bidi w:val="0"/>
        <w:adjustRightInd/>
        <w:snapToGrid/>
        <w:spacing w:line="400" w:lineRule="exact"/>
        <w:ind w:left="0" w:right="0" w:firstLine="420" w:firstLineChars="200"/>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账户一：开户单位名称：</w:t>
      </w:r>
      <w:r>
        <w:rPr>
          <w:rFonts w:hint="eastAsia" w:ascii="宋体" w:hAnsi="宋体" w:eastAsia="宋体" w:cs="宋体"/>
          <w:color w:val="000000"/>
          <w:highlight w:val="none"/>
          <w:u w:val="single"/>
        </w:rPr>
        <w:t>绍兴市公共资源交易中心保证金专户，开户行:绍兴银行营业部</w:t>
      </w:r>
      <w:r>
        <w:rPr>
          <w:rFonts w:hint="eastAsia" w:ascii="宋体" w:hAnsi="宋体" w:eastAsia="宋体" w:cs="宋体"/>
          <w:snapToGrid/>
          <w:color w:val="000000"/>
          <w:kern w:val="2"/>
          <w:highlight w:val="none"/>
        </w:rPr>
        <w:t>；账号</w:t>
      </w:r>
      <w:r>
        <w:rPr>
          <w:rFonts w:hint="eastAsia" w:ascii="宋体" w:hAnsi="宋体" w:eastAsia="宋体" w:cs="宋体"/>
          <w:snapToGrid/>
          <w:color w:val="000000"/>
          <w:kern w:val="2"/>
          <w:highlight w:val="none"/>
          <w:u w:val="single"/>
        </w:rPr>
        <w:t xml:space="preserve"> 62248615657</w:t>
      </w:r>
      <w:r>
        <w:rPr>
          <w:rFonts w:hint="eastAsia" w:ascii="宋体" w:hAnsi="宋体" w:eastAsia="宋体" w:cs="宋体"/>
          <w:snapToGrid/>
          <w:color w:val="000000"/>
          <w:kern w:val="2"/>
          <w:highlight w:val="none"/>
          <w:u w:val="single"/>
          <w:lang w:val="en-US" w:eastAsia="zh-CN"/>
        </w:rPr>
        <w:t xml:space="preserve">99177390 </w:t>
      </w:r>
      <w:r>
        <w:rPr>
          <w:rFonts w:hint="eastAsia" w:ascii="宋体" w:hAnsi="宋体" w:eastAsia="宋体" w:cs="宋体"/>
          <w:snapToGrid/>
          <w:color w:val="000000"/>
          <w:kern w:val="2"/>
          <w:highlight w:val="none"/>
        </w:rPr>
        <w:t>；</w:t>
      </w:r>
    </w:p>
    <w:p w14:paraId="49820A81">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投标人须选择以上账户缴纳投标保证金。</w:t>
      </w:r>
    </w:p>
    <w:p w14:paraId="1E566B4D">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2.2</w:t>
      </w:r>
      <w:r>
        <w:rPr>
          <w:rFonts w:hint="eastAsia" w:ascii="宋体" w:hAnsi="宋体" w:eastAsia="宋体" w:cs="宋体"/>
          <w:snapToGrid/>
          <w:color w:val="000000"/>
          <w:kern w:val="2"/>
          <w:highlight w:val="none"/>
          <w:lang w:val="en-US" w:eastAsia="zh-CN"/>
        </w:rPr>
        <w:t>缴</w:t>
      </w:r>
      <w:r>
        <w:rPr>
          <w:rFonts w:hint="eastAsia" w:ascii="宋体" w:hAnsi="宋体" w:eastAsia="宋体" w:cs="宋体"/>
          <w:snapToGrid/>
          <w:color w:val="000000"/>
          <w:kern w:val="2"/>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http://220.187.225.202:8088/TPBidder-ztk/memberLogin</w:t>
      </w:r>
      <w:r>
        <w:rPr>
          <w:rFonts w:hint="eastAsia" w:ascii="宋体" w:hAnsi="宋体" w:eastAsia="宋体" w:cs="宋体"/>
          <w:snapToGrid/>
          <w:color w:val="000000"/>
          <w:kern w:val="2"/>
          <w:highlight w:val="none"/>
        </w:rPr>
        <w:t>）中自主选择办理。</w:t>
      </w:r>
    </w:p>
    <w:p w14:paraId="6F7AC30F">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保函费用必须从投标人企业基本账户转出，并在投标保证金缴纳截止时间前办妥保函手续。</w:t>
      </w:r>
    </w:p>
    <w:p w14:paraId="479EA25B">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dstrike w:val="0"/>
          <w:snapToGrid/>
          <w:color w:val="000000"/>
          <w:kern w:val="2"/>
          <w:highlight w:val="none"/>
        </w:rPr>
      </w:pPr>
      <w:r>
        <w:rPr>
          <w:rFonts w:hint="eastAsia" w:ascii="宋体" w:hAnsi="宋体" w:eastAsia="宋体" w:cs="宋体"/>
          <w:strike w:val="0"/>
          <w:dstrike w:val="0"/>
          <w:snapToGrid/>
          <w:color w:val="000000"/>
          <w:kern w:val="2"/>
          <w:highlight w:val="none"/>
        </w:rPr>
        <w:t>□2.</w:t>
      </w:r>
      <w:r>
        <w:rPr>
          <w:rFonts w:hint="eastAsia" w:ascii="宋体" w:hAnsi="宋体" w:eastAsia="宋体" w:cs="宋体"/>
          <w:strike w:val="0"/>
          <w:dstrike w:val="0"/>
          <w:snapToGrid/>
          <w:color w:val="000000"/>
          <w:kern w:val="2"/>
          <w:highlight w:val="none"/>
          <w:lang w:val="en-US" w:eastAsia="zh-CN"/>
        </w:rPr>
        <w:t>3</w:t>
      </w:r>
      <w:r>
        <w:rPr>
          <w:rFonts w:hint="eastAsia" w:ascii="宋体" w:hAnsi="宋体" w:eastAsia="宋体" w:cs="宋体"/>
          <w:strike w:val="0"/>
          <w:dstrike w:val="0"/>
          <w:snapToGrid/>
          <w:color w:val="000000"/>
          <w:kern w:val="2"/>
          <w:highlight w:val="none"/>
        </w:rPr>
        <w:t>本项目对</w:t>
      </w:r>
      <w:r>
        <w:rPr>
          <w:rFonts w:hint="eastAsia" w:ascii="宋体" w:hAnsi="宋体" w:eastAsia="宋体" w:cs="宋体"/>
          <w:strike w:val="0"/>
          <w:dstrike w:val="0"/>
          <w:snapToGrid/>
          <w:color w:val="000000"/>
          <w:kern w:val="2"/>
          <w:highlight w:val="none"/>
          <w:u w:val="single"/>
        </w:rPr>
        <w:t xml:space="preserve"> </w:t>
      </w:r>
      <w:r>
        <w:rPr>
          <w:rFonts w:hint="eastAsia" w:ascii="宋体" w:hAnsi="宋体" w:eastAsia="宋体" w:cs="宋体"/>
          <w:strike w:val="0"/>
          <w:dstrike w:val="0"/>
          <w:snapToGrid/>
          <w:color w:val="000000"/>
          <w:kern w:val="2"/>
          <w:highlight w:val="none"/>
          <w:u w:val="single"/>
          <w:lang w:val="en-US" w:eastAsia="zh-CN"/>
        </w:rPr>
        <w:t>/</w:t>
      </w:r>
      <w:r>
        <w:rPr>
          <w:rFonts w:hint="eastAsia" w:ascii="宋体" w:hAnsi="宋体" w:eastAsia="宋体" w:cs="宋体"/>
          <w:strike w:val="0"/>
          <w:dstrike w:val="0"/>
          <w:snapToGrid/>
          <w:color w:val="000000"/>
          <w:kern w:val="2"/>
          <w:highlight w:val="none"/>
          <w:u w:val="single"/>
        </w:rPr>
        <w:t xml:space="preserve"> </w:t>
      </w:r>
      <w:r>
        <w:rPr>
          <w:rFonts w:hint="eastAsia" w:ascii="宋体" w:hAnsi="宋体" w:eastAsia="宋体" w:cs="宋体"/>
          <w:strike w:val="0"/>
          <w:dstrike w:val="0"/>
          <w:snapToGrid/>
          <w:color w:val="000000"/>
          <w:kern w:val="2"/>
          <w:highlight w:val="none"/>
        </w:rPr>
        <w:t>行业信用评价结果最高等级的投标人免收投标保证金，须具备</w:t>
      </w:r>
      <w:r>
        <w:rPr>
          <w:rFonts w:hint="eastAsia" w:ascii="宋体" w:hAnsi="宋体" w:eastAsia="宋体" w:cs="宋体"/>
          <w:strike w:val="0"/>
          <w:dstrike w:val="0"/>
          <w:snapToGrid/>
          <w:color w:val="000000"/>
          <w:kern w:val="2"/>
          <w:highlight w:val="none"/>
          <w:u w:val="single"/>
        </w:rPr>
        <w:t xml:space="preserve"> </w:t>
      </w:r>
      <w:r>
        <w:rPr>
          <w:rFonts w:hint="eastAsia" w:ascii="宋体" w:hAnsi="宋体" w:eastAsia="宋体" w:cs="宋体"/>
          <w:strike w:val="0"/>
          <w:dstrike w:val="0"/>
          <w:snapToGrid/>
          <w:color w:val="000000"/>
          <w:kern w:val="2"/>
          <w:highlight w:val="none"/>
          <w:u w:val="single"/>
          <w:lang w:val="en-US" w:eastAsia="zh-CN"/>
        </w:rPr>
        <w:t>/</w:t>
      </w:r>
      <w:r>
        <w:rPr>
          <w:rFonts w:hint="eastAsia" w:ascii="宋体" w:hAnsi="宋体" w:eastAsia="宋体" w:cs="宋体"/>
          <w:strike w:val="0"/>
          <w:dstrike w:val="0"/>
          <w:snapToGrid/>
          <w:color w:val="000000"/>
          <w:kern w:val="2"/>
          <w:highlight w:val="none"/>
          <w:u w:val="single"/>
        </w:rPr>
        <w:t xml:space="preserve"> </w:t>
      </w:r>
      <w:r>
        <w:rPr>
          <w:rFonts w:hint="eastAsia" w:ascii="宋体" w:hAnsi="宋体" w:eastAsia="宋体" w:cs="宋体"/>
          <w:strike w:val="0"/>
          <w:dstrike w:val="0"/>
          <w:snapToGrid/>
          <w:color w:val="000000"/>
          <w:kern w:val="2"/>
          <w:highlight w:val="none"/>
        </w:rPr>
        <w:t>条件。</w:t>
      </w:r>
    </w:p>
    <w:p w14:paraId="3C4E35DE">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rPr>
        <w:t>注：1.请各投标人在缴纳投标保证金前自行核对统一主体库内填写的基本账户信息，避免出现保证金缴纳后无法匹配的现象。</w:t>
      </w:r>
    </w:p>
    <w:p w14:paraId="015033D5">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snapToGrid/>
          <w:color w:val="000000"/>
          <w:kern w:val="2"/>
          <w:highlight w:val="none"/>
        </w:rPr>
      </w:pPr>
      <w:r>
        <w:rPr>
          <w:rFonts w:hint="eastAsia" w:ascii="宋体" w:hAnsi="宋体" w:eastAsia="宋体" w:cs="宋体"/>
          <w:snapToGrid/>
          <w:color w:val="000000"/>
          <w:kern w:val="2"/>
          <w:highlight w:val="none"/>
        </w:rPr>
        <w:t>2.重新招标项目，参与投标的投标人仍需按上述规定要求重新递交投标保证金。</w:t>
      </w:r>
      <w:r>
        <w:rPr>
          <w:rFonts w:hint="eastAsia" w:ascii="宋体" w:hAnsi="宋体" w:eastAsia="宋体" w:cs="宋体"/>
          <w:strike w:val="0"/>
          <w:dstrike w:val="0"/>
          <w:snapToGrid/>
          <w:color w:val="000000"/>
          <w:kern w:val="2"/>
          <w:highlight w:val="none"/>
        </w:rPr>
        <w:t>如联合体投标的，其投标保证金由牵头人递交。</w:t>
      </w:r>
    </w:p>
    <w:p w14:paraId="3DD576AD">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highlight w:val="none"/>
        </w:rPr>
      </w:pPr>
      <w:r>
        <w:rPr>
          <w:rFonts w:hint="eastAsia" w:ascii="宋体" w:hAnsi="宋体" w:eastAsia="宋体" w:cs="宋体"/>
          <w:color w:val="000000"/>
          <w:highlight w:val="none"/>
        </w:rPr>
        <w:t>五、投标文件递交</w:t>
      </w:r>
    </w:p>
    <w:p w14:paraId="7CEEEEE4">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1.投标文件递交截止时间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2025</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12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31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09</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时</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30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分</w:t>
      </w:r>
      <w:r>
        <w:rPr>
          <w:rFonts w:hint="eastAsia" w:ascii="宋体" w:hAnsi="宋体" w:eastAsia="宋体" w:cs="宋体"/>
          <w:color w:val="000000"/>
          <w:highlight w:val="none"/>
        </w:rPr>
        <w:t>；</w:t>
      </w:r>
    </w:p>
    <w:p w14:paraId="00F95E84">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2.投标文件递交方式：</w:t>
      </w:r>
    </w:p>
    <w:p w14:paraId="3924BD8F">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t>□2.1电子招标投标交易平台：</w:t>
      </w:r>
      <w:r>
        <w:rPr>
          <w:rFonts w:hint="eastAsia" w:ascii="宋体" w:hAnsi="宋体" w:eastAsia="宋体" w:cs="宋体"/>
          <w:strike w:val="0"/>
          <w:dstrike w:val="0"/>
          <w:color w:val="000000"/>
          <w:sz w:val="21"/>
          <w:szCs w:val="21"/>
          <w:highlight w:val="none"/>
          <w:u w:val="single"/>
        </w:rPr>
        <w:t xml:space="preserve">                                     </w:t>
      </w:r>
      <w:r>
        <w:rPr>
          <w:rFonts w:hint="eastAsia" w:ascii="宋体" w:hAnsi="宋体" w:eastAsia="宋体" w:cs="宋体"/>
          <w:strike w:val="0"/>
          <w:dstrike w:val="0"/>
          <w:color w:val="000000"/>
          <w:sz w:val="21"/>
          <w:szCs w:val="21"/>
          <w:highlight w:val="none"/>
        </w:rPr>
        <w:t>。</w:t>
      </w:r>
    </w:p>
    <w:p w14:paraId="7B85F85B">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2.2纸质标书递交，地点为：绍兴市公共资源交易中心指定</w:t>
      </w:r>
      <w:r>
        <w:rPr>
          <w:rFonts w:hint="eastAsia" w:ascii="宋体" w:hAnsi="宋体" w:cs="宋体"/>
          <w:color w:val="000000"/>
          <w:sz w:val="21"/>
          <w:szCs w:val="21"/>
          <w:highlight w:val="none"/>
          <w:lang w:val="en-US" w:eastAsia="zh-CN"/>
        </w:rPr>
        <w:t>R2002</w:t>
      </w:r>
      <w:r>
        <w:rPr>
          <w:rFonts w:hint="eastAsia" w:ascii="宋体" w:hAnsi="宋体" w:eastAsia="宋体" w:cs="宋体"/>
          <w:color w:val="000000"/>
          <w:sz w:val="21"/>
          <w:szCs w:val="21"/>
          <w:highlight w:val="none"/>
        </w:rPr>
        <w:t>开标室</w:t>
      </w:r>
      <w:r>
        <w:rPr>
          <w:rFonts w:hint="eastAsia" w:ascii="宋体" w:hAnsi="宋体" w:eastAsia="宋体" w:cs="宋体"/>
          <w:b/>
          <w:bCs/>
          <w:color w:val="000000"/>
          <w:sz w:val="21"/>
          <w:szCs w:val="21"/>
          <w:highlight w:val="none"/>
        </w:rPr>
        <w:t>（绍兴市越城区洋江西路699号梅山春晓）</w:t>
      </w:r>
      <w:r>
        <w:rPr>
          <w:rFonts w:hint="eastAsia" w:ascii="宋体" w:hAnsi="宋体" w:eastAsia="宋体" w:cs="宋体"/>
          <w:color w:val="000000"/>
          <w:sz w:val="21"/>
          <w:szCs w:val="21"/>
          <w:highlight w:val="none"/>
        </w:rPr>
        <w:t>。</w:t>
      </w:r>
    </w:p>
    <w:p w14:paraId="18150C23">
      <w:pPr>
        <w:keepNext w:val="0"/>
        <w:keepLines w:val="0"/>
        <w:pageBreakBefore w:val="0"/>
        <w:wordWrap/>
        <w:overflowPunct/>
        <w:topLinePunct w:val="0"/>
        <w:bidi w:val="0"/>
        <w:adjustRightInd/>
        <w:snapToGrid/>
        <w:spacing w:line="400" w:lineRule="exact"/>
        <w:ind w:left="0" w:right="0" w:firstLine="485"/>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3.□招标文件要求递交的光盘、样品等材料，投标人应在投标截止时间前递交至</w:t>
      </w:r>
      <w:r>
        <w:rPr>
          <w:rFonts w:hint="eastAsia" w:ascii="宋体" w:hAnsi="宋体" w:eastAsia="宋体" w:cs="宋体"/>
          <w:strike w:val="0"/>
          <w:dstrike w:val="0"/>
          <w:color w:val="000000"/>
          <w:highlight w:val="none"/>
          <w:u w:val="single"/>
        </w:rPr>
        <w:t>（招标人指定地点）</w:t>
      </w:r>
      <w:r>
        <w:rPr>
          <w:rFonts w:hint="eastAsia" w:ascii="宋体" w:hAnsi="宋体" w:eastAsia="宋体" w:cs="宋体"/>
          <w:strike w:val="0"/>
          <w:dstrike w:val="0"/>
          <w:color w:val="000000"/>
          <w:highlight w:val="none"/>
        </w:rPr>
        <w:t>。递交光盘、样品等材料时应同时携带递交人法定代表人授权委托书及身份证原件(法定代表人递交的仅需提供身份证原件)。</w:t>
      </w:r>
    </w:p>
    <w:p w14:paraId="2EF46474">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六、发布公告的媒介</w:t>
      </w:r>
    </w:p>
    <w:p w14:paraId="3EB42D58">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本次招标公告同时在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（发布公告的媒介名称）上发布。</w:t>
      </w:r>
    </w:p>
    <w:p w14:paraId="2FD6B8F3">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rPr>
        <w:t>七、监管机构：</w:t>
      </w:r>
      <w:r>
        <w:rPr>
          <w:rFonts w:hint="eastAsia" w:ascii="宋体" w:hAnsi="宋体" w:eastAsia="宋体" w:cs="宋体"/>
          <w:b w:val="0"/>
          <w:bCs w:val="0"/>
          <w:color w:val="000000"/>
          <w:highlight w:val="none"/>
          <w:u w:val="single"/>
        </w:rPr>
        <w:t>绍兴市住房和城乡建设局</w:t>
      </w:r>
      <w:r>
        <w:rPr>
          <w:rFonts w:hint="eastAsia" w:ascii="宋体" w:hAnsi="宋体" w:eastAsia="宋体" w:cs="宋体"/>
          <w:color w:val="auto"/>
          <w:highlight w:val="none"/>
          <w:lang w:eastAsia="zh-CN"/>
        </w:rPr>
        <w:t>。</w:t>
      </w:r>
    </w:p>
    <w:p w14:paraId="457CF5C1">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八、联系方式</w:t>
      </w:r>
    </w:p>
    <w:p w14:paraId="2A7D7968">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招标人：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中建三局集团有限公司、</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000000"/>
          <w:sz w:val="21"/>
          <w:szCs w:val="21"/>
          <w:highlight w:val="none"/>
        </w:rPr>
        <w:t>招标代理机构：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华汇工程设计集团股份有限公司</w:t>
      </w:r>
      <w:r>
        <w:rPr>
          <w:rFonts w:hint="eastAsia" w:ascii="宋体" w:hAnsi="宋体" w:eastAsia="宋体" w:cs="宋体"/>
          <w:color w:val="000000"/>
          <w:sz w:val="21"/>
          <w:szCs w:val="21"/>
          <w:highlight w:val="none"/>
          <w:u w:val="single"/>
        </w:rPr>
        <w:t xml:space="preserve"> </w:t>
      </w:r>
    </w:p>
    <w:p w14:paraId="40AC4232">
      <w:pPr>
        <w:pStyle w:val="20"/>
        <w:keepNext w:val="0"/>
        <w:keepLines w:val="0"/>
        <w:pageBreakBefore w:val="0"/>
        <w:wordWrap/>
        <w:overflowPunct/>
        <w:topLinePunct w:val="0"/>
        <w:bidi w:val="0"/>
        <w:adjustRightInd/>
        <w:snapToGrid/>
        <w:spacing w:after="0" w:line="400" w:lineRule="exact"/>
        <w:ind w:right="0" w:firstLine="840" w:firstLineChars="400"/>
        <w:rPr>
          <w:rFonts w:hint="eastAsia" w:ascii="宋体" w:hAnsi="宋体" w:eastAsia="宋体" w:cs="宋体"/>
          <w:sz w:val="21"/>
          <w:szCs w:val="21"/>
          <w:highlight w:val="none"/>
        </w:rPr>
      </w:pPr>
      <w:r>
        <w:rPr>
          <w:rFonts w:hint="eastAsia" w:ascii="宋体" w:hAnsi="宋体" w:eastAsia="宋体" w:cs="宋体"/>
          <w:color w:val="auto"/>
          <w:sz w:val="21"/>
          <w:szCs w:val="21"/>
          <w:highlight w:val="none"/>
          <w:u w:val="single"/>
        </w:rPr>
        <w:t>绍兴城建市政建设有限公司</w:t>
      </w:r>
    </w:p>
    <w:p w14:paraId="6493D435">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u w:val="single"/>
        </w:rPr>
        <w:t xml:space="preserve">         李金虎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韩钦      </w:t>
      </w:r>
      <w:r>
        <w:rPr>
          <w:rFonts w:hint="eastAsia" w:ascii="宋体" w:hAnsi="宋体" w:eastAsia="宋体" w:cs="宋体"/>
          <w:color w:val="000000"/>
          <w:sz w:val="21"/>
          <w:szCs w:val="21"/>
          <w:highlight w:val="none"/>
          <w:u w:val="single"/>
        </w:rPr>
        <w:t xml:space="preserve">    </w:t>
      </w:r>
    </w:p>
    <w:p w14:paraId="6C3F928D">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18656680760</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13675755752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p>
    <w:p w14:paraId="1EC82345">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w:t>
      </w:r>
      <w:r>
        <w:rPr>
          <w:rFonts w:hint="eastAsia" w:ascii="宋体" w:hAnsi="宋体" w:eastAsia="宋体" w:cs="宋体"/>
          <w:color w:val="000000"/>
          <w:sz w:val="21"/>
          <w:szCs w:val="21"/>
          <w:highlight w:val="none"/>
          <w:u w:val="single"/>
          <w:lang w:val="en-US" w:eastAsia="zh-CN"/>
        </w:rPr>
        <w:t>上海市浦东新区金桥路1389号</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绍兴市解放大道177号华汇大厦</w:t>
      </w:r>
      <w:r>
        <w:rPr>
          <w:rFonts w:hint="eastAsia" w:ascii="宋体" w:hAnsi="宋体" w:eastAsia="宋体" w:cs="宋体"/>
          <w:color w:val="000000"/>
          <w:sz w:val="21"/>
          <w:szCs w:val="21"/>
          <w:highlight w:val="none"/>
          <w:u w:val="single"/>
        </w:rPr>
        <w:t xml:space="preserve">      </w:t>
      </w:r>
    </w:p>
    <w:p w14:paraId="787EEFF2">
      <w:pPr>
        <w:keepNext w:val="0"/>
        <w:keepLines w:val="0"/>
        <w:pageBreakBefore w:val="0"/>
        <w:tabs>
          <w:tab w:val="left" w:pos="6089"/>
        </w:tabs>
        <w:wordWrap/>
        <w:overflowPunct/>
        <w:topLinePunct w:val="0"/>
        <w:bidi w:val="0"/>
        <w:adjustRightInd/>
        <w:snapToGrid/>
        <w:spacing w:line="400" w:lineRule="exact"/>
        <w:ind w:left="0" w:right="0" w:firstLine="6090" w:firstLineChars="2900"/>
        <w:jc w:val="both"/>
        <w:rPr>
          <w:rFonts w:hint="eastAsia" w:ascii="宋体" w:hAnsi="宋体" w:eastAsia="宋体" w:cs="宋体"/>
          <w:color w:val="000000"/>
          <w:highlight w:val="none"/>
          <w:u w:val="single"/>
          <w:lang w:val="en-US" w:eastAsia="zh-CN"/>
        </w:rPr>
      </w:pPr>
    </w:p>
    <w:p w14:paraId="63883984">
      <w:pPr>
        <w:keepNext w:val="0"/>
        <w:keepLines w:val="0"/>
        <w:pageBreakBefore w:val="0"/>
        <w:tabs>
          <w:tab w:val="left" w:pos="6089"/>
        </w:tabs>
        <w:wordWrap/>
        <w:overflowPunct/>
        <w:topLinePunct w:val="0"/>
        <w:bidi w:val="0"/>
        <w:adjustRightInd/>
        <w:snapToGrid/>
        <w:spacing w:line="400" w:lineRule="exact"/>
        <w:ind w:left="0" w:right="0" w:firstLine="6090" w:firstLineChars="2900"/>
        <w:jc w:val="both"/>
        <w:rPr>
          <w:rFonts w:hint="eastAsia" w:ascii="宋体" w:hAnsi="宋体" w:eastAsia="宋体" w:cs="宋体"/>
          <w:color w:val="000000"/>
          <w:highlight w:val="none"/>
        </w:rPr>
      </w:pPr>
      <w:r>
        <w:rPr>
          <w:rFonts w:hint="eastAsia" w:ascii="宋体" w:hAnsi="宋体" w:eastAsia="宋体" w:cs="宋体"/>
          <w:color w:val="000000"/>
          <w:highlight w:val="none"/>
          <w:u w:val="single"/>
          <w:lang w:val="en-US" w:eastAsia="zh-CN"/>
        </w:rPr>
        <w:t xml:space="preserve"> 2025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12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09</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B60AE4F">
      <w:pPr>
        <w:rPr>
          <w:rFonts w:ascii="宋体" w:hAnsi="宋体" w:eastAsia="宋体" w:cs="宋体"/>
          <w:color w:val="000000"/>
          <w:sz w:val="31"/>
          <w:szCs w:val="31"/>
          <w:highlight w:val="none"/>
        </w:rPr>
      </w:pPr>
      <w:bookmarkStart w:id="1" w:name="_bookmark2"/>
      <w:bookmarkEnd w:id="1"/>
      <w:r>
        <w:rPr>
          <w:rFonts w:ascii="宋体" w:hAnsi="宋体" w:eastAsia="宋体" w:cs="宋体"/>
          <w:color w:val="000000"/>
          <w:sz w:val="31"/>
          <w:szCs w:val="31"/>
          <w:highlight w:val="none"/>
        </w:rPr>
        <w:br w:type="page"/>
      </w:r>
    </w:p>
    <w:p w14:paraId="23FD09A2">
      <w:pPr>
        <w:spacing w:before="318" w:line="225" w:lineRule="auto"/>
        <w:ind w:left="3604"/>
        <w:jc w:val="both"/>
        <w:outlineLvl w:val="0"/>
        <w:rPr>
          <w:rFonts w:ascii="宋体" w:hAnsi="宋体" w:eastAsia="宋体" w:cs="宋体"/>
          <w:color w:val="000000"/>
          <w:sz w:val="31"/>
          <w:szCs w:val="31"/>
          <w:highlight w:val="none"/>
        </w:rPr>
      </w:pPr>
      <w:r>
        <w:rPr>
          <w:rFonts w:ascii="宋体" w:hAnsi="宋体" w:eastAsia="宋体" w:cs="宋体"/>
          <w:color w:val="000000"/>
          <w:sz w:val="31"/>
          <w:szCs w:val="31"/>
          <w:highlight w:val="none"/>
        </w:rPr>
        <w:t>第二章投标人须知</w:t>
      </w:r>
    </w:p>
    <w:p w14:paraId="594AD175">
      <w:pPr>
        <w:spacing w:before="236" w:line="220" w:lineRule="auto"/>
        <w:ind w:left="3329"/>
        <w:jc w:val="both"/>
        <w:outlineLvl w:val="1"/>
        <w:rPr>
          <w:rFonts w:ascii="宋体" w:hAnsi="宋体" w:eastAsia="宋体" w:cs="宋体"/>
          <w:color w:val="000000"/>
          <w:sz w:val="28"/>
          <w:szCs w:val="28"/>
          <w:highlight w:val="none"/>
        </w:rPr>
      </w:pPr>
      <w:bookmarkStart w:id="2" w:name="_bookmark3"/>
      <w:bookmarkEnd w:id="2"/>
      <w:r>
        <w:rPr>
          <w:rFonts w:ascii="宋体" w:hAnsi="宋体" w:eastAsia="宋体" w:cs="宋体"/>
          <w:color w:val="000000"/>
          <w:sz w:val="28"/>
          <w:szCs w:val="28"/>
          <w:highlight w:val="none"/>
        </w:rPr>
        <w:t>第一节投标人须知前附表</w:t>
      </w:r>
    </w:p>
    <w:p w14:paraId="429689DB">
      <w:pPr>
        <w:spacing w:line="170" w:lineRule="exact"/>
        <w:jc w:val="both"/>
        <w:rPr>
          <w:color w:val="000000"/>
          <w:highlight w:val="none"/>
        </w:rPr>
      </w:pPr>
    </w:p>
    <w:tbl>
      <w:tblPr>
        <w:tblStyle w:val="55"/>
        <w:tblW w:w="94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5"/>
        <w:gridCol w:w="1859"/>
        <w:gridCol w:w="6363"/>
      </w:tblGrid>
      <w:tr w14:paraId="4EDD4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CBDA132">
            <w:pPr>
              <w:keepNext w:val="0"/>
              <w:keepLines w:val="0"/>
              <w:pageBreakBefore w:val="0"/>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条款号</w:t>
            </w:r>
          </w:p>
        </w:tc>
        <w:tc>
          <w:tcPr>
            <w:tcW w:w="1859" w:type="dxa"/>
            <w:noWrap w:val="0"/>
            <w:vAlign w:val="center"/>
          </w:tcPr>
          <w:p w14:paraId="16390C21">
            <w:pPr>
              <w:keepNext w:val="0"/>
              <w:keepLines w:val="0"/>
              <w:pageBreakBefore w:val="0"/>
              <w:tabs>
                <w:tab w:val="left" w:pos="1480"/>
              </w:tabs>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条款名称</w:t>
            </w:r>
          </w:p>
        </w:tc>
        <w:tc>
          <w:tcPr>
            <w:tcW w:w="6363" w:type="dxa"/>
            <w:noWrap w:val="0"/>
            <w:vAlign w:val="center"/>
          </w:tcPr>
          <w:p w14:paraId="1F382487">
            <w:pPr>
              <w:keepNext w:val="0"/>
              <w:keepLines w:val="0"/>
              <w:pageBreakBefore w:val="0"/>
              <w:tabs>
                <w:tab w:val="left" w:pos="5680"/>
              </w:tabs>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编列内容</w:t>
            </w:r>
          </w:p>
        </w:tc>
      </w:tr>
      <w:tr w14:paraId="2BC6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61C6B4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1.1.2</w:t>
            </w:r>
          </w:p>
        </w:tc>
        <w:tc>
          <w:tcPr>
            <w:tcW w:w="1859" w:type="dxa"/>
            <w:noWrap w:val="0"/>
            <w:vAlign w:val="center"/>
          </w:tcPr>
          <w:p w14:paraId="7559DF5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招标人</w:t>
            </w:r>
          </w:p>
        </w:tc>
        <w:tc>
          <w:tcPr>
            <w:tcW w:w="6363" w:type="dxa"/>
            <w:noWrap w:val="0"/>
            <w:vAlign w:val="top"/>
          </w:tcPr>
          <w:p w14:paraId="4D5F432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名称：</w:t>
            </w:r>
            <w:r>
              <w:rPr>
                <w:rFonts w:hint="eastAsia" w:ascii="宋体" w:hAnsi="宋体" w:eastAsia="宋体" w:cs="宋体"/>
                <w:sz w:val="21"/>
                <w:szCs w:val="21"/>
                <w:highlight w:val="none"/>
                <w:u w:val="single"/>
              </w:rPr>
              <w:t>中建三局集团有限公司、绍兴城建市政建设有限公司</w:t>
            </w:r>
          </w:p>
          <w:p w14:paraId="270E6D69">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地址：</w:t>
            </w:r>
            <w:r>
              <w:rPr>
                <w:rFonts w:hint="eastAsia" w:ascii="宋体" w:hAnsi="宋体" w:eastAsia="宋体" w:cs="宋体"/>
                <w:color w:val="000000"/>
                <w:sz w:val="21"/>
                <w:szCs w:val="21"/>
                <w:highlight w:val="none"/>
                <w:u w:val="single"/>
                <w:lang w:val="en-US" w:eastAsia="zh-CN"/>
              </w:rPr>
              <w:t>上海市浦东新区金桥路1389号</w:t>
            </w:r>
          </w:p>
          <w:p w14:paraId="57509376">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联系人：</w:t>
            </w:r>
            <w:r>
              <w:rPr>
                <w:rFonts w:hint="eastAsia" w:ascii="宋体" w:hAnsi="宋体" w:eastAsia="宋体" w:cs="宋体"/>
                <w:color w:val="000000"/>
                <w:sz w:val="21"/>
                <w:szCs w:val="21"/>
                <w:highlight w:val="none"/>
                <w:u w:val="single"/>
              </w:rPr>
              <w:t>李金虎</w:t>
            </w:r>
          </w:p>
          <w:p w14:paraId="01018709">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联系电话：</w:t>
            </w:r>
            <w:r>
              <w:rPr>
                <w:rFonts w:hint="eastAsia" w:ascii="宋体" w:hAnsi="宋体" w:eastAsia="宋体" w:cs="宋体"/>
                <w:color w:val="000000"/>
                <w:sz w:val="21"/>
                <w:szCs w:val="21"/>
                <w:highlight w:val="none"/>
                <w:u w:val="single"/>
              </w:rPr>
              <w:t>18656680760</w:t>
            </w:r>
          </w:p>
          <w:p w14:paraId="7DFCCFB7">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电子邮箱：</w:t>
            </w:r>
            <w:r>
              <w:rPr>
                <w:rFonts w:hint="eastAsia" w:ascii="宋体" w:hAnsi="宋体" w:eastAsia="宋体" w:cs="宋体"/>
                <w:color w:val="000000"/>
                <w:highlight w:val="none"/>
                <w:u w:val="single"/>
                <w:lang w:val="en-US" w:eastAsia="zh-CN"/>
              </w:rPr>
              <w:t xml:space="preserve">        /        </w:t>
            </w:r>
          </w:p>
        </w:tc>
      </w:tr>
      <w:tr w14:paraId="3D7DB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C12BDFC">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1.1.3</w:t>
            </w:r>
          </w:p>
        </w:tc>
        <w:tc>
          <w:tcPr>
            <w:tcW w:w="1859" w:type="dxa"/>
            <w:noWrap w:val="0"/>
            <w:vAlign w:val="center"/>
          </w:tcPr>
          <w:p w14:paraId="63690BD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招标代理机构</w:t>
            </w:r>
          </w:p>
        </w:tc>
        <w:tc>
          <w:tcPr>
            <w:tcW w:w="6363" w:type="dxa"/>
            <w:noWrap w:val="0"/>
            <w:vAlign w:val="top"/>
          </w:tcPr>
          <w:p w14:paraId="45087BC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名称：</w:t>
            </w:r>
            <w:r>
              <w:rPr>
                <w:rFonts w:hint="eastAsia" w:ascii="宋体" w:hAnsi="宋体" w:eastAsia="宋体" w:cs="宋体"/>
                <w:sz w:val="21"/>
                <w:szCs w:val="21"/>
                <w:highlight w:val="none"/>
                <w:u w:val="single"/>
              </w:rPr>
              <w:t>华汇工程设计集团股份有限公司</w:t>
            </w:r>
            <w:r>
              <w:rPr>
                <w:rFonts w:hint="eastAsia" w:ascii="宋体" w:hAnsi="宋体" w:eastAsia="宋体" w:cs="宋体"/>
                <w:sz w:val="21"/>
                <w:szCs w:val="21"/>
                <w:highlight w:val="none"/>
              </w:rPr>
              <w:t xml:space="preserve"> </w:t>
            </w:r>
          </w:p>
          <w:p w14:paraId="744D322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地址：</w:t>
            </w:r>
            <w:r>
              <w:rPr>
                <w:rFonts w:hint="eastAsia" w:ascii="宋体" w:hAnsi="宋体" w:eastAsia="宋体" w:cs="宋体"/>
                <w:sz w:val="21"/>
                <w:szCs w:val="21"/>
                <w:highlight w:val="none"/>
                <w:u w:val="single"/>
              </w:rPr>
              <w:t>绍兴市解放大道177号华汇大厦</w:t>
            </w:r>
          </w:p>
          <w:p w14:paraId="4E8D31A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sz w:val="21"/>
                <w:szCs w:val="21"/>
                <w:highlight w:val="none"/>
                <w:u w:val="single"/>
              </w:rPr>
              <w:t>韩钦</w:t>
            </w:r>
          </w:p>
          <w:p w14:paraId="11A7190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sz w:val="21"/>
                <w:szCs w:val="21"/>
                <w:highlight w:val="none"/>
                <w:u w:val="single"/>
              </w:rPr>
              <w:t xml:space="preserve">13675755752 </w:t>
            </w:r>
          </w:p>
          <w:p w14:paraId="7B647DA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电子邮箱：</w:t>
            </w:r>
            <w:r>
              <w:rPr>
                <w:rFonts w:hint="eastAsia" w:ascii="宋体" w:hAnsi="宋体" w:eastAsia="宋体" w:cs="宋体"/>
                <w:sz w:val="21"/>
                <w:szCs w:val="21"/>
                <w:highlight w:val="none"/>
                <w:u w:val="single"/>
              </w:rPr>
              <w:t>1714700@qq.com</w:t>
            </w:r>
          </w:p>
        </w:tc>
      </w:tr>
      <w:tr w14:paraId="113EC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3E4EEC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1.1.4</w:t>
            </w:r>
          </w:p>
        </w:tc>
        <w:tc>
          <w:tcPr>
            <w:tcW w:w="1859" w:type="dxa"/>
            <w:noWrap w:val="0"/>
            <w:vAlign w:val="center"/>
          </w:tcPr>
          <w:p w14:paraId="3F1FB13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项目名称</w:t>
            </w:r>
          </w:p>
        </w:tc>
        <w:tc>
          <w:tcPr>
            <w:tcW w:w="6363" w:type="dxa"/>
            <w:noWrap w:val="0"/>
            <w:vAlign w:val="top"/>
          </w:tcPr>
          <w:p w14:paraId="211CED33">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eastAsia="zh-CN"/>
              </w:rPr>
            </w:pPr>
            <w:r>
              <w:rPr>
                <w:rFonts w:hint="eastAsia" w:ascii="宋体" w:hAnsi="宋体" w:eastAsia="宋体" w:cs="宋体"/>
                <w:color w:val="auto"/>
                <w:highlight w:val="none"/>
                <w:lang w:eastAsia="zh-CN"/>
              </w:rPr>
              <w:t>凤凰山高品质养老院建设工程电梯设备采购安装项目（重新招标）</w:t>
            </w:r>
          </w:p>
        </w:tc>
      </w:tr>
      <w:tr w14:paraId="51002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3662BC1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1.1.5</w:t>
            </w:r>
          </w:p>
        </w:tc>
        <w:tc>
          <w:tcPr>
            <w:tcW w:w="1859" w:type="dxa"/>
            <w:noWrap w:val="0"/>
            <w:vAlign w:val="center"/>
          </w:tcPr>
          <w:p w14:paraId="1F3B9FBE">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建设地点</w:t>
            </w:r>
          </w:p>
        </w:tc>
        <w:tc>
          <w:tcPr>
            <w:tcW w:w="6363" w:type="dxa"/>
            <w:noWrap w:val="0"/>
            <w:vAlign w:val="top"/>
          </w:tcPr>
          <w:p w14:paraId="1CDBC3D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绍兴市越城区解放南路与大明路交叉口西南侧</w:t>
            </w:r>
          </w:p>
        </w:tc>
      </w:tr>
      <w:tr w14:paraId="19BE6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469CDE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1.2.1</w:t>
            </w:r>
          </w:p>
        </w:tc>
        <w:tc>
          <w:tcPr>
            <w:tcW w:w="1859" w:type="dxa"/>
            <w:noWrap w:val="0"/>
            <w:vAlign w:val="center"/>
          </w:tcPr>
          <w:p w14:paraId="6D02FDF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资金来源及比例</w:t>
            </w:r>
          </w:p>
        </w:tc>
        <w:tc>
          <w:tcPr>
            <w:tcW w:w="6363" w:type="dxa"/>
            <w:noWrap w:val="0"/>
            <w:vAlign w:val="top"/>
          </w:tcPr>
          <w:p w14:paraId="106EC25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自筹100%</w:t>
            </w:r>
          </w:p>
        </w:tc>
      </w:tr>
      <w:tr w14:paraId="6BEB1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AC175C7">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1.2.2</w:t>
            </w:r>
          </w:p>
        </w:tc>
        <w:tc>
          <w:tcPr>
            <w:tcW w:w="1859" w:type="dxa"/>
            <w:noWrap w:val="0"/>
            <w:vAlign w:val="center"/>
          </w:tcPr>
          <w:p w14:paraId="703BA8B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资金落实情况</w:t>
            </w:r>
          </w:p>
        </w:tc>
        <w:tc>
          <w:tcPr>
            <w:tcW w:w="6363" w:type="dxa"/>
            <w:noWrap w:val="0"/>
            <w:vAlign w:val="top"/>
          </w:tcPr>
          <w:p w14:paraId="268902AA">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已经落实</w:t>
            </w:r>
          </w:p>
        </w:tc>
      </w:tr>
      <w:tr w14:paraId="28252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3BEFA9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1.3.1</w:t>
            </w:r>
          </w:p>
        </w:tc>
        <w:tc>
          <w:tcPr>
            <w:tcW w:w="1859" w:type="dxa"/>
            <w:noWrap w:val="0"/>
            <w:vAlign w:val="center"/>
          </w:tcPr>
          <w:p w14:paraId="09478B6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招标范围</w:t>
            </w:r>
          </w:p>
        </w:tc>
        <w:tc>
          <w:tcPr>
            <w:tcW w:w="6363" w:type="dxa"/>
            <w:noWrap w:val="0"/>
            <w:vAlign w:val="top"/>
          </w:tcPr>
          <w:p w14:paraId="67154F5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见招标公告内容</w:t>
            </w:r>
          </w:p>
        </w:tc>
      </w:tr>
      <w:tr w14:paraId="382E4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F4AC20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1.3.2</w:t>
            </w:r>
          </w:p>
        </w:tc>
        <w:tc>
          <w:tcPr>
            <w:tcW w:w="1859" w:type="dxa"/>
            <w:noWrap w:val="0"/>
            <w:vAlign w:val="center"/>
          </w:tcPr>
          <w:p w14:paraId="523E65A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交货期</w:t>
            </w:r>
          </w:p>
        </w:tc>
        <w:tc>
          <w:tcPr>
            <w:tcW w:w="6363" w:type="dxa"/>
            <w:noWrap w:val="0"/>
            <w:vAlign w:val="top"/>
          </w:tcPr>
          <w:p w14:paraId="05FA76A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u w:val="singl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月底完成安装及验收，具体配合土建进度完成。</w:t>
            </w:r>
          </w:p>
        </w:tc>
      </w:tr>
      <w:tr w14:paraId="65C74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81A809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1.3.3</w:t>
            </w:r>
          </w:p>
        </w:tc>
        <w:tc>
          <w:tcPr>
            <w:tcW w:w="1859" w:type="dxa"/>
            <w:noWrap w:val="0"/>
            <w:vAlign w:val="center"/>
          </w:tcPr>
          <w:p w14:paraId="1A124DA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质量保证期</w:t>
            </w:r>
          </w:p>
        </w:tc>
        <w:tc>
          <w:tcPr>
            <w:tcW w:w="6363" w:type="dxa"/>
            <w:noWrap w:val="0"/>
            <w:vAlign w:val="top"/>
          </w:tcPr>
          <w:p w14:paraId="4CB55693">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val="0"/>
                <w:bCs w:val="0"/>
                <w:color w:val="auto"/>
                <w:highlight w:val="none"/>
                <w:u w:val="single"/>
              </w:rPr>
              <w:t xml:space="preserve"> 24 </w:t>
            </w:r>
            <w:r>
              <w:rPr>
                <w:rFonts w:ascii="宋体" w:hAnsi="宋体" w:eastAsia="宋体" w:cs="宋体"/>
                <w:b w:val="0"/>
                <w:bCs w:val="0"/>
                <w:color w:val="auto"/>
                <w:highlight w:val="none"/>
              </w:rPr>
              <w:t>个月，时间</w:t>
            </w:r>
            <w:r>
              <w:rPr>
                <w:rFonts w:hint="eastAsia" w:ascii="宋体" w:hAnsi="宋体"/>
                <w:b w:val="0"/>
                <w:bCs w:val="0"/>
                <w:color w:val="auto"/>
                <w:highlight w:val="none"/>
                <w:u w:val="single"/>
              </w:rPr>
              <w:t>从项目整体竣工验收合格之日起计算</w:t>
            </w:r>
            <w:r>
              <w:rPr>
                <w:rFonts w:ascii="宋体" w:hAnsi="宋体" w:eastAsia="宋体" w:cs="宋体"/>
                <w:color w:val="auto"/>
                <w:highlight w:val="none"/>
              </w:rPr>
              <w:t>。</w:t>
            </w:r>
          </w:p>
        </w:tc>
      </w:tr>
      <w:tr w14:paraId="1842F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20B21D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1.4.1</w:t>
            </w:r>
          </w:p>
        </w:tc>
        <w:tc>
          <w:tcPr>
            <w:tcW w:w="1859" w:type="dxa"/>
            <w:noWrap w:val="0"/>
            <w:vAlign w:val="center"/>
          </w:tcPr>
          <w:p w14:paraId="0F3CCC0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投标人资格条件、要求</w:t>
            </w:r>
          </w:p>
        </w:tc>
        <w:tc>
          <w:tcPr>
            <w:tcW w:w="6363" w:type="dxa"/>
            <w:noWrap w:val="0"/>
            <w:vAlign w:val="center"/>
          </w:tcPr>
          <w:p w14:paraId="1B7D8AD6">
            <w:pPr>
              <w:keepNext w:val="0"/>
              <w:keepLines w:val="0"/>
              <w:pageBreakBefore w:val="0"/>
              <w:tabs>
                <w:tab w:val="left" w:pos="5680"/>
              </w:tabs>
              <w:overflowPunct/>
              <w:bidi w:val="0"/>
              <w:adjustRightInd/>
              <w:snapToGrid/>
              <w:spacing w:line="312" w:lineRule="auto"/>
              <w:ind w:left="105" w:leftChars="50" w:right="105" w:rightChars="50"/>
              <w:jc w:val="left"/>
              <w:rPr>
                <w:rFonts w:hint="eastAsia" w:ascii="宋体" w:hAnsi="宋体" w:eastAsia="宋体" w:cs="宋体"/>
                <w:color w:val="000000"/>
                <w:highlight w:val="none"/>
              </w:rPr>
            </w:pPr>
            <w:r>
              <w:rPr>
                <w:rFonts w:hint="eastAsia" w:ascii="宋体" w:hAnsi="宋体" w:eastAsia="宋体" w:cs="宋体"/>
                <w:color w:val="000000"/>
                <w:highlight w:val="none"/>
              </w:rPr>
              <w:t>见招标公告内容</w:t>
            </w:r>
          </w:p>
        </w:tc>
      </w:tr>
      <w:tr w14:paraId="3987D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F54531E">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1.4.2</w:t>
            </w:r>
          </w:p>
        </w:tc>
        <w:tc>
          <w:tcPr>
            <w:tcW w:w="1859" w:type="dxa"/>
            <w:noWrap w:val="0"/>
            <w:vAlign w:val="center"/>
          </w:tcPr>
          <w:p w14:paraId="19F32D7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是否接受联合体投标</w:t>
            </w:r>
          </w:p>
        </w:tc>
        <w:tc>
          <w:tcPr>
            <w:tcW w:w="6363" w:type="dxa"/>
            <w:noWrap w:val="0"/>
            <w:vAlign w:val="top"/>
          </w:tcPr>
          <w:p w14:paraId="0588044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不接受</w:t>
            </w:r>
          </w:p>
          <w:p w14:paraId="5164854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□接受，应满足下列要求：</w:t>
            </w:r>
          </w:p>
        </w:tc>
      </w:tr>
      <w:tr w14:paraId="3DA8E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7B1171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1.9.1</w:t>
            </w:r>
          </w:p>
        </w:tc>
        <w:tc>
          <w:tcPr>
            <w:tcW w:w="1859" w:type="dxa"/>
            <w:noWrap w:val="0"/>
            <w:vAlign w:val="center"/>
          </w:tcPr>
          <w:p w14:paraId="209CE3F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踏勘现场</w:t>
            </w:r>
          </w:p>
        </w:tc>
        <w:tc>
          <w:tcPr>
            <w:tcW w:w="6363" w:type="dxa"/>
            <w:noWrap w:val="0"/>
            <w:vAlign w:val="top"/>
          </w:tcPr>
          <w:p w14:paraId="3E7219B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不组织。</w:t>
            </w:r>
          </w:p>
          <w:p w14:paraId="7128C17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□组织。联系人：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踏勘时间：</w:t>
            </w:r>
            <w:r>
              <w:rPr>
                <w:rFonts w:hint="eastAsia" w:ascii="宋体" w:hAnsi="宋体" w:eastAsia="宋体" w:cs="宋体"/>
                <w:color w:val="000000"/>
                <w:highlight w:val="none"/>
                <w:u w:val="single"/>
              </w:rPr>
              <w:t xml:space="preserve">                  </w:t>
            </w:r>
          </w:p>
          <w:p w14:paraId="4990330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踏勘集中地点：</w:t>
            </w:r>
            <w:r>
              <w:rPr>
                <w:rFonts w:hint="eastAsia" w:ascii="宋体" w:hAnsi="宋体" w:eastAsia="宋体" w:cs="宋体"/>
                <w:color w:val="000000"/>
                <w:highlight w:val="none"/>
                <w:u w:val="single"/>
              </w:rPr>
              <w:t xml:space="preserve">                  </w:t>
            </w:r>
          </w:p>
        </w:tc>
      </w:tr>
      <w:tr w14:paraId="327EA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D51B57E">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1.10.1</w:t>
            </w:r>
          </w:p>
        </w:tc>
        <w:tc>
          <w:tcPr>
            <w:tcW w:w="1859" w:type="dxa"/>
            <w:noWrap w:val="0"/>
            <w:vAlign w:val="center"/>
          </w:tcPr>
          <w:p w14:paraId="1A69CEE9">
            <w:pPr>
              <w:keepNext w:val="0"/>
              <w:keepLines w:val="0"/>
              <w:pageBreakBefore w:val="0"/>
              <w:widowControl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投标预备会</w:t>
            </w:r>
          </w:p>
        </w:tc>
        <w:tc>
          <w:tcPr>
            <w:tcW w:w="6363" w:type="dxa"/>
            <w:noWrap w:val="0"/>
            <w:vAlign w:val="top"/>
          </w:tcPr>
          <w:p w14:paraId="0525A9E7">
            <w:pPr>
              <w:keepNext w:val="0"/>
              <w:keepLines w:val="0"/>
              <w:pageBreakBefore w:val="0"/>
              <w:widowControl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不召开。</w:t>
            </w:r>
          </w:p>
          <w:p w14:paraId="733E6E66">
            <w:pPr>
              <w:keepNext w:val="0"/>
              <w:keepLines w:val="0"/>
              <w:pageBreakBefore w:val="0"/>
              <w:widowControl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□召开。召开时间：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召开地点：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p>
        </w:tc>
      </w:tr>
      <w:tr w14:paraId="0A1CB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A9A2E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1.10.2</w:t>
            </w:r>
          </w:p>
        </w:tc>
        <w:tc>
          <w:tcPr>
            <w:tcW w:w="1859" w:type="dxa"/>
            <w:noWrap w:val="0"/>
            <w:vAlign w:val="center"/>
          </w:tcPr>
          <w:p w14:paraId="3EFB51A5">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投标人提出问题的截止时间、上传疑问方式</w:t>
            </w:r>
          </w:p>
        </w:tc>
        <w:tc>
          <w:tcPr>
            <w:tcW w:w="6363" w:type="dxa"/>
            <w:noWrap w:val="0"/>
            <w:vAlign w:val="top"/>
          </w:tcPr>
          <w:p w14:paraId="25573B2B">
            <w:pPr>
              <w:keepNext w:val="0"/>
              <w:keepLines w:val="0"/>
              <w:pageBreakBefore w:val="0"/>
              <w:overflowPunct/>
              <w:bidi w:val="0"/>
              <w:adjustRightInd/>
              <w:snapToGrid/>
              <w:spacing w:line="3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提问截止时间：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2025</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12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14</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17</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时</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00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分。（投标人在截止时间以后提出的澄清招标文件的要求，招标人可以拒绝受理），提交方式: </w:t>
            </w:r>
            <w:r>
              <w:rPr>
                <w:rFonts w:hint="eastAsia" w:ascii="宋体" w:hAnsi="宋体"/>
                <w:i/>
                <w:color w:val="auto"/>
                <w:highlight w:val="none"/>
                <w:u w:val="single"/>
              </w:rPr>
              <w:t>在上述时间截止前将加盖公章的PDF</w:t>
            </w:r>
            <w:r>
              <w:rPr>
                <w:rFonts w:hint="eastAsia" w:ascii="宋体" w:hAnsi="宋体" w:eastAsia="宋体"/>
                <w:i/>
                <w:color w:val="auto"/>
                <w:highlight w:val="none"/>
                <w:u w:val="single"/>
              </w:rPr>
              <w:t>及WORD</w:t>
            </w:r>
            <w:r>
              <w:rPr>
                <w:rFonts w:hint="eastAsia" w:ascii="宋体" w:hAnsi="宋体"/>
                <w:i/>
                <w:color w:val="auto"/>
                <w:highlight w:val="none"/>
                <w:u w:val="single"/>
              </w:rPr>
              <w:t>格式的提问书发送至</w:t>
            </w:r>
            <w:r>
              <w:rPr>
                <w:rFonts w:hint="eastAsia" w:ascii="宋体" w:hAnsi="宋体" w:eastAsia="宋体"/>
                <w:i/>
                <w:color w:val="auto"/>
                <w:highlight w:val="none"/>
                <w:u w:val="single"/>
              </w:rPr>
              <w:t>1714700@qq.com</w:t>
            </w:r>
            <w:r>
              <w:rPr>
                <w:rFonts w:hint="eastAsia" w:ascii="宋体" w:hAnsi="宋体" w:eastAsia="宋体" w:cs="宋体"/>
                <w:i/>
                <w:color w:val="000000"/>
                <w:highlight w:val="none"/>
                <w:u w:val="single"/>
              </w:rPr>
              <w:t>。</w:t>
            </w:r>
          </w:p>
          <w:p w14:paraId="78319912">
            <w:pPr>
              <w:keepNext w:val="0"/>
              <w:keepLines w:val="0"/>
              <w:pageBreakBefore w:val="0"/>
              <w:overflowPunct/>
              <w:bidi w:val="0"/>
              <w:adjustRightInd/>
              <w:snapToGrid/>
              <w:spacing w:line="320" w:lineRule="exact"/>
              <w:rPr>
                <w:rFonts w:hint="eastAsia" w:ascii="宋体" w:hAnsi="宋体" w:eastAsia="宋体" w:cs="宋体"/>
                <w:color w:val="000000"/>
                <w:highlight w:val="none"/>
              </w:rPr>
            </w:pPr>
            <w:r>
              <w:rPr>
                <w:rFonts w:hint="eastAsia" w:ascii="宋体" w:hAnsi="宋体"/>
                <w:color w:val="auto"/>
                <w:highlight w:val="none"/>
              </w:rPr>
              <w:t>联系方式：</w:t>
            </w:r>
            <w:r>
              <w:rPr>
                <w:rFonts w:hint="eastAsia" w:ascii="宋体" w:hAnsi="宋体" w:eastAsia="宋体"/>
                <w:i/>
                <w:color w:val="auto"/>
                <w:highlight w:val="none"/>
                <w:u w:val="single"/>
              </w:rPr>
              <w:t xml:space="preserve">13675755752  </w:t>
            </w:r>
            <w:r>
              <w:rPr>
                <w:rFonts w:hint="eastAsia" w:ascii="宋体" w:hAnsi="宋体"/>
                <w:color w:val="auto"/>
                <w:highlight w:val="none"/>
              </w:rPr>
              <w:t>联系人：</w:t>
            </w:r>
            <w:r>
              <w:rPr>
                <w:rFonts w:hint="eastAsia" w:ascii="宋体" w:hAnsi="宋体" w:eastAsia="宋体"/>
                <w:i/>
                <w:color w:val="auto"/>
                <w:highlight w:val="none"/>
                <w:u w:val="single"/>
              </w:rPr>
              <w:t>韩钦</w:t>
            </w:r>
            <w:r>
              <w:rPr>
                <w:rFonts w:hint="eastAsia" w:ascii="宋体" w:hAnsi="宋体"/>
                <w:i/>
                <w:color w:val="auto"/>
                <w:highlight w:val="none"/>
                <w:u w:val="single"/>
              </w:rPr>
              <w:t xml:space="preserve"> 。</w:t>
            </w:r>
          </w:p>
        </w:tc>
      </w:tr>
      <w:tr w14:paraId="0A593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BBEA1B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1.10.3</w:t>
            </w:r>
          </w:p>
        </w:tc>
        <w:tc>
          <w:tcPr>
            <w:tcW w:w="1859" w:type="dxa"/>
            <w:noWrap w:val="0"/>
            <w:vAlign w:val="center"/>
          </w:tcPr>
          <w:p w14:paraId="73FFA1B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招标文件的澄清、补充、修改的时间，澄清、修改、补充文件的下载网址</w:t>
            </w:r>
          </w:p>
        </w:tc>
        <w:tc>
          <w:tcPr>
            <w:tcW w:w="6363" w:type="dxa"/>
            <w:noWrap w:val="0"/>
            <w:vAlign w:val="top"/>
          </w:tcPr>
          <w:p w14:paraId="4133734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51CD3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澄清、补充、修改的内容不影响投标文件编制的，将在投标文件递交截止时间</w:t>
            </w:r>
            <w:r>
              <w:rPr>
                <w:rFonts w:hint="eastAsia" w:ascii="宋体" w:hAnsi="宋体" w:eastAsia="宋体" w:cs="宋体"/>
                <w:color w:val="000000"/>
                <w:highlight w:val="none"/>
                <w:u w:val="single"/>
                <w:lang w:val="en-US" w:eastAsia="zh-CN"/>
              </w:rPr>
              <w:t xml:space="preserve"> 3 </w:t>
            </w:r>
            <w:r>
              <w:rPr>
                <w:rFonts w:hint="eastAsia" w:ascii="宋体" w:hAnsi="宋体" w:eastAsia="宋体" w:cs="宋体"/>
                <w:color w:val="000000"/>
                <w:highlight w:val="none"/>
              </w:rPr>
              <w:t>天前，以上款相同的形式发布。</w:t>
            </w:r>
          </w:p>
          <w:p w14:paraId="3E4CD95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潜在投标人应自行关注绍兴公共资源交易网，招标人不再逐一通知。投标人因自身贻误行为导致投标失败的，责任自负。</w:t>
            </w:r>
          </w:p>
          <w:p w14:paraId="57586A6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公布、下载网址：绍兴市公共资源交易中心电子招投标交易平台(http://220.187.225.202:8088/TPBidder-ztk/memberLogin)</w:t>
            </w:r>
          </w:p>
        </w:tc>
      </w:tr>
      <w:tr w14:paraId="58AB1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3061AE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1.11</w:t>
            </w:r>
          </w:p>
        </w:tc>
        <w:tc>
          <w:tcPr>
            <w:tcW w:w="1859" w:type="dxa"/>
            <w:noWrap w:val="0"/>
            <w:vAlign w:val="center"/>
          </w:tcPr>
          <w:p w14:paraId="1AD7A48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分包</w:t>
            </w:r>
          </w:p>
        </w:tc>
        <w:tc>
          <w:tcPr>
            <w:tcW w:w="6363" w:type="dxa"/>
            <w:noWrap w:val="0"/>
            <w:vAlign w:val="top"/>
          </w:tcPr>
          <w:p w14:paraId="25E899E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不允许</w:t>
            </w:r>
          </w:p>
        </w:tc>
      </w:tr>
      <w:tr w14:paraId="4DC81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704ADD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1.12</w:t>
            </w:r>
          </w:p>
        </w:tc>
        <w:tc>
          <w:tcPr>
            <w:tcW w:w="1859" w:type="dxa"/>
            <w:noWrap w:val="0"/>
            <w:vAlign w:val="center"/>
          </w:tcPr>
          <w:p w14:paraId="23D9A00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偏离</w:t>
            </w:r>
          </w:p>
        </w:tc>
        <w:tc>
          <w:tcPr>
            <w:tcW w:w="6363" w:type="dxa"/>
            <w:noWrap w:val="0"/>
            <w:vAlign w:val="top"/>
          </w:tcPr>
          <w:p w14:paraId="1E34E2B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□不允许。</w:t>
            </w:r>
          </w:p>
          <w:p w14:paraId="642B05F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允许。允许偏离的内容、偏离范围和幅度：技术参数及指标正偏离；负偏离详见评标办法。</w:t>
            </w:r>
          </w:p>
        </w:tc>
      </w:tr>
      <w:tr w14:paraId="717F4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9CE47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2.1</w:t>
            </w:r>
          </w:p>
        </w:tc>
        <w:tc>
          <w:tcPr>
            <w:tcW w:w="1859" w:type="dxa"/>
            <w:noWrap w:val="0"/>
            <w:vAlign w:val="center"/>
          </w:tcPr>
          <w:p w14:paraId="53C18930">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构成招标文件的其他材料</w:t>
            </w:r>
          </w:p>
        </w:tc>
        <w:tc>
          <w:tcPr>
            <w:tcW w:w="6363" w:type="dxa"/>
            <w:noWrap w:val="0"/>
            <w:vAlign w:val="center"/>
          </w:tcPr>
          <w:p w14:paraId="2BF24E7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hAnsi="宋体" w:cs="宋体"/>
                <w:color w:val="auto"/>
                <w:highlight w:val="none"/>
              </w:rPr>
              <w:t>图纸</w:t>
            </w:r>
            <w:r>
              <w:rPr>
                <w:rFonts w:hint="eastAsia" w:hAnsi="宋体" w:eastAsia="宋体" w:cs="宋体"/>
                <w:color w:val="auto"/>
                <w:highlight w:val="none"/>
              </w:rPr>
              <w:t>及附件（含</w:t>
            </w:r>
            <w:r>
              <w:rPr>
                <w:rFonts w:hint="eastAsia" w:ascii="宋体" w:hAnsi="宋体" w:eastAsia="宋体" w:cs="宋体"/>
                <w:color w:val="auto"/>
                <w:highlight w:val="none"/>
              </w:rPr>
              <w:t>技术规格、参数、功能等</w:t>
            </w:r>
            <w:r>
              <w:rPr>
                <w:rFonts w:hint="eastAsia" w:hAnsi="宋体" w:eastAsia="宋体" w:cs="宋体"/>
                <w:color w:val="auto"/>
                <w:highlight w:val="none"/>
              </w:rPr>
              <w:t>）</w:t>
            </w:r>
            <w:r>
              <w:rPr>
                <w:rFonts w:hint="eastAsia" w:ascii="宋体" w:hAnsi="宋体" w:eastAsia="宋体" w:cs="宋体"/>
                <w:color w:val="auto"/>
                <w:highlight w:val="none"/>
              </w:rPr>
              <w:t>、</w:t>
            </w:r>
            <w:r>
              <w:rPr>
                <w:rFonts w:hint="eastAsia" w:hAnsi="宋体" w:cs="宋体"/>
                <w:color w:val="auto"/>
                <w:highlight w:val="none"/>
              </w:rPr>
              <w:t>招标补充文件等</w:t>
            </w:r>
          </w:p>
        </w:tc>
      </w:tr>
      <w:tr w14:paraId="6263D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CA0186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2.2.1</w:t>
            </w:r>
          </w:p>
        </w:tc>
        <w:tc>
          <w:tcPr>
            <w:tcW w:w="1859" w:type="dxa"/>
            <w:noWrap w:val="0"/>
            <w:vAlign w:val="center"/>
          </w:tcPr>
          <w:p w14:paraId="02735E7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投标人要求澄清招标文件的截止时间</w:t>
            </w:r>
          </w:p>
        </w:tc>
        <w:tc>
          <w:tcPr>
            <w:tcW w:w="6363" w:type="dxa"/>
            <w:noWrap w:val="0"/>
            <w:vAlign w:val="center"/>
          </w:tcPr>
          <w:p w14:paraId="59C71BDA">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同投标人须知前附表第1.10.2项</w:t>
            </w:r>
          </w:p>
        </w:tc>
      </w:tr>
      <w:tr w14:paraId="471F5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F1BDA3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2.2.2</w:t>
            </w:r>
          </w:p>
        </w:tc>
        <w:tc>
          <w:tcPr>
            <w:tcW w:w="1859" w:type="dxa"/>
            <w:noWrap w:val="0"/>
            <w:vAlign w:val="center"/>
          </w:tcPr>
          <w:p w14:paraId="0F3B72F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投标截止时间</w:t>
            </w:r>
          </w:p>
        </w:tc>
        <w:tc>
          <w:tcPr>
            <w:tcW w:w="6363" w:type="dxa"/>
            <w:noWrap w:val="0"/>
            <w:vAlign w:val="top"/>
          </w:tcPr>
          <w:p w14:paraId="410800FC">
            <w:pPr>
              <w:keepNext w:val="0"/>
              <w:keepLines w:val="0"/>
              <w:pageBreakBefore w:val="0"/>
              <w:tabs>
                <w:tab w:val="left" w:pos="558"/>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详见招标公告</w:t>
            </w:r>
          </w:p>
        </w:tc>
      </w:tr>
      <w:tr w14:paraId="1EDA1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D585E5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2.2.3</w:t>
            </w:r>
          </w:p>
        </w:tc>
        <w:tc>
          <w:tcPr>
            <w:tcW w:w="1859" w:type="dxa"/>
            <w:noWrap w:val="0"/>
            <w:vAlign w:val="center"/>
          </w:tcPr>
          <w:p w14:paraId="7B2A861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投标人确认收到招标文件澄清的时间</w:t>
            </w:r>
          </w:p>
        </w:tc>
        <w:tc>
          <w:tcPr>
            <w:tcW w:w="6363" w:type="dxa"/>
            <w:noWrap w:val="0"/>
            <w:vAlign w:val="top"/>
          </w:tcPr>
          <w:p w14:paraId="1523D83E">
            <w:pPr>
              <w:keepNext w:val="0"/>
              <w:keepLines w:val="0"/>
              <w:pageBreakBefore w:val="0"/>
              <w:widowControl/>
              <w:tabs>
                <w:tab w:val="left" w:pos="5680"/>
              </w:tabs>
              <w:kinsoku w:val="0"/>
              <w:wordWrap w:val="0"/>
              <w:overflowPunct/>
              <w:topLinePunct w:val="0"/>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潜在投标人应自行关注绍兴公共资源交易网(http://ggb.sx.gov.cn/)和绍兴市公共资源交易中心电子招投标交易平台(http://220.187.225.202:8088/TPBidder-ztk/memberLogin)，招标人不再一一通知。投标人因自身贻误行为导致投标失败的，责任自负。</w:t>
            </w:r>
          </w:p>
        </w:tc>
      </w:tr>
      <w:tr w14:paraId="6B277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C77B8A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3.1</w:t>
            </w:r>
          </w:p>
        </w:tc>
        <w:tc>
          <w:tcPr>
            <w:tcW w:w="1859" w:type="dxa"/>
            <w:noWrap w:val="0"/>
            <w:vAlign w:val="center"/>
          </w:tcPr>
          <w:p w14:paraId="4F3E798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构成投标文件</w:t>
            </w:r>
          </w:p>
          <w:p w14:paraId="26D095B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其他材料</w:t>
            </w:r>
          </w:p>
        </w:tc>
        <w:tc>
          <w:tcPr>
            <w:tcW w:w="6363" w:type="dxa"/>
            <w:noWrap w:val="0"/>
            <w:vAlign w:val="center"/>
          </w:tcPr>
          <w:p w14:paraId="5857BAA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w:t>
            </w:r>
          </w:p>
        </w:tc>
      </w:tr>
      <w:tr w14:paraId="47213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63763B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3.2.3</w:t>
            </w:r>
          </w:p>
        </w:tc>
        <w:tc>
          <w:tcPr>
            <w:tcW w:w="1859" w:type="dxa"/>
            <w:noWrap w:val="0"/>
            <w:vAlign w:val="center"/>
          </w:tcPr>
          <w:p w14:paraId="51B35F9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最高投标限价</w:t>
            </w:r>
          </w:p>
        </w:tc>
        <w:tc>
          <w:tcPr>
            <w:tcW w:w="6363" w:type="dxa"/>
            <w:noWrap w:val="0"/>
            <w:vAlign w:val="top"/>
          </w:tcPr>
          <w:p w14:paraId="5F148C9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本次招标最高投标限价为：</w:t>
            </w:r>
            <w:r>
              <w:rPr>
                <w:rFonts w:hint="eastAsia" w:ascii="宋体" w:hAnsi="宋体" w:eastAsia="宋体" w:cs="宋体"/>
                <w:color w:val="000000"/>
                <w:highlight w:val="none"/>
                <w:u w:val="single"/>
              </w:rPr>
              <w:t xml:space="preserve"> </w:t>
            </w:r>
            <w:r>
              <w:rPr>
                <w:rFonts w:hint="eastAsia" w:ascii="宋体" w:hAnsi="宋体" w:eastAsia="宋体" w:cs="宋体"/>
                <w:b/>
                <w:bCs/>
                <w:color w:val="000000"/>
                <w:highlight w:val="none"/>
                <w:u w:val="single"/>
                <w:lang w:val="en-US" w:eastAsia="zh-CN"/>
              </w:rPr>
              <w:t>715.8410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p>
          <w:p w14:paraId="7F9D0E5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□在投标截止时间15个日历天前以补充文件的形式公布</w:t>
            </w:r>
          </w:p>
          <w:p w14:paraId="29CAF25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□本次招标最高投标限价的计算方法：</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w:t>
            </w:r>
          </w:p>
          <w:p w14:paraId="7032E78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☑风险控制价：为防止投标人恶意低价竞标，最高投标限价的</w:t>
            </w:r>
            <w:r>
              <w:rPr>
                <w:rFonts w:hint="eastAsia" w:ascii="宋体" w:hAnsi="宋体" w:eastAsia="宋体" w:cs="宋体"/>
                <w:b/>
                <w:bCs/>
                <w:color w:val="000000"/>
                <w:highlight w:val="none"/>
                <w:u w:val="single"/>
                <w:lang w:val="en-US" w:eastAsia="zh-CN"/>
              </w:rPr>
              <w:t>80</w:t>
            </w:r>
            <w:r>
              <w:rPr>
                <w:rFonts w:hint="eastAsia" w:ascii="宋体" w:hAnsi="宋体" w:eastAsia="宋体" w:cs="宋体"/>
                <w:b/>
                <w:bCs/>
                <w:color w:val="000000"/>
                <w:highlight w:val="none"/>
                <w:lang w:eastAsia="zh-CN"/>
              </w:rPr>
              <w:t>%</w:t>
            </w:r>
            <w:r>
              <w:rPr>
                <w:rFonts w:hint="eastAsia" w:ascii="宋体" w:hAnsi="宋体" w:eastAsia="宋体" w:cs="宋体"/>
                <w:color w:val="000000"/>
                <w:highlight w:val="none"/>
                <w:lang w:eastAsia="zh-CN"/>
              </w:rPr>
              <w:t>作为风险控制价（</w:t>
            </w:r>
            <w:r>
              <w:rPr>
                <w:rFonts w:hint="eastAsia" w:ascii="宋体" w:hAnsi="宋体" w:eastAsia="宋体" w:cs="宋体"/>
                <w:b/>
                <w:bCs/>
                <w:color w:val="000000"/>
                <w:highlight w:val="none"/>
                <w:u w:val="single"/>
              </w:rPr>
              <w:t xml:space="preserve"> </w:t>
            </w:r>
            <w:r>
              <w:rPr>
                <w:rFonts w:hint="eastAsia" w:ascii="宋体" w:hAnsi="宋体" w:eastAsia="宋体" w:cs="宋体"/>
                <w:b/>
                <w:bCs/>
                <w:color w:val="000000"/>
                <w:highlight w:val="none"/>
                <w:u w:val="single"/>
                <w:lang w:val="en-US" w:eastAsia="zh-CN"/>
              </w:rPr>
              <w:t>572.6728</w:t>
            </w:r>
            <w:r>
              <w:rPr>
                <w:rFonts w:hint="eastAsia" w:ascii="宋体" w:hAnsi="宋体" w:eastAsia="宋体" w:cs="宋体"/>
                <w:b/>
                <w:bCs/>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lang w:eastAsia="zh-CN"/>
              </w:rPr>
              <w:t>）。注：招标人设有风险控制价的，低于风险控制价的投标人投标报价不计入评标基准价计算范围。</w:t>
            </w:r>
          </w:p>
        </w:tc>
      </w:tr>
      <w:tr w14:paraId="464C8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7CADB8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3.2.4</w:t>
            </w:r>
          </w:p>
        </w:tc>
        <w:tc>
          <w:tcPr>
            <w:tcW w:w="1859" w:type="dxa"/>
            <w:noWrap w:val="0"/>
            <w:vAlign w:val="center"/>
          </w:tcPr>
          <w:p w14:paraId="3CDA382B">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投标报价的</w:t>
            </w:r>
          </w:p>
          <w:p w14:paraId="025A742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其他要求</w:t>
            </w:r>
          </w:p>
        </w:tc>
        <w:tc>
          <w:tcPr>
            <w:tcW w:w="6363" w:type="dxa"/>
            <w:noWrap w:val="0"/>
            <w:vAlign w:val="top"/>
          </w:tcPr>
          <w:p w14:paraId="07920446">
            <w:pPr>
              <w:pStyle w:val="63"/>
              <w:keepNext w:val="0"/>
              <w:keepLines w:val="0"/>
              <w:pageBreakBefore w:val="0"/>
              <w:widowControl/>
              <w:wordWrap/>
              <w:overflowPunct/>
              <w:topLinePunct w:val="0"/>
              <w:bidi w:val="0"/>
              <w:adjustRightInd/>
              <w:snapToGrid/>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1、投标报价为投标人的投标文件中提出的</w:t>
            </w:r>
            <w:r>
              <w:rPr>
                <w:rFonts w:hint="eastAsia" w:ascii="宋体" w:hAnsi="宋体" w:eastAsia="宋体" w:cs="宋体"/>
                <w:b/>
                <w:bCs/>
                <w:sz w:val="21"/>
                <w:szCs w:val="21"/>
                <w:highlight w:val="none"/>
                <w:u w:val="single"/>
              </w:rPr>
              <w:t>招标范围内</w:t>
            </w:r>
            <w:r>
              <w:rPr>
                <w:rFonts w:hint="eastAsia" w:ascii="宋体" w:hAnsi="宋体" w:eastAsia="宋体" w:cs="宋体"/>
                <w:sz w:val="21"/>
                <w:szCs w:val="21"/>
                <w:highlight w:val="none"/>
              </w:rPr>
              <w:t>各项支付金额的总和。</w:t>
            </w:r>
          </w:p>
          <w:p w14:paraId="07BAB82A">
            <w:pPr>
              <w:pStyle w:val="63"/>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技术标</w:t>
            </w:r>
            <w:r>
              <w:rPr>
                <w:rFonts w:hint="eastAsia" w:ascii="宋体" w:hAnsi="宋体" w:eastAsia="宋体" w:cs="宋体"/>
                <w:sz w:val="21"/>
                <w:szCs w:val="21"/>
                <w:highlight w:val="none"/>
              </w:rPr>
              <w:t>中明确或招标文件、设计图纸确定的相应技术规范要求的费用应包括在投标报价中，否则视同投标优惠。</w:t>
            </w:r>
          </w:p>
          <w:p w14:paraId="2137E8B8">
            <w:pPr>
              <w:pStyle w:val="63"/>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合同的交货和安装地点为项目所在地，除非合同中另有规定，投标人在投标总价中的价格均包括完成该工程的设备和材料供应、安装、调试开通、利润、税金、风险等所有费用,但投标报价不得超过本投标人须知前附表第3.2.3条所规定的上限，否则作废标处理。</w:t>
            </w:r>
          </w:p>
          <w:p w14:paraId="78E79CED">
            <w:pPr>
              <w:pStyle w:val="63"/>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4、投标人可到项目现场踏勘以充分了解现场位置、情况、道路、储存空间、装卸限制及任何其它足以影响报价的情况，任何因忽视或误解工地情况而导致的索赔或工期延长申请将不获批准。</w:t>
            </w:r>
          </w:p>
          <w:p w14:paraId="687C383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投标人的投标报价包括但不限于：包含但不限于电梯制造、仓储、运输、装卸、二次搬运、深化设计、安装、装修、调试、检测检验、委托监检、成品保护、权威部门验收、培训、交付使用、售后服务，以及向招标人提供全过程形成的图纸、记录、档案资料和其他相关服务等交钥匙内容，服从土建施工总包管理，与其他相关专业施工配合等。</w:t>
            </w:r>
            <w:r>
              <w:rPr>
                <w:rFonts w:hint="eastAsia" w:ascii="宋体" w:hAnsi="宋体" w:eastAsia="宋体" w:cs="宋体"/>
                <w:bCs/>
                <w:color w:val="auto"/>
                <w:sz w:val="21"/>
                <w:szCs w:val="21"/>
                <w:highlight w:val="none"/>
              </w:rPr>
              <w:t>具体范围详见图纸及电梯设备清单,</w:t>
            </w:r>
            <w:r>
              <w:rPr>
                <w:rFonts w:hint="eastAsia" w:ascii="宋体" w:hAnsi="宋体" w:eastAsia="宋体" w:cs="宋体"/>
                <w:b/>
                <w:color w:val="auto"/>
                <w:sz w:val="21"/>
                <w:szCs w:val="21"/>
                <w:highlight w:val="none"/>
                <w:u w:val="single"/>
              </w:rPr>
              <w:t>本次招标包含凤凰山高品质养老院建设工程电梯，合计垂直电梯19台，总计19台。</w:t>
            </w:r>
          </w:p>
          <w:p w14:paraId="00867E04">
            <w:pPr>
              <w:pStyle w:val="64"/>
              <w:keepNext w:val="0"/>
              <w:keepLines w:val="0"/>
              <w:pageBreakBefore w:val="0"/>
              <w:widowControl/>
              <w:kinsoku/>
              <w:wordWrap/>
              <w:overflowPunct/>
              <w:topLinePunct w:val="0"/>
              <w:autoSpaceDE/>
              <w:autoSpaceDN/>
              <w:bidi w:val="0"/>
              <w:adjustRightInd/>
              <w:snapToGrid/>
              <w:spacing w:before="0" w:after="0" w:line="24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b w:val="0"/>
                <w:bCs w:val="0"/>
                <w:color w:val="auto"/>
                <w:sz w:val="21"/>
                <w:szCs w:val="21"/>
                <w:highlight w:val="none"/>
              </w:rPr>
              <w:t>6、</w:t>
            </w:r>
            <w:r>
              <w:rPr>
                <w:rFonts w:hint="eastAsia" w:ascii="宋体" w:hAnsi="宋体" w:eastAsia="宋体" w:cs="宋体"/>
                <w:color w:val="auto"/>
                <w:sz w:val="21"/>
                <w:szCs w:val="21"/>
                <w:highlight w:val="none"/>
              </w:rPr>
              <w:t>施工总承包服务费</w:t>
            </w:r>
            <w:r>
              <w:rPr>
                <w:rFonts w:hint="eastAsia" w:ascii="宋体" w:hAnsi="宋体" w:eastAsia="宋体" w:cs="宋体"/>
                <w:b w:val="0"/>
                <w:color w:val="auto"/>
                <w:sz w:val="21"/>
                <w:szCs w:val="21"/>
                <w:highlight w:val="none"/>
              </w:rPr>
              <w:t>费率为结算价的3%，由中标人按结算价的3%直接支付给总承包单位。</w:t>
            </w:r>
            <w:r>
              <w:rPr>
                <w:rFonts w:hint="eastAsia" w:ascii="宋体" w:hAnsi="宋体" w:eastAsia="宋体" w:cs="宋体"/>
                <w:b/>
                <w:bCs w:val="0"/>
                <w:sz w:val="21"/>
                <w:szCs w:val="21"/>
                <w:highlight w:val="none"/>
              </w:rPr>
              <w:t>该费用由投标人在投标报价中综合考虑，不需在“</w:t>
            </w:r>
            <w:r>
              <w:rPr>
                <w:rFonts w:hint="eastAsia" w:ascii="宋体" w:hAnsi="宋体" w:eastAsia="宋体" w:cs="宋体"/>
                <w:b/>
                <w:bCs w:val="0"/>
                <w:kern w:val="0"/>
                <w:sz w:val="21"/>
                <w:szCs w:val="21"/>
                <w:highlight w:val="none"/>
              </w:rPr>
              <w:t>投标设备及安装报价明细表</w:t>
            </w:r>
            <w:r>
              <w:rPr>
                <w:rFonts w:hint="eastAsia" w:ascii="宋体" w:hAnsi="宋体" w:eastAsia="宋体" w:cs="宋体"/>
                <w:b/>
                <w:bCs w:val="0"/>
                <w:sz w:val="21"/>
                <w:szCs w:val="21"/>
                <w:highlight w:val="none"/>
              </w:rPr>
              <w:t>”中单列费用</w:t>
            </w:r>
            <w:r>
              <w:rPr>
                <w:rFonts w:hint="eastAsia" w:ascii="宋体" w:hAnsi="宋体" w:eastAsia="宋体" w:cs="宋体"/>
                <w:b/>
                <w:bCs w:val="0"/>
                <w:sz w:val="21"/>
                <w:szCs w:val="21"/>
                <w:highlight w:val="none"/>
                <w:lang w:eastAsia="zh-CN"/>
              </w:rPr>
              <w:t>。</w:t>
            </w:r>
            <w:r>
              <w:rPr>
                <w:rFonts w:hint="eastAsia" w:ascii="宋体" w:hAnsi="宋体" w:eastAsia="宋体" w:cs="宋体"/>
                <w:b w:val="0"/>
                <w:color w:val="auto"/>
                <w:sz w:val="21"/>
                <w:szCs w:val="21"/>
                <w:highlight w:val="none"/>
              </w:rPr>
              <w:t>总承包服务费由总承包单位在每次支付分包单位工程进度款时同比例扣除，结算审核完成后一次性扣完。</w:t>
            </w:r>
          </w:p>
          <w:p w14:paraId="429D0A9D">
            <w:pPr>
              <w:pStyle w:val="15"/>
              <w:keepNext w:val="0"/>
              <w:keepLines w:val="0"/>
              <w:pageBreakBefore w:val="0"/>
              <w:widowControl/>
              <w:kinsoku/>
              <w:wordWrap/>
              <w:overflowPunct/>
              <w:topLinePunct w:val="0"/>
              <w:autoSpaceDE/>
              <w:autoSpaceDN/>
              <w:bidi w:val="0"/>
              <w:adjustRightInd/>
              <w:snapToGrid/>
              <w:spacing w:line="24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服务费（包含但不限于总承包配合费、服务费、设备管理和暂存费等在内的全部费用）包括总承包为分包工程提供现有脚手架使用费、塔吊及垂直升降机的使用费（如因总承包实际工程进度需要无法提供的除外）、为分包施工单位提供场地、办公场所、水源、电源、建筑垃圾清运等费用及分包工程安装后的堵补等其他费用均已包括在内，并包括因交叉作业而发生的误工损失费和协调管理费等，除分包人的水电费另计外，不得再收取其他费用。当专业工程项目出现质量、进度、安全等问题，总承包与分包人应共同向</w:t>
            </w:r>
            <w:r>
              <w:rPr>
                <w:rFonts w:hint="eastAsia" w:ascii="宋体" w:hAnsi="宋体" w:eastAsia="宋体" w:cs="宋体"/>
                <w:bCs/>
                <w:color w:val="auto"/>
                <w:sz w:val="21"/>
                <w:szCs w:val="21"/>
                <w:highlight w:val="none"/>
              </w:rPr>
              <w:t>建设单位</w:t>
            </w:r>
            <w:r>
              <w:rPr>
                <w:rFonts w:hint="eastAsia" w:ascii="宋体" w:hAnsi="宋体" w:eastAsia="宋体" w:cs="宋体"/>
                <w:color w:val="auto"/>
                <w:sz w:val="21"/>
                <w:szCs w:val="21"/>
                <w:highlight w:val="none"/>
              </w:rPr>
              <w:t>承担连带责任。</w:t>
            </w:r>
          </w:p>
          <w:p w14:paraId="1DACF47E">
            <w:pPr>
              <w:pStyle w:val="23"/>
              <w:keepNext w:val="0"/>
              <w:keepLines w:val="0"/>
              <w:pageBreakBefore w:val="0"/>
              <w:widowControl/>
              <w:numPr>
                <w:ilvl w:val="0"/>
                <w:numId w:val="0"/>
              </w:numPr>
              <w:wordWrap/>
              <w:overflowPunct/>
              <w:topLinePunct w:val="0"/>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lang w:val="en-US" w:eastAsia="zh-CN" w:bidi="ar-SA"/>
              </w:rPr>
              <w:t>7、</w:t>
            </w:r>
            <w:r>
              <w:rPr>
                <w:rFonts w:hint="eastAsia" w:ascii="宋体" w:hAnsi="宋体" w:eastAsia="宋体" w:cs="宋体"/>
                <w:color w:val="auto"/>
                <w:sz w:val="21"/>
                <w:szCs w:val="21"/>
                <w:highlight w:val="none"/>
              </w:rPr>
              <w:t>投标人按照上述要求编制投标报价。一旦确认某一投标人中标，除合同规定可调整内容外，中标人不得要求追加任何费用。</w:t>
            </w:r>
          </w:p>
          <w:p w14:paraId="320B5BD3">
            <w:pPr>
              <w:pStyle w:val="9"/>
              <w:keepNext w:val="0"/>
              <w:keepLines w:val="0"/>
              <w:pageBreakBefore w:val="0"/>
              <w:widowControl/>
              <w:numPr>
                <w:ilvl w:val="0"/>
                <w:numId w:val="0"/>
              </w:numPr>
              <w:wordWrap/>
              <w:overflowPunct/>
              <w:topLinePunct w:val="0"/>
              <w:bidi w:val="0"/>
              <w:adjustRightInd/>
              <w:snapToGrid/>
              <w:spacing w:after="0" w:line="240" w:lineRule="auto"/>
              <w:ind w:firstLine="420" w:firstLineChars="200"/>
              <w:rPr>
                <w:rFonts w:hint="eastAsia" w:ascii="宋体" w:hAnsi="宋体" w:eastAsia="宋体" w:cs="宋体"/>
                <w:sz w:val="21"/>
                <w:szCs w:val="21"/>
                <w:highlight w:val="none"/>
              </w:rPr>
            </w:pPr>
            <w:r>
              <w:rPr>
                <w:rFonts w:hint="eastAsia" w:ascii="宋体" w:hAnsi="宋体" w:eastAsia="宋体" w:cs="宋体"/>
                <w:snapToGrid w:val="0"/>
                <w:color w:val="000000"/>
                <w:sz w:val="21"/>
                <w:szCs w:val="21"/>
                <w:highlight w:val="none"/>
                <w:lang w:val="en-US" w:eastAsia="zh-CN" w:bidi="ar-SA"/>
              </w:rPr>
              <w:t>8、</w:t>
            </w:r>
            <w:r>
              <w:rPr>
                <w:rFonts w:hint="eastAsia" w:ascii="宋体" w:hAnsi="宋体" w:eastAsia="宋体" w:cs="宋体"/>
                <w:sz w:val="21"/>
                <w:szCs w:val="21"/>
                <w:highlight w:val="none"/>
              </w:rPr>
              <w:t>本项目的招标代理服务费由中标单位在领取中标通知书前</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rPr>
              <w:t>次性支付。</w:t>
            </w:r>
          </w:p>
          <w:p w14:paraId="74F5ACE1">
            <w:pPr>
              <w:keepNext w:val="0"/>
              <w:keepLines w:val="0"/>
              <w:pageBreakBefore w:val="0"/>
              <w:widowControl/>
              <w:tabs>
                <w:tab w:val="left" w:pos="5680"/>
              </w:tabs>
              <w:wordWrap/>
              <w:overflowPunct/>
              <w:topLinePunct w:val="0"/>
              <w:bidi w:val="0"/>
              <w:adjustRightInd/>
              <w:snapToGrid/>
              <w:spacing w:line="240" w:lineRule="auto"/>
              <w:ind w:right="105" w:rightChars="50" w:firstLine="420" w:firstLineChars="200"/>
              <w:jc w:val="both"/>
              <w:rPr>
                <w:rFonts w:hint="eastAsia" w:ascii="宋体" w:hAnsi="宋体" w:eastAsia="宋体" w:cs="宋体"/>
                <w:color w:val="000000"/>
                <w:highlight w:val="none"/>
              </w:rPr>
            </w:pPr>
            <w:r>
              <w:rPr>
                <w:rFonts w:hint="eastAsia" w:ascii="宋体" w:hAnsi="宋体" w:eastAsia="宋体" w:cs="宋体"/>
                <w:color w:val="auto"/>
                <w:sz w:val="21"/>
                <w:szCs w:val="21"/>
                <w:highlight w:val="none"/>
              </w:rPr>
              <w:t>以上各条款规定及要求请投标人在报价时综合考虑，未考虑的视作优惠。</w:t>
            </w:r>
          </w:p>
        </w:tc>
      </w:tr>
      <w:tr w14:paraId="128B9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49774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3.3.1</w:t>
            </w:r>
          </w:p>
        </w:tc>
        <w:tc>
          <w:tcPr>
            <w:tcW w:w="1859" w:type="dxa"/>
            <w:noWrap w:val="0"/>
            <w:vAlign w:val="center"/>
          </w:tcPr>
          <w:p w14:paraId="1D988A5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投标有效期</w:t>
            </w:r>
          </w:p>
        </w:tc>
        <w:tc>
          <w:tcPr>
            <w:tcW w:w="6363" w:type="dxa"/>
            <w:noWrap w:val="0"/>
            <w:vAlign w:val="top"/>
          </w:tcPr>
          <w:p w14:paraId="05CA88C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不少于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90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个日历天(从投标截止之日起算)。</w:t>
            </w:r>
          </w:p>
        </w:tc>
      </w:tr>
      <w:tr w14:paraId="423BF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18D8B4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3.4</w:t>
            </w:r>
          </w:p>
        </w:tc>
        <w:tc>
          <w:tcPr>
            <w:tcW w:w="1859" w:type="dxa"/>
            <w:noWrap w:val="0"/>
            <w:vAlign w:val="center"/>
          </w:tcPr>
          <w:p w14:paraId="2D1771CA">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投标保证金数额</w:t>
            </w:r>
          </w:p>
        </w:tc>
        <w:tc>
          <w:tcPr>
            <w:tcW w:w="6363" w:type="dxa"/>
            <w:noWrap w:val="0"/>
            <w:vAlign w:val="center"/>
          </w:tcPr>
          <w:p w14:paraId="59FE622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投标保证金的金额与形式：见公告。</w:t>
            </w:r>
          </w:p>
        </w:tc>
      </w:tr>
      <w:tr w14:paraId="2730E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15" w:type="dxa"/>
            <w:noWrap w:val="0"/>
            <w:vAlign w:val="center"/>
          </w:tcPr>
          <w:p w14:paraId="63D92C1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3.5.2</w:t>
            </w:r>
          </w:p>
        </w:tc>
        <w:tc>
          <w:tcPr>
            <w:tcW w:w="1859" w:type="dxa"/>
            <w:noWrap w:val="0"/>
            <w:vAlign w:val="center"/>
          </w:tcPr>
          <w:p w14:paraId="0EA60B47">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近年财务状况的年份要求</w:t>
            </w:r>
          </w:p>
        </w:tc>
        <w:tc>
          <w:tcPr>
            <w:tcW w:w="6363" w:type="dxa"/>
            <w:noWrap w:val="0"/>
            <w:vAlign w:val="center"/>
          </w:tcPr>
          <w:p w14:paraId="67AB677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不作要求</w:t>
            </w:r>
          </w:p>
        </w:tc>
      </w:tr>
      <w:tr w14:paraId="7586D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32506A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3.5.3</w:t>
            </w:r>
          </w:p>
        </w:tc>
        <w:tc>
          <w:tcPr>
            <w:tcW w:w="1859" w:type="dxa"/>
            <w:noWrap w:val="0"/>
            <w:vAlign w:val="center"/>
          </w:tcPr>
          <w:p w14:paraId="5B053E5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近年完成的类似项目的年份要求</w:t>
            </w:r>
          </w:p>
        </w:tc>
        <w:tc>
          <w:tcPr>
            <w:tcW w:w="6363" w:type="dxa"/>
            <w:noWrap w:val="0"/>
            <w:vAlign w:val="center"/>
          </w:tcPr>
          <w:p w14:paraId="736894C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bookmarkStart w:id="3" w:name="EBdba3d28d83e447b0b8d657e917a28616"/>
            <w:r>
              <w:rPr>
                <w:rFonts w:hint="eastAsia"/>
                <w:highlight w:val="none"/>
              </w:rPr>
              <w:t>详见招标公告</w:t>
            </w:r>
            <w:bookmarkEnd w:id="3"/>
            <w:r>
              <w:rPr>
                <w:rFonts w:hint="eastAsia"/>
                <w:highlight w:val="none"/>
              </w:rPr>
              <w:t>及评标办法</w:t>
            </w:r>
          </w:p>
        </w:tc>
      </w:tr>
      <w:tr w14:paraId="13B67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1BAA2C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3.5.5</w:t>
            </w:r>
          </w:p>
        </w:tc>
        <w:tc>
          <w:tcPr>
            <w:tcW w:w="1859" w:type="dxa"/>
            <w:noWrap w:val="0"/>
            <w:vAlign w:val="center"/>
          </w:tcPr>
          <w:p w14:paraId="5088D44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近年发生的重大诉讼及仲裁情况的年份要求</w:t>
            </w:r>
          </w:p>
        </w:tc>
        <w:tc>
          <w:tcPr>
            <w:tcW w:w="6363" w:type="dxa"/>
            <w:noWrap w:val="0"/>
            <w:vAlign w:val="center"/>
          </w:tcPr>
          <w:p w14:paraId="147374C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不作要求</w:t>
            </w:r>
          </w:p>
        </w:tc>
      </w:tr>
      <w:tr w14:paraId="7AA74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E1DC4F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3.5.7</w:t>
            </w:r>
          </w:p>
        </w:tc>
        <w:tc>
          <w:tcPr>
            <w:tcW w:w="1859" w:type="dxa"/>
            <w:noWrap w:val="0"/>
            <w:vAlign w:val="center"/>
          </w:tcPr>
          <w:p w14:paraId="058C19D0">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实质性响应招标文件及评审打分资料</w:t>
            </w:r>
          </w:p>
        </w:tc>
        <w:tc>
          <w:tcPr>
            <w:tcW w:w="6363" w:type="dxa"/>
            <w:noWrap w:val="0"/>
            <w:vAlign w:val="top"/>
          </w:tcPr>
          <w:p w14:paraId="59F0E02A">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2"/>
                <w:highlight w:val="none"/>
              </w:rPr>
              <w:t>一、实质性响应招标文件资料</w:t>
            </w:r>
          </w:p>
          <w:p w14:paraId="6309F4B2">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1.</w:t>
            </w:r>
            <w:r>
              <w:rPr>
                <w:rFonts w:hint="eastAsia" w:ascii="宋体" w:hAnsi="宋体" w:eastAsia="宋体" w:cs="宋体"/>
                <w:b/>
                <w:bCs/>
                <w:color w:val="000000"/>
                <w:position w:val="1"/>
                <w:highlight w:val="none"/>
              </w:rPr>
              <w:t>企业法人营业执照</w:t>
            </w:r>
            <w:r>
              <w:rPr>
                <w:rFonts w:hint="eastAsia" w:ascii="宋体" w:hAnsi="宋体" w:eastAsia="宋体" w:cs="宋体"/>
                <w:color w:val="000000"/>
                <w:position w:val="1"/>
                <w:highlight w:val="none"/>
              </w:rPr>
              <w:t>；</w:t>
            </w:r>
          </w:p>
          <w:p w14:paraId="71611001">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b/>
                <w:bCs/>
                <w:color w:val="000000"/>
                <w:highlight w:val="none"/>
              </w:rPr>
              <w:t>法定代表人授权委托书</w:t>
            </w:r>
            <w:r>
              <w:rPr>
                <w:rFonts w:hint="eastAsia" w:ascii="宋体" w:hAnsi="宋体" w:eastAsia="宋体" w:cs="宋体"/>
                <w:color w:val="000000"/>
                <w:highlight w:val="none"/>
              </w:rPr>
              <w:t>(投标文件委托代理人签字的提供)；</w:t>
            </w:r>
          </w:p>
          <w:p w14:paraId="6211828F">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□3.联合体各方签订的共同投标协议(联合体投标的提供)；</w:t>
            </w:r>
          </w:p>
          <w:p w14:paraId="3F188812">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4.</w:t>
            </w:r>
            <w:r>
              <w:rPr>
                <w:rFonts w:hint="eastAsia" w:ascii="宋体" w:hAnsi="宋体" w:eastAsia="宋体" w:cs="宋体"/>
                <w:b/>
                <w:bCs/>
                <w:color w:val="000000"/>
                <w:highlight w:val="none"/>
              </w:rPr>
              <w:t>投标保证金缴纳证明资料</w:t>
            </w:r>
            <w:r>
              <w:rPr>
                <w:rFonts w:hint="eastAsia" w:ascii="宋体" w:hAnsi="宋体" w:eastAsia="宋体" w:cs="宋体"/>
                <w:color w:val="000000"/>
                <w:highlight w:val="none"/>
                <w:lang w:eastAsia="zh-CN"/>
              </w:rPr>
              <w:t>（</w:t>
            </w:r>
            <w:r>
              <w:rPr>
                <w:rFonts w:hint="eastAsia" w:ascii="宋体" w:hAnsi="宋体" w:eastAsia="宋体" w:cs="宋体"/>
                <w:b/>
                <w:bCs/>
                <w:color w:val="000000"/>
                <w:highlight w:val="none"/>
                <w:lang w:eastAsia="zh-CN"/>
              </w:rPr>
              <w:t>1.采用转账形式缴纳的：须同时提供①银行转账凭证（记录）、②基本账户开户证明。2.采用银行保函或投标保险保单或担保保函的：须同时提供①银行保函或投标保险保单或担保保函、②购买保险或办理保函、担保等保证金相关费用从投标人基本账户转出的凭证、③基本账户开户证明</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p>
          <w:p w14:paraId="569B6B24">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5.中小企业声明函；</w:t>
            </w:r>
          </w:p>
          <w:p w14:paraId="531DDFF4">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6.</w:t>
            </w:r>
            <w:r>
              <w:rPr>
                <w:rFonts w:hint="eastAsia" w:ascii="宋体" w:hAnsi="宋体" w:eastAsia="宋体" w:cs="宋体"/>
                <w:b/>
                <w:bCs/>
                <w:color w:val="000000"/>
                <w:highlight w:val="none"/>
                <w:lang w:val="en-US" w:eastAsia="zh-CN"/>
              </w:rPr>
              <w:t>投标承诺书</w:t>
            </w:r>
            <w:r>
              <w:rPr>
                <w:rFonts w:hint="eastAsia" w:ascii="宋体" w:hAnsi="宋体" w:eastAsia="宋体" w:cs="宋体"/>
                <w:color w:val="000000"/>
                <w:highlight w:val="none"/>
                <w:lang w:eastAsia="zh-CN"/>
              </w:rPr>
              <w:t>；</w:t>
            </w:r>
          </w:p>
          <w:p w14:paraId="17F34998">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w:t>
            </w:r>
            <w:r>
              <w:rPr>
                <w:rFonts w:hint="eastAsia" w:ascii="宋体" w:hAnsi="宋体" w:eastAsia="宋体" w:cs="宋体"/>
                <w:b/>
                <w:bCs/>
                <w:color w:val="auto"/>
                <w:highlight w:val="none"/>
              </w:rPr>
              <w:t>符合招标公告：“投标资格条件、要求”的相关证明材料：包括业绩证明材料等</w:t>
            </w:r>
            <w:r>
              <w:rPr>
                <w:rFonts w:hint="eastAsia" w:ascii="宋体" w:hAnsi="宋体" w:eastAsia="宋体" w:cs="宋体"/>
                <w:color w:val="auto"/>
                <w:highlight w:val="none"/>
              </w:rPr>
              <w:t>。</w:t>
            </w:r>
          </w:p>
          <w:p w14:paraId="33945FB5">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二、评审打分资料</w:t>
            </w:r>
          </w:p>
          <w:p w14:paraId="4BD1A017">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b/>
                <w:bCs/>
                <w:color w:val="000000"/>
                <w:highlight w:val="none"/>
              </w:rPr>
              <w:t>招标文件对提供的资料有打分内容的填写</w:t>
            </w:r>
            <w:r>
              <w:rPr>
                <w:rFonts w:hint="eastAsia" w:ascii="宋体" w:hAnsi="宋体" w:eastAsia="宋体" w:cs="宋体"/>
                <w:color w:val="000000"/>
                <w:highlight w:val="none"/>
              </w:rPr>
              <w:t>。</w:t>
            </w:r>
          </w:p>
          <w:p w14:paraId="628F0EF3">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right="0" w:rightChars="0" w:firstLine="422" w:firstLineChars="200"/>
              <w:jc w:val="both"/>
              <w:textAlignment w:val="baseline"/>
              <w:rPr>
                <w:rFonts w:hint="eastAsia" w:ascii="宋体" w:hAnsi="宋体" w:eastAsia="宋体" w:cs="宋体"/>
                <w:color w:val="000000"/>
                <w:highlight w:val="none"/>
              </w:rPr>
            </w:pPr>
            <w:r>
              <w:rPr>
                <w:rFonts w:hint="eastAsia" w:ascii="宋体" w:hAnsi="宋体" w:eastAsia="宋体" w:cs="宋体"/>
                <w:b/>
                <w:bCs/>
                <w:color w:val="000000"/>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r>
              <w:rPr>
                <w:rFonts w:hint="eastAsia" w:ascii="宋体" w:hAnsi="宋体" w:eastAsia="宋体" w:cs="宋体"/>
                <w:color w:val="000000"/>
                <w:highlight w:val="none"/>
              </w:rPr>
              <w:t>。</w:t>
            </w:r>
          </w:p>
        </w:tc>
      </w:tr>
      <w:tr w14:paraId="713D7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82E830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3.6</w:t>
            </w:r>
          </w:p>
        </w:tc>
        <w:tc>
          <w:tcPr>
            <w:tcW w:w="1859" w:type="dxa"/>
            <w:noWrap w:val="0"/>
            <w:vAlign w:val="center"/>
          </w:tcPr>
          <w:p w14:paraId="3E3D2BD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12"/>
                <w:highlight w:val="none"/>
              </w:rPr>
              <w:t>是否允许递交</w:t>
            </w:r>
          </w:p>
          <w:p w14:paraId="4E87F84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备选投标方案</w:t>
            </w:r>
          </w:p>
        </w:tc>
        <w:tc>
          <w:tcPr>
            <w:tcW w:w="6363" w:type="dxa"/>
            <w:noWrap w:val="0"/>
            <w:vAlign w:val="top"/>
          </w:tcPr>
          <w:p w14:paraId="64B5909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不允许。</w:t>
            </w:r>
          </w:p>
          <w:p w14:paraId="7F8C431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□允许。</w:t>
            </w:r>
          </w:p>
        </w:tc>
      </w:tr>
      <w:tr w14:paraId="6343F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00BB32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3.7.3（1）</w:t>
            </w:r>
          </w:p>
        </w:tc>
        <w:tc>
          <w:tcPr>
            <w:tcW w:w="1859" w:type="dxa"/>
            <w:noWrap w:val="0"/>
            <w:vAlign w:val="center"/>
          </w:tcPr>
          <w:p w14:paraId="3D2BA44E">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纸质投标文件签字或盖章要求</w:t>
            </w:r>
          </w:p>
        </w:tc>
        <w:tc>
          <w:tcPr>
            <w:tcW w:w="6363" w:type="dxa"/>
            <w:noWrap w:val="0"/>
            <w:vAlign w:val="center"/>
          </w:tcPr>
          <w:p w14:paraId="4C3D145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bCs/>
                <w:color w:val="000000"/>
                <w:highlight w:val="none"/>
              </w:rPr>
              <w:t>按招标文件要求盖单位公章、法定代表人签字或盖章。委托代理人签字的，投标文件应附法定代表人签署的授权委托书</w:t>
            </w:r>
            <w:r>
              <w:rPr>
                <w:rFonts w:hint="eastAsia" w:ascii="宋体" w:hAnsi="宋体" w:eastAsia="宋体" w:cs="宋体"/>
                <w:color w:val="000000"/>
                <w:highlight w:val="none"/>
              </w:rPr>
              <w:t>。</w:t>
            </w:r>
          </w:p>
        </w:tc>
      </w:tr>
      <w:tr w14:paraId="797DF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0E57958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3.7.3（2）</w:t>
            </w:r>
          </w:p>
        </w:tc>
        <w:tc>
          <w:tcPr>
            <w:tcW w:w="1859" w:type="dxa"/>
            <w:noWrap w:val="0"/>
            <w:vAlign w:val="center"/>
          </w:tcPr>
          <w:p w14:paraId="51DB97BE">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电子投标文件盖章要求</w:t>
            </w:r>
          </w:p>
        </w:tc>
        <w:tc>
          <w:tcPr>
            <w:tcW w:w="6363" w:type="dxa"/>
            <w:noWrap w:val="0"/>
            <w:vAlign w:val="center"/>
          </w:tcPr>
          <w:p w14:paraId="67130A56">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02077F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w:t>
            </w: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投标文件所附证书证件、业绩证明文件、投标保证金等证明材料用原件扫描件并加盖投标单位电子印章；</w:t>
            </w:r>
          </w:p>
        </w:tc>
      </w:tr>
      <w:tr w14:paraId="6EF61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65F3889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p>
        </w:tc>
        <w:tc>
          <w:tcPr>
            <w:tcW w:w="1859" w:type="dxa"/>
            <w:noWrap w:val="0"/>
            <w:vAlign w:val="center"/>
          </w:tcPr>
          <w:p w14:paraId="6C5CD3AE">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电子投标文件加密章要求</w:t>
            </w:r>
          </w:p>
        </w:tc>
        <w:tc>
          <w:tcPr>
            <w:tcW w:w="6363" w:type="dxa"/>
            <w:noWrap w:val="0"/>
            <w:vAlign w:val="center"/>
          </w:tcPr>
          <w:p w14:paraId="7D0FE3D3">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电子投标的项目，在投标截止时间前，将由投标工具软件制作生成的加密投标文件上传至绍兴市公共资源交易中心电子招投标交易平台。</w:t>
            </w:r>
          </w:p>
          <w:p w14:paraId="7EC0AD60">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其他：/。</w:t>
            </w:r>
          </w:p>
        </w:tc>
      </w:tr>
      <w:tr w14:paraId="18A72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6345B9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3.7.4</w:t>
            </w:r>
          </w:p>
        </w:tc>
        <w:tc>
          <w:tcPr>
            <w:tcW w:w="1859" w:type="dxa"/>
            <w:noWrap w:val="0"/>
            <w:vAlign w:val="center"/>
          </w:tcPr>
          <w:p w14:paraId="6B151B9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投标文件份数</w:t>
            </w:r>
          </w:p>
        </w:tc>
        <w:tc>
          <w:tcPr>
            <w:tcW w:w="6363" w:type="dxa"/>
            <w:noWrap w:val="0"/>
            <w:vAlign w:val="top"/>
          </w:tcPr>
          <w:p w14:paraId="61439A2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资格审查资料</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正本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份，副本</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6</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份；</w:t>
            </w:r>
          </w:p>
          <w:p w14:paraId="21DCD13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sz w:val="21"/>
                <w:szCs w:val="21"/>
                <w:highlight w:val="none"/>
                <w:lang w:eastAsia="zh-CN"/>
              </w:rPr>
              <w:t>技术标</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正本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份，副本</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6</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份；</w:t>
            </w:r>
          </w:p>
          <w:p w14:paraId="6AD27D6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商务标</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正本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份，副本</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6</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份。</w:t>
            </w:r>
          </w:p>
          <w:p w14:paraId="212CD098">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cs="宋体"/>
                <w:b/>
                <w:bCs/>
                <w:color w:val="auto"/>
                <w:highlight w:val="none"/>
              </w:rPr>
            </w:pPr>
            <w:r>
              <w:rPr>
                <w:rFonts w:hint="eastAsia" w:ascii="宋体" w:cs="宋体"/>
                <w:b/>
                <w:bCs/>
                <w:color w:val="auto"/>
                <w:highlight w:val="none"/>
              </w:rPr>
              <w:t>注：资格审查资料、</w:t>
            </w:r>
            <w:r>
              <w:rPr>
                <w:rFonts w:hint="eastAsia" w:ascii="宋体" w:eastAsia="宋体" w:cs="宋体"/>
                <w:b/>
                <w:bCs/>
                <w:color w:val="auto"/>
                <w:highlight w:val="none"/>
                <w:lang w:eastAsia="zh-CN"/>
              </w:rPr>
              <w:t>技术标</w:t>
            </w:r>
            <w:r>
              <w:rPr>
                <w:rFonts w:hint="eastAsia" w:ascii="宋体" w:cs="宋体"/>
                <w:b/>
                <w:bCs/>
                <w:color w:val="auto"/>
                <w:highlight w:val="none"/>
              </w:rPr>
              <w:t>、商务标应分别单独密封包装，并在密封袋封口处加盖单位公章。</w:t>
            </w:r>
          </w:p>
          <w:p w14:paraId="47884A97">
            <w:pPr>
              <w:keepNext w:val="0"/>
              <w:keepLines w:val="0"/>
              <w:pageBreakBefore w:val="0"/>
              <w:tabs>
                <w:tab w:val="left" w:pos="5680"/>
              </w:tabs>
              <w:overflowPunct/>
              <w:bidi w:val="0"/>
              <w:adjustRightInd/>
              <w:snapToGrid/>
              <w:spacing w:line="312" w:lineRule="auto"/>
              <w:ind w:left="105" w:leftChars="50" w:right="105" w:rightChars="50"/>
              <w:jc w:val="both"/>
              <w:rPr>
                <w:rFonts w:hint="eastAsia" w:eastAsia="宋体"/>
                <w:highlight w:val="none"/>
                <w:lang w:eastAsia="zh-CN"/>
              </w:rPr>
            </w:pPr>
            <w:r>
              <w:rPr>
                <w:rFonts w:hint="eastAsia"/>
                <w:b/>
                <w:bCs/>
                <w:highlight w:val="none"/>
              </w:rPr>
              <w:t>投标文件的封套上应写明的内容：（招标人名称）、（项目名称）、（投标人名称）；还应在封套上注明“商务标”、“</w:t>
            </w:r>
            <w:r>
              <w:rPr>
                <w:rFonts w:hint="eastAsia" w:eastAsia="宋体"/>
                <w:b/>
                <w:bCs/>
                <w:highlight w:val="none"/>
                <w:lang w:eastAsia="zh-CN"/>
              </w:rPr>
              <w:t>技术标</w:t>
            </w:r>
            <w:r>
              <w:rPr>
                <w:rFonts w:hint="eastAsia"/>
                <w:b/>
                <w:bCs/>
                <w:highlight w:val="none"/>
              </w:rPr>
              <w:t>”、“资格审查资料”字样</w:t>
            </w:r>
            <w:r>
              <w:rPr>
                <w:rFonts w:hint="eastAsia" w:eastAsia="宋体"/>
                <w:b/>
                <w:bCs/>
                <w:highlight w:val="none"/>
                <w:lang w:eastAsia="zh-CN"/>
              </w:rPr>
              <w:t>。</w:t>
            </w:r>
          </w:p>
        </w:tc>
      </w:tr>
      <w:tr w14:paraId="33679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F6EB93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4.1</w:t>
            </w:r>
          </w:p>
        </w:tc>
        <w:tc>
          <w:tcPr>
            <w:tcW w:w="1859" w:type="dxa"/>
            <w:noWrap w:val="0"/>
            <w:vAlign w:val="center"/>
          </w:tcPr>
          <w:p w14:paraId="5D29BB1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光盘、样品等材料的包装和标记</w:t>
            </w:r>
          </w:p>
        </w:tc>
        <w:tc>
          <w:tcPr>
            <w:tcW w:w="6363" w:type="dxa"/>
            <w:noWrap w:val="0"/>
            <w:vAlign w:val="center"/>
          </w:tcPr>
          <w:p w14:paraId="6690480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w:t>
            </w:r>
          </w:p>
        </w:tc>
      </w:tr>
      <w:tr w14:paraId="2CAE5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14:paraId="494A615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4.2</w:t>
            </w:r>
          </w:p>
        </w:tc>
        <w:tc>
          <w:tcPr>
            <w:tcW w:w="1859" w:type="dxa"/>
            <w:noWrap w:val="0"/>
            <w:vAlign w:val="top"/>
          </w:tcPr>
          <w:p w14:paraId="4CBB5CD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电子投标文件加密要求</w:t>
            </w:r>
          </w:p>
        </w:tc>
        <w:tc>
          <w:tcPr>
            <w:tcW w:w="6363" w:type="dxa"/>
            <w:noWrap w:val="0"/>
            <w:vAlign w:val="center"/>
          </w:tcPr>
          <w:p w14:paraId="035B68A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使用投标工具软件编制生成的电子投标文件。</w:t>
            </w:r>
          </w:p>
        </w:tc>
      </w:tr>
      <w:tr w14:paraId="6A488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47ACAFC9">
            <w:pPr>
              <w:keepNext w:val="0"/>
              <w:keepLines w:val="0"/>
              <w:pageBreakBefore w:val="0"/>
              <w:overflowPunct/>
              <w:bidi w:val="0"/>
              <w:adjustRightInd/>
              <w:snapToGrid/>
              <w:spacing w:line="312" w:lineRule="auto"/>
              <w:ind w:right="105" w:rightChars="50" w:firstLine="210" w:firstLineChars="100"/>
              <w:jc w:val="both"/>
              <w:rPr>
                <w:rFonts w:hint="eastAsia" w:ascii="宋体" w:hAnsi="宋体" w:eastAsia="宋体" w:cs="宋体"/>
                <w:color w:val="000000"/>
                <w:highlight w:val="none"/>
              </w:rPr>
            </w:pPr>
            <w:r>
              <w:rPr>
                <w:rFonts w:hint="eastAsia" w:ascii="宋体" w:hAnsi="宋体" w:eastAsia="宋体" w:cs="宋体"/>
                <w:color w:val="000000"/>
                <w:highlight w:val="none"/>
              </w:rPr>
              <w:t>4.2.2</w:t>
            </w:r>
          </w:p>
        </w:tc>
        <w:tc>
          <w:tcPr>
            <w:tcW w:w="1859" w:type="dxa"/>
            <w:vMerge w:val="restart"/>
            <w:noWrap w:val="0"/>
            <w:vAlign w:val="center"/>
          </w:tcPr>
          <w:p w14:paraId="5D8BAC9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递交投标文件方式和地点</w:t>
            </w:r>
          </w:p>
        </w:tc>
        <w:tc>
          <w:tcPr>
            <w:tcW w:w="6363" w:type="dxa"/>
            <w:noWrap w:val="0"/>
            <w:vAlign w:val="top"/>
          </w:tcPr>
          <w:p w14:paraId="3C8C46A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截止时间：</w:t>
            </w:r>
            <w:r>
              <w:rPr>
                <w:rFonts w:hint="eastAsia" w:ascii="宋体" w:hAnsi="宋体" w:eastAsia="宋体" w:cs="宋体"/>
                <w:color w:val="000000"/>
                <w:highlight w:val="none"/>
                <w:u w:val="none"/>
                <w:lang w:val="en-US" w:eastAsia="zh-CN"/>
              </w:rPr>
              <w:t>详见招标公告</w:t>
            </w:r>
          </w:p>
        </w:tc>
      </w:tr>
      <w:tr w14:paraId="1EEAC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64BDA0D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1859" w:type="dxa"/>
            <w:vMerge w:val="continue"/>
            <w:noWrap w:val="0"/>
            <w:vAlign w:val="center"/>
          </w:tcPr>
          <w:p w14:paraId="4A89B3CA">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6363" w:type="dxa"/>
            <w:noWrap w:val="0"/>
            <w:vAlign w:val="top"/>
          </w:tcPr>
          <w:p w14:paraId="7BA4AF6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本项目投标文件投标人采用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现场递交/□电子投标文件上传平台。</w:t>
            </w:r>
          </w:p>
          <w:p w14:paraId="70B554BF">
            <w:pPr>
              <w:keepNext w:val="0"/>
              <w:keepLines w:val="0"/>
              <w:pageBreakBefore w:val="0"/>
              <w:tabs>
                <w:tab w:val="left" w:pos="5680"/>
              </w:tabs>
              <w:overflowPunct/>
              <w:bidi w:val="0"/>
              <w:adjustRightInd/>
              <w:snapToGrid/>
              <w:spacing w:line="312" w:lineRule="auto"/>
              <w:ind w:left="105" w:leftChars="50" w:right="105" w:rightChars="50"/>
              <w:jc w:val="both"/>
              <w:rPr>
                <w:rFonts w:hint="eastAsia"/>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现场递交：投标人将密封的投标文件在开标当日09:00时至09:30时递交至绍兴市公共资源交易中心指定开标室</w:t>
            </w:r>
            <w:r>
              <w:rPr>
                <w:rFonts w:hint="eastAsia" w:ascii="宋体" w:hAnsi="宋体" w:eastAsia="宋体" w:cs="宋体"/>
                <w:color w:val="000000"/>
                <w:highlight w:val="none"/>
                <w:lang w:eastAsia="zh-CN"/>
              </w:rPr>
              <w:t>（</w:t>
            </w:r>
            <w:r>
              <w:rPr>
                <w:rFonts w:hint="eastAsia" w:ascii="宋体" w:hAnsi="宋体" w:eastAsia="宋体" w:cs="宋体"/>
                <w:color w:val="auto"/>
                <w:highlight w:val="none"/>
              </w:rPr>
              <w:t>绍兴市越城区洋江西路699号梅山春晓</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，投标文件递交后即交即走。投标文件递交地址：</w:t>
            </w:r>
            <w:r>
              <w:rPr>
                <w:rFonts w:hint="eastAsia" w:ascii="宋体" w:hAnsi="宋体" w:eastAsia="宋体" w:cs="宋体"/>
                <w:color w:val="auto"/>
                <w:highlight w:val="none"/>
              </w:rPr>
              <w:t>绍兴市越城区洋江西路699号梅山春晓</w:t>
            </w:r>
            <w:r>
              <w:rPr>
                <w:rFonts w:hint="eastAsia" w:ascii="宋体" w:hAnsi="宋体" w:eastAsia="宋体" w:cs="宋体"/>
                <w:color w:val="000000"/>
                <w:highlight w:val="none"/>
              </w:rPr>
              <w:t>指定开标室（绍兴市公共资源交易中心）。</w:t>
            </w:r>
          </w:p>
        </w:tc>
      </w:tr>
      <w:tr w14:paraId="137D8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343EE29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1859" w:type="dxa"/>
            <w:vMerge w:val="continue"/>
            <w:noWrap w:val="0"/>
            <w:vAlign w:val="center"/>
          </w:tcPr>
          <w:p w14:paraId="43A2DC3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6363" w:type="dxa"/>
            <w:noWrap w:val="0"/>
            <w:vAlign w:val="top"/>
          </w:tcPr>
          <w:p w14:paraId="0ADC7C8E">
            <w:pPr>
              <w:keepNext w:val="0"/>
              <w:keepLines w:val="0"/>
              <w:pageBreakBefore w:val="0"/>
              <w:widowControl w:val="0"/>
              <w:tabs>
                <w:tab w:val="left" w:pos="5680"/>
              </w:tabs>
              <w:kinsoku w:val="0"/>
              <w:wordWrap/>
              <w:overflowPunct w:val="0"/>
              <w:topLinePunct/>
              <w:autoSpaceDE/>
              <w:autoSpaceDN/>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strike w:val="0"/>
                <w:dstrike w:val="0"/>
                <w:color w:val="000000"/>
                <w:highlight w:val="none"/>
              </w:rPr>
              <w:t>□使用专用密钥上传至 绍兴市公共资源交易中心电子招投标交易平台（http://220.187.225.202:8088/TPBidder-ztk/memberLogin）</w:t>
            </w:r>
          </w:p>
        </w:tc>
      </w:tr>
      <w:tr w14:paraId="56AA6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4C741F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4.2.3</w:t>
            </w:r>
          </w:p>
        </w:tc>
        <w:tc>
          <w:tcPr>
            <w:tcW w:w="1859" w:type="dxa"/>
            <w:noWrap w:val="0"/>
            <w:vAlign w:val="center"/>
          </w:tcPr>
          <w:p w14:paraId="0805D4D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是否退还投标文件</w:t>
            </w:r>
          </w:p>
        </w:tc>
        <w:tc>
          <w:tcPr>
            <w:tcW w:w="6363" w:type="dxa"/>
            <w:noWrap w:val="0"/>
            <w:vAlign w:val="top"/>
          </w:tcPr>
          <w:p w14:paraId="7CE5348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否</w:t>
            </w:r>
          </w:p>
          <w:p w14:paraId="480AF52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□是。未中标的投标文件将予以退还。</w:t>
            </w:r>
          </w:p>
        </w:tc>
      </w:tr>
      <w:tr w14:paraId="36BA0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4668662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4.4</w:t>
            </w:r>
          </w:p>
        </w:tc>
        <w:tc>
          <w:tcPr>
            <w:tcW w:w="1859" w:type="dxa"/>
            <w:noWrap w:val="0"/>
            <w:vAlign w:val="center"/>
          </w:tcPr>
          <w:p w14:paraId="266343F5">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投标文件的拒收情形</w:t>
            </w:r>
          </w:p>
        </w:tc>
        <w:tc>
          <w:tcPr>
            <w:tcW w:w="6363" w:type="dxa"/>
            <w:noWrap w:val="0"/>
            <w:vAlign w:val="top"/>
          </w:tcPr>
          <w:p w14:paraId="77E86FC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position w:val="2"/>
                <w:highlight w:val="none"/>
              </w:rPr>
            </w:pPr>
            <w:r>
              <w:rPr>
                <w:rFonts w:hint="eastAsia" w:ascii="宋体" w:hAnsi="宋体" w:eastAsia="宋体" w:cs="宋体"/>
                <w:strike w:val="0"/>
                <w:dstrike w:val="0"/>
                <w:color w:val="000000"/>
                <w:position w:val="2"/>
                <w:highlight w:val="none"/>
              </w:rPr>
              <w:t>一、投标人未按规定密封或封套外信息与所投标段内容不符的投标文件。</w:t>
            </w:r>
          </w:p>
          <w:p w14:paraId="0721963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position w:val="2"/>
                <w:highlight w:val="none"/>
              </w:rPr>
            </w:pPr>
            <w:r>
              <w:rPr>
                <w:rFonts w:hint="eastAsia" w:ascii="宋体" w:hAnsi="宋体" w:eastAsia="宋体" w:cs="宋体"/>
                <w:strike w:val="0"/>
                <w:dstrike w:val="0"/>
                <w:color w:val="000000"/>
                <w:position w:val="2"/>
                <w:highlight w:val="none"/>
              </w:rPr>
              <w:t>二、未在投标截止时间前递交的投标文件。</w:t>
            </w:r>
          </w:p>
        </w:tc>
      </w:tr>
      <w:tr w14:paraId="253D6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03C114A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p>
        </w:tc>
        <w:tc>
          <w:tcPr>
            <w:tcW w:w="1859" w:type="dxa"/>
            <w:noWrap w:val="0"/>
            <w:vAlign w:val="center"/>
          </w:tcPr>
          <w:p w14:paraId="3B02E47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□电子投标文件的拒收情形</w:t>
            </w:r>
          </w:p>
        </w:tc>
        <w:tc>
          <w:tcPr>
            <w:tcW w:w="6363" w:type="dxa"/>
            <w:noWrap w:val="0"/>
            <w:vAlign w:val="center"/>
          </w:tcPr>
          <w:p w14:paraId="02E7F82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1.投标截止时间后送达（上传）的投标文件、未按招标文件要求上传的；</w:t>
            </w:r>
          </w:p>
          <w:p w14:paraId="717BED1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2.投标人未按规定加密的投标文件，应当拒收并提示。</w:t>
            </w:r>
            <w:r>
              <w:rPr>
                <w:rFonts w:hint="eastAsia" w:ascii="宋体" w:hAnsi="宋体" w:eastAsia="宋体" w:cs="宋体"/>
                <w:strike w:val="0"/>
                <w:dstrike w:val="0"/>
                <w:color w:val="000000"/>
                <w:highlight w:val="none"/>
              </w:rPr>
              <w:br w:type="textWrapping"/>
            </w:r>
            <w:r>
              <w:rPr>
                <w:rFonts w:hint="eastAsia" w:ascii="宋体" w:hAnsi="宋体" w:eastAsia="宋体" w:cs="宋体"/>
                <w:strike w:val="0"/>
                <w:dstrike w:val="0"/>
                <w:color w:val="000000"/>
                <w:highlight w:val="none"/>
              </w:rPr>
              <w:t>3.存在下列情况之一的，视为拒收：</w:t>
            </w:r>
          </w:p>
          <w:p w14:paraId="6473BB0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（1）电子投标文件无法解密的；</w:t>
            </w:r>
          </w:p>
          <w:p w14:paraId="0BCB80D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（2）电子投标文件解密后无法正确读取的；</w:t>
            </w:r>
          </w:p>
          <w:p w14:paraId="4081000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（3）电子投标文件无法导入成功的；</w:t>
            </w:r>
          </w:p>
          <w:p w14:paraId="2185A4E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4.□未被邀请的申请人提交的投标文件</w:t>
            </w:r>
          </w:p>
          <w:p w14:paraId="3457B56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5.其他:  法律、法规所规定的其他情形   。</w:t>
            </w:r>
          </w:p>
        </w:tc>
      </w:tr>
      <w:tr w14:paraId="38602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827765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5.1</w:t>
            </w:r>
          </w:p>
        </w:tc>
        <w:tc>
          <w:tcPr>
            <w:tcW w:w="1859" w:type="dxa"/>
            <w:noWrap w:val="0"/>
            <w:vAlign w:val="center"/>
          </w:tcPr>
          <w:p w14:paraId="481A25D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开标时间和地点、参加开标会议的要求</w:t>
            </w:r>
          </w:p>
        </w:tc>
        <w:tc>
          <w:tcPr>
            <w:tcW w:w="6363" w:type="dxa"/>
            <w:noWrap w:val="0"/>
            <w:vAlign w:val="top"/>
          </w:tcPr>
          <w:p w14:paraId="0EEE7308">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2"/>
                <w:highlight w:val="none"/>
              </w:rPr>
              <w:t>一、开标时间：同投标截止时间。</w:t>
            </w:r>
          </w:p>
          <w:p w14:paraId="023EECE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color w:val="000000"/>
                <w:highlight w:val="none"/>
              </w:rPr>
              <w:t>二</w:t>
            </w:r>
            <w:r>
              <w:rPr>
                <w:rFonts w:hint="eastAsia" w:ascii="宋体" w:hAnsi="宋体" w:eastAsia="宋体" w:cs="宋体"/>
                <w:strike w:val="0"/>
                <w:dstrike w:val="0"/>
                <w:color w:val="000000"/>
                <w:highlight w:val="none"/>
              </w:rPr>
              <w:t>、开标地点：绍兴市公共资源交易中心指定</w:t>
            </w:r>
            <w:r>
              <w:rPr>
                <w:rFonts w:hint="eastAsia" w:ascii="宋体" w:hAnsi="宋体" w:eastAsia="宋体" w:cs="宋体"/>
                <w:strike w:val="0"/>
                <w:dstrike w:val="0"/>
                <w:color w:val="000000"/>
                <w:highlight w:val="none"/>
                <w:lang w:val="en-US" w:eastAsia="zh-CN"/>
              </w:rPr>
              <w:t>R2002</w:t>
            </w:r>
            <w:r>
              <w:rPr>
                <w:rFonts w:hint="eastAsia" w:ascii="宋体" w:hAnsi="宋体" w:eastAsia="宋体" w:cs="宋体"/>
                <w:strike w:val="0"/>
                <w:dstrike w:val="0"/>
                <w:color w:val="000000"/>
                <w:highlight w:val="none"/>
              </w:rPr>
              <w:t>开标</w:t>
            </w:r>
            <w:bookmarkStart w:id="70" w:name="_GoBack"/>
            <w:bookmarkEnd w:id="70"/>
            <w:r>
              <w:rPr>
                <w:rFonts w:hint="eastAsia" w:ascii="宋体" w:hAnsi="宋体" w:eastAsia="宋体" w:cs="宋体"/>
                <w:strike w:val="0"/>
                <w:dstrike w:val="0"/>
                <w:color w:val="000000"/>
                <w:highlight w:val="none"/>
              </w:rPr>
              <w:t>室。</w:t>
            </w:r>
          </w:p>
          <w:p w14:paraId="41E4425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□三、开标平台:绍兴市公共资源交易中心电子招投标交易平台</w:t>
            </w:r>
          </w:p>
          <w:p w14:paraId="7DE15F5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i/>
                <w:color w:val="000000"/>
                <w:highlight w:val="none"/>
              </w:rPr>
            </w:pPr>
            <w:r>
              <w:rPr>
                <w:rFonts w:hint="eastAsia" w:ascii="宋体" w:hAnsi="宋体" w:eastAsia="宋体" w:cs="宋体"/>
                <w:color w:val="000000"/>
                <w:position w:val="1"/>
                <w:highlight w:val="none"/>
              </w:rPr>
              <w:t>四、参加开标会议的要求</w:t>
            </w:r>
          </w:p>
          <w:p w14:paraId="6443B50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74610C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2、开标过程中要求投标人进行澄清、说明或者补正的，须通过指定的电子邮箱</w:t>
            </w:r>
            <w:r>
              <w:rPr>
                <w:rFonts w:hint="eastAsia" w:ascii="宋体" w:hAnsi="宋体" w:eastAsia="宋体" w:cs="宋体"/>
                <w:color w:val="000000"/>
                <w:highlight w:val="none"/>
                <w:lang w:val="en-US" w:eastAsia="zh-CN"/>
              </w:rPr>
              <w:t>1714700</w:t>
            </w:r>
            <w:r>
              <w:rPr>
                <w:rFonts w:hint="eastAsia" w:ascii="宋体" w:hAnsi="宋体" w:eastAsia="宋体" w:cs="宋体"/>
                <w:color w:val="000000"/>
                <w:highlight w:val="none"/>
              </w:rPr>
              <w:t>@qq.com作出澄清、说明或者补正，提交澄清、说明或补正的时间为接到工作人员电话通知后半小时内。请投标单位期间电话保持畅通，如未及时接听电话，视为放弃澄清、说明或补正的权利；</w:t>
            </w:r>
          </w:p>
          <w:p w14:paraId="280A8F3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3、取消投标人法定代表人或授权委托人到场签字要求，取消开标记录表签字要求；</w:t>
            </w:r>
          </w:p>
          <w:p w14:paraId="66B3F65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i/>
                <w:color w:val="000000"/>
                <w:highlight w:val="none"/>
              </w:rPr>
            </w:pPr>
            <w:r>
              <w:rPr>
                <w:rFonts w:hint="eastAsia" w:ascii="宋体" w:hAnsi="宋体" w:eastAsia="宋体" w:cs="宋体"/>
                <w:color w:val="000000"/>
                <w:highlight w:val="none"/>
              </w:rPr>
              <w:t>4、由代理机构工作人员现场在监督部门、公证处监督下核验投标文件密封性并开启投标文件，组织评审，并对开评标活动进行全程录音录像。</w:t>
            </w:r>
          </w:p>
        </w:tc>
      </w:tr>
      <w:tr w14:paraId="388DF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D00C17F">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5.4</w:t>
            </w:r>
          </w:p>
        </w:tc>
        <w:tc>
          <w:tcPr>
            <w:tcW w:w="1859" w:type="dxa"/>
            <w:noWrap w:val="0"/>
            <w:vAlign w:val="center"/>
          </w:tcPr>
          <w:p w14:paraId="1159A8A6">
            <w:pPr>
              <w:pStyle w:val="58"/>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特殊情况处置</w:t>
            </w:r>
          </w:p>
        </w:tc>
        <w:tc>
          <w:tcPr>
            <w:tcW w:w="6363" w:type="dxa"/>
            <w:noWrap w:val="0"/>
            <w:vAlign w:val="center"/>
          </w:tcPr>
          <w:p w14:paraId="3873FD18">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1.因网络、系统、电力等不可抗力因素延期开标的，需更新制作投标文件并按招标文件要求重新递交。</w:t>
            </w:r>
          </w:p>
          <w:p w14:paraId="2B976D29">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172629B0">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（2）投标人必须使用生成电子投标文件的CA数字证书加密电子投标文件，未加密的视为撤销其投标文件。</w:t>
            </w:r>
          </w:p>
          <w:p w14:paraId="78420919">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3.其他：电子投标项目开标的其他相关程序按照我市相关规定《绍兴市区工程建设项目电子招标投标管理暂行办法》执行。</w:t>
            </w:r>
          </w:p>
        </w:tc>
      </w:tr>
      <w:tr w14:paraId="59B1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215" w:type="dxa"/>
            <w:noWrap w:val="0"/>
            <w:vAlign w:val="center"/>
          </w:tcPr>
          <w:p w14:paraId="1EF93F08">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6.1.1</w:t>
            </w:r>
          </w:p>
        </w:tc>
        <w:tc>
          <w:tcPr>
            <w:tcW w:w="1859" w:type="dxa"/>
            <w:noWrap w:val="0"/>
            <w:vAlign w:val="center"/>
          </w:tcPr>
          <w:p w14:paraId="371F134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评标委员会的组建</w:t>
            </w:r>
          </w:p>
        </w:tc>
        <w:tc>
          <w:tcPr>
            <w:tcW w:w="6363" w:type="dxa"/>
            <w:noWrap w:val="0"/>
            <w:vAlign w:val="center"/>
          </w:tcPr>
          <w:p w14:paraId="4F7FC77C">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评标委员会构成：招标人代表</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人，省库专家</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人。</w:t>
            </w:r>
          </w:p>
        </w:tc>
      </w:tr>
      <w:tr w14:paraId="5F7C1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215" w:type="dxa"/>
            <w:noWrap w:val="0"/>
            <w:vAlign w:val="center"/>
          </w:tcPr>
          <w:p w14:paraId="255E84D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6.3</w:t>
            </w:r>
          </w:p>
        </w:tc>
        <w:tc>
          <w:tcPr>
            <w:tcW w:w="1859" w:type="dxa"/>
            <w:noWrap w:val="0"/>
            <w:vAlign w:val="center"/>
          </w:tcPr>
          <w:p w14:paraId="03AAE79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评标方法</w:t>
            </w:r>
          </w:p>
        </w:tc>
        <w:tc>
          <w:tcPr>
            <w:tcW w:w="6363" w:type="dxa"/>
            <w:noWrap w:val="0"/>
            <w:vAlign w:val="center"/>
          </w:tcPr>
          <w:p w14:paraId="48F9D655">
            <w:pPr>
              <w:keepNext w:val="0"/>
              <w:keepLines w:val="0"/>
              <w:pageBreakBefore w:val="0"/>
              <w:widowControl w:val="0"/>
              <w:tabs>
                <w:tab w:val="left" w:pos="5680"/>
              </w:tabs>
              <w:overflowPunct/>
              <w:bidi w:val="0"/>
              <w:adjustRightInd/>
              <w:snapToGrid/>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1"/>
                <w:highlight w:val="none"/>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"http://218.108.28.22/zjgcjy/infodetail/?infoid=25b0d8ef-782f-44f1-a7c2-cdfa059b2aa2&amp;siteid=1&amp;categoryNum=032003"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3"/>
                <w:highlight w:val="none"/>
              </w:rPr>
              <w:t>经评审的最低投标价法</w:t>
            </w:r>
            <w:r>
              <w:rPr>
                <w:rFonts w:hint="eastAsia" w:ascii="宋体" w:hAnsi="宋体" w:eastAsia="宋体" w:cs="宋体"/>
                <w:color w:val="000000"/>
                <w:position w:val="3"/>
                <w:highlight w:val="none"/>
              </w:rPr>
              <w:fldChar w:fldCharType="end"/>
            </w:r>
            <w:r>
              <w:rPr>
                <w:rFonts w:hint="eastAsia" w:ascii="宋体" w:hAnsi="宋体" w:eastAsia="宋体" w:cs="宋体"/>
                <w:color w:val="000000"/>
                <w:position w:val="3"/>
                <w:highlight w:val="none"/>
              </w:rPr>
              <w:t>。</w:t>
            </w:r>
          </w:p>
          <w:p w14:paraId="3B62C287">
            <w:pPr>
              <w:keepNext w:val="0"/>
              <w:keepLines w:val="0"/>
              <w:pageBreakBefore w:val="0"/>
              <w:widowControl w:val="0"/>
              <w:tabs>
                <w:tab w:val="left" w:pos="5680"/>
              </w:tabs>
              <w:overflowPunct/>
              <w:bidi w:val="0"/>
              <w:adjustRightInd/>
              <w:snapToGrid/>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4"/>
                <w:highlight w:val="none"/>
                <w:lang w:eastAsia="zh-CN"/>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"http://218.108.28.22/zjgcjy/infodetail/?infoid=3561d4c5-1965-4914-8d10-bfd371957ee6&amp;siteid=1&amp;categoryNum=032003"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4"/>
                <w:highlight w:val="none"/>
              </w:rPr>
              <w:t>综合评估法</w:t>
            </w:r>
            <w:r>
              <w:rPr>
                <w:rFonts w:hint="eastAsia" w:ascii="宋体" w:hAnsi="宋体" w:eastAsia="宋体" w:cs="宋体"/>
                <w:color w:val="000000"/>
                <w:position w:val="4"/>
                <w:highlight w:val="none"/>
              </w:rPr>
              <w:fldChar w:fldCharType="end"/>
            </w:r>
            <w:r>
              <w:rPr>
                <w:rFonts w:hint="eastAsia" w:ascii="宋体" w:hAnsi="宋体" w:eastAsia="宋体" w:cs="宋体"/>
                <w:color w:val="000000"/>
                <w:position w:val="4"/>
                <w:highlight w:val="none"/>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"http://218.108.28.22/zjgcjy/infodetail/?infoid=3561d4c5-1965-4914-8d10-bfd371957ee6&amp;siteid=1&amp;categoryNum=032003"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end"/>
            </w:r>
          </w:p>
        </w:tc>
      </w:tr>
      <w:tr w14:paraId="5EE61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1215" w:type="dxa"/>
            <w:noWrap w:val="0"/>
            <w:vAlign w:val="center"/>
          </w:tcPr>
          <w:p w14:paraId="0A0880FF">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6.4.2</w:t>
            </w:r>
          </w:p>
        </w:tc>
        <w:tc>
          <w:tcPr>
            <w:tcW w:w="1859" w:type="dxa"/>
            <w:noWrap w:val="0"/>
            <w:vAlign w:val="center"/>
          </w:tcPr>
          <w:p w14:paraId="44FF418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评标委员会推荐</w:t>
            </w:r>
          </w:p>
          <w:p w14:paraId="768A361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中标候选人</w:t>
            </w:r>
          </w:p>
        </w:tc>
        <w:tc>
          <w:tcPr>
            <w:tcW w:w="6363" w:type="dxa"/>
            <w:noWrap w:val="0"/>
            <w:vAlign w:val="top"/>
          </w:tcPr>
          <w:p w14:paraId="30F61AC3">
            <w:pPr>
              <w:pStyle w:val="20"/>
              <w:keepNext w:val="0"/>
              <w:keepLines w:val="0"/>
              <w:pageBreakBefore w:val="0"/>
              <w:tabs>
                <w:tab w:val="left" w:pos="5680"/>
              </w:tabs>
              <w:overflowPunct/>
              <w:bidi w:val="0"/>
              <w:adjustRightInd/>
              <w:snapToGrid/>
              <w:spacing w:after="0" w:line="312" w:lineRule="auto"/>
              <w:ind w:left="105" w:leftChars="50" w:right="105" w:rightChars="5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推荐的中标候选人数量：</w:t>
            </w:r>
            <w:r>
              <w:rPr>
                <w:rFonts w:hint="eastAsia" w:ascii="宋体" w:hAnsi="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rPr>
              <w:t>家。</w:t>
            </w:r>
          </w:p>
          <w:p w14:paraId="1DDA2E26">
            <w:pPr>
              <w:pStyle w:val="20"/>
              <w:keepNext w:val="0"/>
              <w:keepLines w:val="0"/>
              <w:pageBreakBefore w:val="0"/>
              <w:widowControl w:val="0"/>
              <w:tabs>
                <w:tab w:val="left" w:pos="5680"/>
              </w:tabs>
              <w:kinsoku w:val="0"/>
              <w:wordWrap/>
              <w:overflowPunct w:val="0"/>
              <w:topLinePunct w:val="0"/>
              <w:autoSpaceDE w:val="0"/>
              <w:autoSpaceDN w:val="0"/>
              <w:bidi w:val="0"/>
              <w:adjustRightInd/>
              <w:snapToGrid/>
              <w:spacing w:after="0" w:line="312" w:lineRule="auto"/>
              <w:ind w:left="105" w:leftChars="50" w:right="105" w:rightChars="50"/>
              <w:textAlignment w:val="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w:t>
            </w:r>
            <w:r>
              <w:rPr>
                <w:rFonts w:hint="eastAsia"/>
                <w:color w:val="000000"/>
                <w:sz w:val="21"/>
                <w:szCs w:val="21"/>
                <w:highlight w:val="none"/>
              </w:rPr>
              <w:t>推荐入围定标的中标候选人：</w:t>
            </w:r>
            <w:r>
              <w:rPr>
                <w:rFonts w:hint="eastAsia" w:ascii="宋体" w:hAnsi="宋体" w:eastAsia="宋体" w:cs="宋体"/>
                <w:color w:val="000000"/>
                <w:sz w:val="21"/>
                <w:szCs w:val="21"/>
                <w:highlight w:val="none"/>
                <w:u w:val="single"/>
              </w:rPr>
              <w:t xml:space="preserve">     </w:t>
            </w:r>
            <w:r>
              <w:rPr>
                <w:rFonts w:hint="eastAsia"/>
                <w:color w:val="000000"/>
                <w:sz w:val="21"/>
                <w:szCs w:val="21"/>
                <w:highlight w:val="none"/>
              </w:rPr>
              <w:t>人。（适用于“评定分离”。注：原则上推荐3名中标候选人，最多不超过5个。推荐名单的中标候选人不排名次。）</w:t>
            </w:r>
          </w:p>
        </w:tc>
      </w:tr>
      <w:tr w14:paraId="176BD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CDB4508">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7.1</w:t>
            </w:r>
          </w:p>
        </w:tc>
        <w:tc>
          <w:tcPr>
            <w:tcW w:w="1859" w:type="dxa"/>
            <w:noWrap w:val="0"/>
            <w:vAlign w:val="center"/>
          </w:tcPr>
          <w:p w14:paraId="1462FF78">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确定中标人</w:t>
            </w:r>
          </w:p>
        </w:tc>
        <w:tc>
          <w:tcPr>
            <w:tcW w:w="6363" w:type="dxa"/>
            <w:noWrap w:val="0"/>
            <w:vAlign w:val="center"/>
          </w:tcPr>
          <w:p w14:paraId="0A4862FB">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□授权评标委员会确定中标人。</w:t>
            </w:r>
          </w:p>
          <w:p w14:paraId="5748C0C0">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根据评标委员会推荐，由招标人确定中标人。</w:t>
            </w:r>
          </w:p>
          <w:p w14:paraId="41EDCBE1">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评定分离，根据评标委员会推荐，另行组织定标会议，由定标委员会确定中标人。</w:t>
            </w:r>
          </w:p>
          <w:p w14:paraId="2E4E06D9">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□其他：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tc>
      </w:tr>
      <w:tr w14:paraId="67E2C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93603D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7.1.4</w:t>
            </w:r>
          </w:p>
        </w:tc>
        <w:tc>
          <w:tcPr>
            <w:tcW w:w="1859" w:type="dxa"/>
            <w:noWrap w:val="0"/>
            <w:vAlign w:val="center"/>
          </w:tcPr>
          <w:p w14:paraId="1043CBB3">
            <w:pPr>
              <w:pStyle w:val="58"/>
              <w:keepNext w:val="0"/>
              <w:keepLines w:val="0"/>
              <w:pageBreakBefore w:val="0"/>
              <w:overflowPunct/>
              <w:bidi w:val="0"/>
              <w:adjustRightInd/>
              <w:snapToGrid/>
              <w:ind w:firstLine="0" w:firstLineChars="0"/>
              <w:rPr>
                <w:rFonts w:hint="eastAsia" w:ascii="宋体" w:hAnsi="宋体" w:eastAsia="宋体" w:cs="宋体"/>
                <w:color w:val="000000"/>
                <w:highlight w:val="none"/>
              </w:rPr>
            </w:pPr>
            <w:r>
              <w:rPr>
                <w:rFonts w:hint="eastAsia" w:ascii="宋体" w:hAnsi="宋体" w:eastAsia="宋体" w:cs="宋体"/>
                <w:snapToGrid/>
                <w:color w:val="000000"/>
                <w:highlight w:val="none"/>
                <w:lang w:eastAsia="zh-CN"/>
              </w:rPr>
              <w:t>☑</w:t>
            </w:r>
            <w:r>
              <w:rPr>
                <w:rFonts w:hint="eastAsia" w:ascii="宋体" w:hAnsi="宋体" w:eastAsia="宋体" w:cs="宋体"/>
                <w:snapToGrid/>
                <w:color w:val="000000"/>
                <w:highlight w:val="none"/>
              </w:rPr>
              <w:t>中</w:t>
            </w:r>
            <w:r>
              <w:rPr>
                <w:rFonts w:hint="eastAsia" w:ascii="宋体" w:hAnsi="宋体" w:eastAsia="宋体" w:cs="宋体"/>
                <w:color w:val="000000"/>
                <w:highlight w:val="none"/>
              </w:rPr>
              <w:t>标公告媒介及期限</w:t>
            </w:r>
          </w:p>
        </w:tc>
        <w:tc>
          <w:tcPr>
            <w:tcW w:w="6363" w:type="dxa"/>
            <w:noWrap w:val="0"/>
            <w:vAlign w:val="center"/>
          </w:tcPr>
          <w:p w14:paraId="5471C2B2">
            <w:pPr>
              <w:keepNext w:val="0"/>
              <w:keepLines w:val="0"/>
              <w:pageBreakBefore w:val="0"/>
              <w:overflowPunct/>
              <w:bidi w:val="0"/>
              <w:adjustRightInd/>
              <w:snapToGrid/>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公</w:t>
            </w:r>
            <w:r>
              <w:rPr>
                <w:rFonts w:hint="eastAsia" w:ascii="宋体" w:hAnsi="宋体" w:eastAsia="宋体" w:cs="宋体"/>
                <w:color w:val="000000"/>
                <w:spacing w:val="-2"/>
                <w:highlight w:val="none"/>
              </w:rPr>
              <w:t>告</w:t>
            </w:r>
            <w:r>
              <w:rPr>
                <w:rFonts w:hint="eastAsia" w:ascii="宋体" w:hAnsi="宋体" w:eastAsia="宋体" w:cs="宋体"/>
                <w:color w:val="000000"/>
                <w:highlight w:val="none"/>
              </w:rPr>
              <w:t>媒介：</w:t>
            </w:r>
            <w:r>
              <w:rPr>
                <w:rFonts w:hint="eastAsia" w:ascii="宋体" w:hAnsi="宋体" w:eastAsia="宋体" w:cs="宋体"/>
                <w:color w:val="000000"/>
                <w:highlight w:val="none"/>
                <w:u w:val="single"/>
              </w:rPr>
              <w:t xml:space="preserve"> 绍兴公共资源交易网 </w:t>
            </w:r>
          </w:p>
          <w:p w14:paraId="6A4CD9A8">
            <w:pPr>
              <w:keepNext w:val="0"/>
              <w:keepLines w:val="0"/>
              <w:pageBreakBefore w:val="0"/>
              <w:overflowPunct/>
              <w:bidi w:val="0"/>
              <w:adjustRightInd/>
              <w:snapToGrid/>
              <w:spacing w:line="400" w:lineRule="exact"/>
              <w:rPr>
                <w:rFonts w:hint="eastAsia" w:ascii="宋体" w:hAnsi="宋体" w:eastAsia="宋体" w:cs="宋体"/>
                <w:color w:val="000000"/>
                <w:highlight w:val="none"/>
              </w:rPr>
            </w:pPr>
            <w:r>
              <w:rPr>
                <w:rFonts w:hint="eastAsia" w:ascii="宋体" w:hAnsi="宋体" w:eastAsia="宋体" w:cs="宋体"/>
                <w:color w:val="000000"/>
                <w:spacing w:val="-2"/>
                <w:highlight w:val="none"/>
              </w:rPr>
              <w:t>公告期限：不少于3日。如遇国家法定休假日，应顺延至法定休假日后第一个工作日。</w:t>
            </w:r>
          </w:p>
        </w:tc>
      </w:tr>
      <w:tr w14:paraId="54D12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3C563B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7.2.1</w:t>
            </w:r>
          </w:p>
        </w:tc>
        <w:tc>
          <w:tcPr>
            <w:tcW w:w="1859" w:type="dxa"/>
            <w:noWrap w:val="0"/>
            <w:vAlign w:val="center"/>
          </w:tcPr>
          <w:p w14:paraId="4E82D317">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中标候选人公示</w:t>
            </w:r>
          </w:p>
        </w:tc>
        <w:tc>
          <w:tcPr>
            <w:tcW w:w="6363" w:type="dxa"/>
            <w:noWrap w:val="0"/>
            <w:vAlign w:val="center"/>
          </w:tcPr>
          <w:p w14:paraId="3AE11C0D">
            <w:pPr>
              <w:keepNext w:val="0"/>
              <w:keepLines w:val="0"/>
              <w:pageBreakBefore w:val="0"/>
              <w:tabs>
                <w:tab w:val="left" w:pos="2150"/>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5D0A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AF3BF1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7.4.1</w:t>
            </w:r>
          </w:p>
        </w:tc>
        <w:tc>
          <w:tcPr>
            <w:tcW w:w="1859" w:type="dxa"/>
            <w:noWrap w:val="0"/>
            <w:vAlign w:val="center"/>
          </w:tcPr>
          <w:p w14:paraId="4912FB9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w:t>
            </w:r>
          </w:p>
        </w:tc>
        <w:tc>
          <w:tcPr>
            <w:tcW w:w="6363" w:type="dxa"/>
            <w:noWrap w:val="0"/>
            <w:vAlign w:val="top"/>
          </w:tcPr>
          <w:p w14:paraId="5CBFDD7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履约保证金的形式：</w:t>
            </w:r>
            <w:bookmarkStart w:id="4" w:name="EB729f8822ed244be9b6cbf8c77e802a6c"/>
            <w:r>
              <w:rPr>
                <w:rFonts w:hint="eastAsia" w:ascii="宋体" w:hAnsi="宋体" w:eastAsia="宋体" w:cs="宋体"/>
                <w:color w:val="000000"/>
                <w:highlight w:val="none"/>
              </w:rPr>
              <w:t>现金、支票、汇票、转账、银行保函、融资担保公司保函或者保险机构保证、保险、保单。</w:t>
            </w:r>
            <w:bookmarkEnd w:id="4"/>
          </w:p>
          <w:p w14:paraId="3AD5A0A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履约保证金的金额：合同总价的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%(不得超过2%)。</w:t>
            </w:r>
          </w:p>
        </w:tc>
      </w:tr>
      <w:tr w14:paraId="3B468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994F82F">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8.2</w:t>
            </w:r>
          </w:p>
        </w:tc>
        <w:tc>
          <w:tcPr>
            <w:tcW w:w="1859" w:type="dxa"/>
            <w:noWrap w:val="0"/>
            <w:vAlign w:val="center"/>
          </w:tcPr>
          <w:p w14:paraId="78D2DF0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不再招标的情形</w:t>
            </w:r>
          </w:p>
        </w:tc>
        <w:tc>
          <w:tcPr>
            <w:tcW w:w="6363" w:type="dxa"/>
            <w:noWrap w:val="0"/>
            <w:vAlign w:val="top"/>
          </w:tcPr>
          <w:p w14:paraId="6F82365E">
            <w:pPr>
              <w:keepNext w:val="0"/>
              <w:keepLines w:val="0"/>
              <w:pageBreakBefore w:val="0"/>
              <w:tabs>
                <w:tab w:val="left" w:pos="5680"/>
              </w:tabs>
              <w:overflowPunct/>
              <w:bidi w:val="0"/>
              <w:adjustRightInd/>
              <w:snapToGrid/>
              <w:spacing w:line="312" w:lineRule="auto"/>
              <w:ind w:left="105" w:leftChars="50" w:right="105" w:rightChars="50"/>
              <w:rPr>
                <w:rFonts w:hint="eastAsia" w:ascii="宋体" w:hAnsi="宋体" w:eastAsia="宋体" w:cs="宋体"/>
                <w:color w:val="000000"/>
                <w:highlight w:val="none"/>
              </w:rPr>
            </w:pPr>
            <w:r>
              <w:rPr>
                <w:rFonts w:hint="eastAsia" w:ascii="宋体" w:hAnsi="宋体" w:eastAsia="宋体" w:cs="宋体"/>
                <w:color w:val="000000"/>
                <w:highlight w:val="none"/>
              </w:rPr>
              <w:t>重新招标后投标人仍少于3个，属于必须审批、核准的工程建设项目，经报相关部门批准后，可以不再进行招标。</w:t>
            </w:r>
          </w:p>
        </w:tc>
      </w:tr>
      <w:tr w14:paraId="17A4D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852762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9.5</w:t>
            </w:r>
          </w:p>
        </w:tc>
        <w:tc>
          <w:tcPr>
            <w:tcW w:w="1859" w:type="dxa"/>
            <w:noWrap w:val="0"/>
            <w:vAlign w:val="center"/>
          </w:tcPr>
          <w:p w14:paraId="12F1A72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异议和投诉</w:t>
            </w:r>
          </w:p>
        </w:tc>
        <w:tc>
          <w:tcPr>
            <w:tcW w:w="6363" w:type="dxa"/>
            <w:noWrap w:val="0"/>
            <w:vAlign w:val="top"/>
          </w:tcPr>
          <w:p w14:paraId="12E93711">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9.5.1异议</w:t>
            </w:r>
          </w:p>
          <w:p w14:paraId="7A6863F0">
            <w:pPr>
              <w:keepNext w:val="0"/>
              <w:keepLines w:val="0"/>
              <w:pageBreakBefore w:val="0"/>
              <w:overflowPunct/>
              <w:bidi w:val="0"/>
              <w:adjustRightInd/>
              <w:snapToGrid/>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4538FB59">
            <w:pPr>
              <w:keepNext w:val="0"/>
              <w:keepLines w:val="0"/>
              <w:pageBreakBefore w:val="0"/>
              <w:overflowPunct/>
              <w:bidi w:val="0"/>
              <w:adjustRightInd/>
              <w:snapToGrid/>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（2）投标人认为开标不符合有关规定的，应当在开标时提出异议。招标人将当场对异议给予处理或者告知处理的办法。异议和答复应记入开标记录或者制作专门记录以存档备查。</w:t>
            </w:r>
          </w:p>
          <w:p w14:paraId="7AF512C8">
            <w:pPr>
              <w:keepNext w:val="0"/>
              <w:keepLines w:val="0"/>
              <w:pageBreakBefore w:val="0"/>
              <w:overflowPunct/>
              <w:bidi w:val="0"/>
              <w:adjustRightInd/>
              <w:snapToGrid/>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68E3300">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9.5.2投诉</w:t>
            </w:r>
          </w:p>
          <w:p w14:paraId="1DA9B5B1">
            <w:pPr>
              <w:keepNext w:val="0"/>
              <w:keepLines w:val="0"/>
              <w:pageBreakBefore w:val="0"/>
              <w:overflowPunct/>
              <w:bidi w:val="0"/>
              <w:adjustRightInd/>
              <w:snapToGrid/>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7ECEA98">
            <w:pPr>
              <w:keepNext w:val="0"/>
              <w:keepLines w:val="0"/>
              <w:pageBreakBefore w:val="0"/>
              <w:overflowPunct/>
              <w:bidi w:val="0"/>
              <w:adjustRightInd/>
              <w:snapToGrid/>
              <w:ind w:firstLine="420" w:firstLineChars="200"/>
              <w:rPr>
                <w:rFonts w:hint="eastAsia" w:ascii="宋体" w:hAnsi="宋体" w:eastAsia="宋体" w:cs="宋体"/>
                <w:b/>
                <w:color w:val="000000"/>
                <w:highlight w:val="none"/>
              </w:rPr>
            </w:pPr>
            <w:r>
              <w:rPr>
                <w:rFonts w:hint="eastAsia" w:ascii="宋体" w:hAnsi="宋体" w:eastAsia="宋体" w:cs="宋体"/>
                <w:color w:val="000000"/>
                <w:highlight w:val="none"/>
              </w:rPr>
              <w:t>上述时限最后一日如遇国家法定休假日的，顺延至法定休假日后的第一个工作日。</w:t>
            </w:r>
          </w:p>
        </w:tc>
      </w:tr>
      <w:tr w14:paraId="29CA1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13A8D9A">
            <w:pPr>
              <w:pStyle w:val="58"/>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10</w:t>
            </w:r>
          </w:p>
        </w:tc>
        <w:tc>
          <w:tcPr>
            <w:tcW w:w="1859" w:type="dxa"/>
            <w:noWrap w:val="0"/>
            <w:vAlign w:val="center"/>
          </w:tcPr>
          <w:p w14:paraId="3E262B1F">
            <w:pPr>
              <w:pStyle w:val="58"/>
              <w:keepNext w:val="0"/>
              <w:keepLines w:val="0"/>
              <w:pageBreakBefore w:val="0"/>
              <w:overflowPunct/>
              <w:bidi w:val="0"/>
              <w:adjustRightInd/>
              <w:snapToGrid/>
              <w:ind w:firstLine="0" w:firstLineChars="0"/>
              <w:rPr>
                <w:rFonts w:hint="eastAsia" w:ascii="宋体" w:hAnsi="宋体" w:eastAsia="宋体" w:cs="宋体"/>
                <w:color w:val="000000"/>
                <w:highlight w:val="none"/>
              </w:rPr>
            </w:pPr>
            <w:r>
              <w:rPr>
                <w:rFonts w:hint="eastAsia" w:ascii="宋体" w:hAnsi="宋体" w:eastAsia="宋体" w:cs="宋体"/>
                <w:color w:val="000000"/>
                <w:highlight w:val="none"/>
              </w:rPr>
              <w:t>需要补充的其他内容</w:t>
            </w:r>
          </w:p>
        </w:tc>
        <w:tc>
          <w:tcPr>
            <w:tcW w:w="6363" w:type="dxa"/>
            <w:noWrap w:val="0"/>
            <w:vAlign w:val="center"/>
          </w:tcPr>
          <w:p w14:paraId="2F1D4346">
            <w:pPr>
              <w:keepNext w:val="0"/>
              <w:keepLines w:val="0"/>
              <w:pageBreakBefore w:val="0"/>
              <w:overflowPunct/>
              <w:bidi w:val="0"/>
              <w:adjustRightInd/>
              <w:snapToGrid/>
              <w:jc w:val="both"/>
              <w:rPr>
                <w:rFonts w:hint="eastAsia" w:ascii="宋体" w:hAnsi="宋体" w:eastAsia="宋体" w:cs="宋体"/>
                <w:color w:val="000000"/>
                <w:highlight w:val="none"/>
              </w:rPr>
            </w:pPr>
            <w:r>
              <w:rPr>
                <w:rFonts w:hint="eastAsia" w:ascii="宋体" w:hAnsi="宋体" w:eastAsia="宋体" w:cs="宋体"/>
                <w:color w:val="000000"/>
                <w:highlight w:val="none"/>
              </w:rPr>
              <w:t>投诉受理的具体部门及电话</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u w:val="single"/>
              </w:rPr>
              <w:t>绍兴市住房和城乡建设局，</w:t>
            </w:r>
            <w:r>
              <w:rPr>
                <w:rFonts w:hint="eastAsia" w:ascii="Times New Roman" w:hAnsi="Times New Roman"/>
                <w:color w:val="auto"/>
                <w:highlight w:val="none"/>
                <w:u w:val="single"/>
              </w:rPr>
              <w:t>电话 0575-</w:t>
            </w:r>
            <w:r>
              <w:rPr>
                <w:rFonts w:hint="eastAsia" w:ascii="Times New Roman" w:hAnsi="Times New Roman" w:eastAsia="宋体"/>
                <w:color w:val="auto"/>
                <w:highlight w:val="none"/>
                <w:u w:val="single"/>
                <w:lang w:val="en-US" w:eastAsia="zh-CN"/>
              </w:rPr>
              <w:t>85115633</w:t>
            </w:r>
            <w:r>
              <w:rPr>
                <w:rFonts w:hint="eastAsia" w:ascii="宋体" w:hAnsi="宋体" w:eastAsia="宋体" w:cs="宋体"/>
                <w:color w:val="000000"/>
                <w:highlight w:val="none"/>
              </w:rPr>
              <w:t>。</w:t>
            </w:r>
          </w:p>
        </w:tc>
      </w:tr>
      <w:tr w14:paraId="10196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3C5348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10.1</w:t>
            </w:r>
          </w:p>
        </w:tc>
        <w:tc>
          <w:tcPr>
            <w:tcW w:w="1859" w:type="dxa"/>
            <w:noWrap w:val="0"/>
            <w:vAlign w:val="center"/>
          </w:tcPr>
          <w:p w14:paraId="4579436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bCs/>
                <w:color w:val="000000"/>
                <w:highlight w:val="none"/>
              </w:rPr>
              <w:t>否决投标的情形</w:t>
            </w:r>
          </w:p>
        </w:tc>
        <w:tc>
          <w:tcPr>
            <w:tcW w:w="6363" w:type="dxa"/>
            <w:noWrap w:val="0"/>
            <w:vAlign w:val="top"/>
          </w:tcPr>
          <w:p w14:paraId="64E0A7B2">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4A3929E6">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二、投标文件存在以下情形之一的，由评标委员会审核并经过询标程序，其投标文件将被否决：</w:t>
            </w:r>
          </w:p>
          <w:p w14:paraId="06BED828">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(一)符合性内容</w:t>
            </w:r>
          </w:p>
          <w:p w14:paraId="22AFEAE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1.投标人的资质、业绩、人员、设备(材料)等条件未满足招标文件实质性响应要求的(</w:t>
            </w:r>
            <w:r>
              <w:rPr>
                <w:rFonts w:ascii="宋体" w:hAnsi="宋体" w:eastAsia="宋体" w:cs="宋体"/>
                <w:color w:val="auto"/>
                <w:highlight w:val="none"/>
              </w:rPr>
              <w:t>以投标人须知前附表3.5.7中“一、实质性响应招标文件资料”内容为准</w:t>
            </w:r>
            <w:r>
              <w:rPr>
                <w:rFonts w:hint="eastAsia" w:ascii="宋体" w:hAnsi="宋体" w:eastAsia="宋体" w:cs="宋体"/>
                <w:color w:val="000000"/>
                <w:highlight w:val="none"/>
              </w:rPr>
              <w:t>)；</w:t>
            </w:r>
          </w:p>
          <w:p w14:paraId="734BED66">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2.投标文件未按招标文件的要求(以投标人须知前附表第3.7.3项规定为准)签字或盖章的；</w:t>
            </w:r>
          </w:p>
          <w:p w14:paraId="633E1EFB">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lang w:eastAsia="zh-CN"/>
              </w:rPr>
              <w:t>☑</w:t>
            </w:r>
            <w:r>
              <w:rPr>
                <w:rFonts w:hint="eastAsia" w:ascii="宋体" w:hAnsi="宋体" w:eastAsia="宋体" w:cs="宋体"/>
                <w:color w:val="000000"/>
                <w:position w:val="1"/>
                <w:highlight w:val="none"/>
              </w:rPr>
              <w:t>3.委托代理人无有效的</w:t>
            </w:r>
            <w:r>
              <w:rPr>
                <w:rFonts w:hint="eastAsia" w:ascii="宋体" w:hAnsi="宋体" w:eastAsia="宋体" w:cs="宋体"/>
                <w:color w:val="000000"/>
                <w:highlight w:val="none"/>
              </w:rPr>
              <w:t>法定代表人</w:t>
            </w:r>
            <w:r>
              <w:rPr>
                <w:rFonts w:hint="eastAsia" w:ascii="宋体" w:hAnsi="宋体" w:eastAsia="宋体" w:cs="宋体"/>
                <w:color w:val="000000"/>
                <w:position w:val="1"/>
                <w:highlight w:val="none"/>
              </w:rPr>
              <w:t>授权委托书的；</w:t>
            </w:r>
          </w:p>
          <w:p w14:paraId="68025BB5">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4.投标人存在投标人须知第1.4.3项和投标人须知前附表第10.3款第五点规定情形的。</w:t>
            </w:r>
          </w:p>
          <w:p w14:paraId="5DCCDA9C">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5.投标函载明的交货期不响应招标文件要求的；</w:t>
            </w:r>
          </w:p>
          <w:p w14:paraId="7274DBC7">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6.投标人不以自己的名义或未按招标文件要求提供投标保证金，或提供的投标保证金有缺陷而不能接受的；</w:t>
            </w:r>
          </w:p>
          <w:p w14:paraId="1FDFA7C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7.投标报价高于招标文件设定的最高投标限价的；</w:t>
            </w:r>
          </w:p>
          <w:p w14:paraId="0CD02712">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8.改变招标人提供的设备(材料)清单内容的(货物名称、单位、数量)；</w:t>
            </w:r>
          </w:p>
          <w:p w14:paraId="5E0E5E71">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52"/>
            </w:r>
            <w:r>
              <w:rPr>
                <w:rFonts w:hint="eastAsia" w:ascii="宋体" w:hAnsi="宋体" w:eastAsia="宋体" w:cs="宋体"/>
                <w:color w:val="000000"/>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3E8F7FFD">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10.投标人为非中小企业的，投标人未提供《中小企业声明函》或未按照招标文件所附的《中小企业声明函》格式提供的；</w:t>
            </w:r>
          </w:p>
          <w:p w14:paraId="7D256FD0">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11.投标人存在行贿犯罪记录的；</w:t>
            </w:r>
          </w:p>
          <w:p w14:paraId="04CF9829">
            <w:pPr>
              <w:pStyle w:val="57"/>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12.不同投标人的投标文件制作机器码、文件创建标识码一致的；（具体说明：</w:t>
            </w:r>
            <w:r>
              <w:rPr>
                <w:rFonts w:hint="eastAsia" w:ascii="宋体" w:hAnsi="宋体" w:eastAsia="宋体" w:cs="宋体"/>
                <w:strike w:val="0"/>
                <w:dstrike w:val="0"/>
                <w:color w:val="000000"/>
                <w:highlight w:val="none"/>
                <w:u w:val="single"/>
              </w:rPr>
              <w:t xml:space="preserve">      </w:t>
            </w:r>
            <w:r>
              <w:rPr>
                <w:rFonts w:hint="eastAsia" w:eastAsia="宋体" w:cs="宋体"/>
                <w:strike w:val="0"/>
                <w:dstrike w:val="0"/>
                <w:color w:val="000000"/>
                <w:highlight w:val="none"/>
                <w:u w:val="single"/>
                <w:lang w:val="en-US" w:eastAsia="zh-CN"/>
              </w:rPr>
              <w:t>/</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59467270">
            <w:pPr>
              <w:pStyle w:val="57"/>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□13.投标人提供的纸质投标文件水印码与电子投标文件不一致的；</w:t>
            </w:r>
          </w:p>
          <w:p w14:paraId="21FCE161">
            <w:pPr>
              <w:pStyle w:val="57"/>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□14. 经招标人核实，投标人不符合“免缴投标保证金的”的条件，视同为未缴纳投标保证金；</w:t>
            </w:r>
          </w:p>
          <w:p w14:paraId="1C24ECAC">
            <w:pPr>
              <w:pStyle w:val="57"/>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15.存在法律、法规、规章规定的其它无效投标情况的。</w:t>
            </w:r>
          </w:p>
          <w:p w14:paraId="4DAA795C">
            <w:pPr>
              <w:pStyle w:val="57"/>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b/>
                <w:bCs/>
                <w:strike w:val="0"/>
                <w:color w:val="000000"/>
                <w:highlight w:val="none"/>
              </w:rPr>
            </w:pPr>
            <w:r>
              <w:rPr>
                <w:rFonts w:hint="eastAsia" w:eastAsia="宋体" w:cs="宋体"/>
                <w:b/>
                <w:bCs/>
                <w:strike w:val="0"/>
                <w:dstrike w:val="0"/>
                <w:color w:val="000000"/>
                <w:highlight w:val="none"/>
                <w:lang w:val="en-US" w:eastAsia="zh-CN"/>
              </w:rPr>
              <w:t>16</w:t>
            </w:r>
            <w:r>
              <w:rPr>
                <w:rFonts w:hint="eastAsia" w:ascii="宋体" w:hAnsi="宋体" w:eastAsia="宋体" w:cs="宋体"/>
                <w:b/>
                <w:bCs/>
                <w:strike w:val="0"/>
                <w:dstrike w:val="0"/>
                <w:color w:val="000000"/>
                <w:highlight w:val="none"/>
                <w:lang w:val="en-US" w:eastAsia="zh-CN"/>
              </w:rPr>
              <w:t>.</w:t>
            </w:r>
            <w:r>
              <w:rPr>
                <w:rFonts w:hint="eastAsia" w:eastAsia="宋体" w:cs="宋体"/>
                <w:b/>
                <w:bCs/>
                <w:strike w:val="0"/>
                <w:dstrike w:val="0"/>
                <w:color w:val="000000"/>
                <w:highlight w:val="none"/>
                <w:lang w:val="en-US" w:eastAsia="zh-CN"/>
              </w:rPr>
              <w:t>其他：</w:t>
            </w:r>
            <w:r>
              <w:rPr>
                <w:rFonts w:hint="eastAsia" w:ascii="宋体" w:hAnsi="宋体" w:eastAsia="宋体" w:cs="宋体"/>
                <w:b/>
                <w:bCs/>
                <w:strike w:val="0"/>
                <w:dstrike w:val="0"/>
                <w:color w:val="000000"/>
                <w:highlight w:val="none"/>
                <w:u w:val="single"/>
                <w:lang w:val="en-US" w:eastAsia="zh-CN"/>
              </w:rPr>
              <w:t>一个制造单位对同一品牌的电梯，仅能委托一个代理单位参加投标，否则均作废标处理。如制造单位与其代理单位同时参与投标，制造单位投标有效，代理单位作废标处理。</w:t>
            </w:r>
          </w:p>
          <w:p w14:paraId="043EBB5F">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(二)</w:t>
            </w:r>
            <w:r>
              <w:rPr>
                <w:rFonts w:hint="eastAsia" w:ascii="宋体" w:hAnsi="宋体" w:eastAsia="宋体" w:cs="宋体"/>
                <w:strike w:val="0"/>
                <w:sz w:val="21"/>
                <w:szCs w:val="21"/>
                <w:highlight w:val="none"/>
                <w:lang w:eastAsia="zh-CN"/>
              </w:rPr>
              <w:t>技术标</w:t>
            </w:r>
            <w:r>
              <w:rPr>
                <w:rFonts w:hint="eastAsia" w:ascii="宋体" w:hAnsi="宋体" w:eastAsia="宋体" w:cs="宋体"/>
                <w:strike w:val="0"/>
                <w:color w:val="000000"/>
                <w:highlight w:val="none"/>
              </w:rPr>
              <w:t>内容</w:t>
            </w:r>
          </w:p>
          <w:p w14:paraId="49A954F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1.采用的验收标准和方法、主要技术指标达不到国家强制性标准或要求的；</w:t>
            </w:r>
          </w:p>
          <w:p w14:paraId="45FDA2C0">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default" w:ascii="宋体" w:hAnsi="宋体" w:eastAsia="宋体" w:cs="宋体"/>
                <w:strike w:val="0"/>
                <w:dstrike w:val="0"/>
                <w:color w:val="000000"/>
                <w:highlight w:val="none"/>
                <w:u w:val="single"/>
                <w:lang w:val="en-US" w:eastAsia="zh-CN"/>
              </w:rPr>
            </w:pPr>
            <w:r>
              <w:rPr>
                <w:rFonts w:hint="eastAsia" w:ascii="宋体" w:hAnsi="宋体" w:eastAsia="宋体" w:cs="宋体"/>
                <w:strike w:val="0"/>
                <w:dstrike w:val="0"/>
                <w:color w:val="000000"/>
                <w:highlight w:val="none"/>
              </w:rPr>
              <w:t>2.不符合以下技术规格、标准或性能指标的(招标人认为需要增加的，无则删除本条)：</w:t>
            </w:r>
            <w:r>
              <w:rPr>
                <w:rFonts w:hint="eastAsia" w:ascii="宋体" w:hAnsi="宋体" w:eastAsia="宋体" w:cs="宋体"/>
                <w:b/>
                <w:bCs/>
                <w:strike w:val="0"/>
                <w:dstrike w:val="0"/>
                <w:color w:val="000000"/>
                <w:highlight w:val="none"/>
                <w:u w:val="single"/>
                <w:lang w:val="en-US" w:eastAsia="zh-CN"/>
              </w:rPr>
              <w:t>投标设备需符合</w:t>
            </w:r>
            <w:r>
              <w:rPr>
                <w:rFonts w:hint="eastAsia" w:ascii="宋体" w:hAnsi="宋体" w:eastAsia="宋体" w:cs="宋体"/>
                <w:b/>
                <w:bCs/>
                <w:strike w:val="0"/>
                <w:dstrike w:val="0"/>
                <w:color w:val="000000"/>
                <w:highlight w:val="none"/>
                <w:u w:val="single"/>
                <w:lang w:eastAsia="zh-CN"/>
              </w:rPr>
              <w:t>“</w:t>
            </w:r>
            <w:r>
              <w:rPr>
                <w:rFonts w:hint="eastAsia" w:ascii="宋体" w:hAnsi="宋体" w:eastAsia="宋体" w:cs="宋体"/>
                <w:b/>
                <w:bCs/>
                <w:strike w:val="0"/>
                <w:dstrike w:val="0"/>
                <w:color w:val="000000"/>
                <w:highlight w:val="none"/>
                <w:u w:val="single"/>
                <w:lang w:val="en-US" w:eastAsia="zh-CN"/>
              </w:rPr>
              <w:t>第五章 招标内容和技术要求</w:t>
            </w:r>
            <w:r>
              <w:rPr>
                <w:rFonts w:hint="eastAsia" w:ascii="宋体" w:hAnsi="宋体" w:eastAsia="宋体" w:cs="宋体"/>
                <w:b/>
                <w:bCs/>
                <w:strike w:val="0"/>
                <w:dstrike w:val="0"/>
                <w:color w:val="000000"/>
                <w:highlight w:val="none"/>
                <w:u w:val="single"/>
                <w:lang w:eastAsia="zh-CN"/>
              </w:rPr>
              <w:t>”</w:t>
            </w:r>
            <w:r>
              <w:rPr>
                <w:rFonts w:hint="eastAsia" w:ascii="宋体" w:hAnsi="宋体" w:eastAsia="宋体" w:cs="宋体"/>
                <w:b/>
                <w:bCs/>
                <w:strike w:val="0"/>
                <w:dstrike w:val="0"/>
                <w:color w:val="000000"/>
                <w:highlight w:val="none"/>
                <w:u w:val="single"/>
                <w:lang w:val="en-US" w:eastAsia="zh-CN"/>
              </w:rPr>
              <w:t>中的相关最低要求</w:t>
            </w:r>
          </w:p>
          <w:p w14:paraId="7916BB9E">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lang w:val="en-US" w:eastAsia="zh-CN"/>
              </w:rPr>
            </w:pPr>
            <w:r>
              <w:rPr>
                <w:rFonts w:hint="eastAsia" w:ascii="宋体" w:hAnsi="宋体" w:eastAsia="宋体" w:cs="宋体"/>
                <w:strike w:val="0"/>
                <w:dstrike w:val="0"/>
                <w:color w:val="000000"/>
                <w:highlight w:val="none"/>
              </w:rPr>
              <w:t>3.投标文件载明的货物包装方式、检验标准和方法等不符合以下要求的(招标人需要增加的其他内容，无则删除本条)：</w:t>
            </w:r>
            <w:r>
              <w:rPr>
                <w:rFonts w:hint="eastAsia" w:ascii="宋体" w:hAnsi="宋体" w:eastAsia="宋体" w:cs="宋体"/>
                <w:strike w:val="0"/>
                <w:dstrike w:val="0"/>
                <w:color w:val="000000"/>
                <w:highlight w:val="none"/>
                <w:u w:val="single"/>
                <w:lang w:val="en-US" w:eastAsia="zh-CN"/>
              </w:rPr>
              <w:t>/</w:t>
            </w:r>
          </w:p>
          <w:p w14:paraId="7C1B55B3">
            <w:pPr>
              <w:keepNext w:val="0"/>
              <w:keepLines w:val="0"/>
              <w:pageBreakBefore w:val="0"/>
              <w:widowControl/>
              <w:tabs>
                <w:tab w:val="left" w:pos="5680"/>
              </w:tabs>
              <w:kinsoku w:val="0"/>
              <w:wordWrap/>
              <w:overflowPunct/>
              <w:autoSpaceDE w:val="0"/>
              <w:autoSpaceDN w:val="0"/>
              <w:bidi w:val="0"/>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4.存在评标办法规定的否决投标情况的；</w:t>
            </w:r>
          </w:p>
          <w:p w14:paraId="4CB79CD7">
            <w:pPr>
              <w:keepNext w:val="0"/>
              <w:keepLines w:val="0"/>
              <w:pageBreakBefore w:val="0"/>
              <w:widowControl/>
              <w:tabs>
                <w:tab w:val="left" w:pos="5680"/>
              </w:tabs>
              <w:kinsoku w:val="0"/>
              <w:wordWrap/>
              <w:overflowPunct/>
              <w:autoSpaceDE w:val="0"/>
              <w:autoSpaceDN w:val="0"/>
              <w:bidi w:val="0"/>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dstrike w:val="0"/>
                <w:color w:val="auto"/>
                <w:highlight w:val="none"/>
              </w:rPr>
              <w:t>5</w:t>
            </w:r>
            <w:r>
              <w:rPr>
                <w:rFonts w:ascii="宋体" w:hAnsi="宋体" w:eastAsia="宋体" w:cs="宋体"/>
                <w:strike w:val="0"/>
                <w:dstrike w:val="0"/>
                <w:color w:val="auto"/>
                <w:highlight w:val="none"/>
              </w:rPr>
              <w:t>.(招标人需要增加的符合法律法规规定的其他内容，无则删除本条)。</w:t>
            </w:r>
          </w:p>
          <w:p w14:paraId="7DF88313">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(三)商务标内容</w:t>
            </w:r>
          </w:p>
          <w:p w14:paraId="41D19488">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1.同一投标人提交两个以上不同的投标文件或者投标报价的(招标文件要求提交备选投标的除外)；</w:t>
            </w:r>
          </w:p>
          <w:p w14:paraId="61CD4E9A">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2.报价评审时，投标人拒绝按以下条款修正的：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07B6888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3.投标函载明的投标报价或其它关键内容不全或有瑕疵的；</w:t>
            </w:r>
          </w:p>
          <w:p w14:paraId="5F5346DA">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4.未按以下要求进行报价的(招标人认为需要增加的，无则删除本条)：</w:t>
            </w:r>
          </w:p>
          <w:p w14:paraId="69003A9C">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strike w:val="0"/>
                <w:dstrike w:val="0"/>
                <w:color w:val="000000"/>
                <w:highlight w:val="none"/>
              </w:rPr>
              <w:t>5.(招标人需要增加的其他商务标内容，无则删除本条)。</w:t>
            </w:r>
          </w:p>
        </w:tc>
      </w:tr>
      <w:tr w14:paraId="6E6CD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C0DFB4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10.2</w:t>
            </w:r>
          </w:p>
        </w:tc>
        <w:tc>
          <w:tcPr>
            <w:tcW w:w="1859" w:type="dxa"/>
            <w:noWrap w:val="0"/>
            <w:vAlign w:val="center"/>
          </w:tcPr>
          <w:p w14:paraId="660A58C9">
            <w:pPr>
              <w:keepNext w:val="0"/>
              <w:keepLines w:val="0"/>
              <w:pageBreakBefore w:val="0"/>
              <w:wordWrap w:val="0"/>
              <w:overflowPunct/>
              <w:topLinePunct/>
              <w:bidi w:val="0"/>
              <w:adjustRightInd/>
              <w:snapToGrid/>
              <w:spacing w:line="400" w:lineRule="exact"/>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定标（适用于“评定分离”）</w:t>
            </w:r>
          </w:p>
        </w:tc>
        <w:tc>
          <w:tcPr>
            <w:tcW w:w="6363" w:type="dxa"/>
            <w:noWrap w:val="0"/>
            <w:vAlign w:val="center"/>
          </w:tcPr>
          <w:p w14:paraId="3E0725D4">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1.定标委员会：定标委员会由招标人负责组建，成员数量为5人及以上单数。定标委员会成员与中标候选人有利害关系的应主动说明并申请回避。</w:t>
            </w:r>
          </w:p>
          <w:p w14:paraId="03D9C18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2.定标会议地点和时间：</w:t>
            </w:r>
          </w:p>
          <w:p w14:paraId="05A90DF6">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2.1定标时间：</w:t>
            </w:r>
            <w:r>
              <w:rPr>
                <w:rFonts w:hint="eastAsia" w:ascii="宋体" w:hAnsi="宋体" w:eastAsia="宋体" w:cs="宋体"/>
                <w:strike w:val="0"/>
                <w:dstrike w:val="0"/>
                <w:color w:val="000000"/>
                <w:highlight w:val="none"/>
                <w:u w:val="single"/>
                <w:lang w:val="en-US" w:eastAsia="zh-CN"/>
              </w:rPr>
              <w:t xml:space="preserve">                          </w:t>
            </w:r>
            <w:r>
              <w:rPr>
                <w:rFonts w:hint="eastAsia" w:ascii="宋体" w:hAnsi="宋体" w:eastAsia="宋体" w:cs="宋体"/>
                <w:strike w:val="0"/>
                <w:dstrike w:val="0"/>
                <w:color w:val="000000"/>
                <w:highlight w:val="none"/>
              </w:rPr>
              <w:t>。</w:t>
            </w:r>
          </w:p>
          <w:p w14:paraId="67B336E8">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2.2定标地点：</w:t>
            </w:r>
            <w:r>
              <w:rPr>
                <w:rFonts w:hint="eastAsia" w:ascii="宋体" w:hAnsi="宋体" w:eastAsia="宋体" w:cs="宋体"/>
                <w:strike w:val="0"/>
                <w:dstrike w:val="0"/>
                <w:color w:val="000000"/>
                <w:highlight w:val="none"/>
                <w:u w:val="single"/>
                <w:lang w:val="en-US" w:eastAsia="zh-CN"/>
              </w:rPr>
              <w:t xml:space="preserve">                          </w:t>
            </w:r>
            <w:r>
              <w:rPr>
                <w:rFonts w:hint="eastAsia" w:ascii="宋体" w:hAnsi="宋体" w:eastAsia="宋体" w:cs="宋体"/>
                <w:strike w:val="0"/>
                <w:dstrike w:val="0"/>
                <w:color w:val="000000"/>
                <w:highlight w:val="none"/>
              </w:rPr>
              <w:t>。</w:t>
            </w:r>
          </w:p>
          <w:p w14:paraId="6E0AB1BA">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2.3招标人根据相关规定在评标结果公示结束后10日内召开定标会议。</w:t>
            </w:r>
          </w:p>
          <w:p w14:paraId="7A307F91">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3.考察、质询</w:t>
            </w:r>
          </w:p>
          <w:p w14:paraId="07ECBC18">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3.1在定标会议前（考察、质询应给予中标候选人合理的准备时间。）对所有中标候选人进行考察、质询。</w:t>
            </w:r>
          </w:p>
          <w:p w14:paraId="256E6433">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3.2考察、质询小组由</w:t>
            </w:r>
            <w:r>
              <w:rPr>
                <w:rFonts w:hint="eastAsia" w:ascii="宋体" w:hAnsi="宋体" w:eastAsia="宋体" w:cs="宋体"/>
                <w:i/>
                <w:iCs/>
                <w:strike w:val="0"/>
                <w:dstrike w:val="0"/>
                <w:color w:val="000000"/>
                <w:highlight w:val="none"/>
                <w:u w:val="single"/>
              </w:rPr>
              <w:t>（3人及以上单数）</w:t>
            </w:r>
            <w:r>
              <w:rPr>
                <w:rFonts w:hint="eastAsia" w:ascii="宋体" w:hAnsi="宋体" w:eastAsia="宋体" w:cs="宋体"/>
                <w:strike w:val="0"/>
                <w:dstrike w:val="0"/>
                <w:color w:val="000000"/>
                <w:highlight w:val="none"/>
              </w:rPr>
              <w:t>组成。</w:t>
            </w:r>
          </w:p>
          <w:p w14:paraId="63CDCFEA">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4.现场面试</w:t>
            </w:r>
          </w:p>
          <w:p w14:paraId="673F8BF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4.1面试时间：                               ；</w:t>
            </w:r>
          </w:p>
          <w:p w14:paraId="6DB0461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4.2面试内容：                               ；</w:t>
            </w:r>
          </w:p>
          <w:p w14:paraId="4DD3D96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4.3面试方式：</w:t>
            </w:r>
          </w:p>
          <w:p w14:paraId="5E9CA51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602F75BA">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4.3.2其他方式：</w:t>
            </w:r>
            <w:r>
              <w:rPr>
                <w:rFonts w:hint="eastAsia" w:ascii="宋体" w:hAnsi="宋体" w:eastAsia="宋体" w:cs="宋体"/>
                <w:strike w:val="0"/>
                <w:dstrike w:val="0"/>
                <w:color w:val="000000"/>
                <w:highlight w:val="none"/>
                <w:u w:val="single"/>
                <w:lang w:val="en-US" w:eastAsia="zh-CN"/>
              </w:rPr>
              <w:t>/</w:t>
            </w:r>
            <w:r>
              <w:rPr>
                <w:rFonts w:hint="eastAsia" w:ascii="宋体" w:hAnsi="宋体" w:eastAsia="宋体" w:cs="宋体"/>
                <w:strike w:val="0"/>
                <w:dstrike w:val="0"/>
                <w:color w:val="000000"/>
                <w:highlight w:val="none"/>
              </w:rPr>
              <w:t>。</w:t>
            </w:r>
          </w:p>
          <w:p w14:paraId="02768F60">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5.定标要素及具体内容</w:t>
            </w:r>
          </w:p>
          <w:p w14:paraId="18C91C32">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 xml:space="preserve">5.1评标报告； </w:t>
            </w:r>
          </w:p>
          <w:p w14:paraId="6A57A417">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5.2考察或质询情况；</w:t>
            </w:r>
          </w:p>
          <w:p w14:paraId="5682A47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5.3现场面试情况；</w:t>
            </w:r>
          </w:p>
          <w:p w14:paraId="5124FB5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 xml:space="preserve">5.4价格因素； </w:t>
            </w:r>
          </w:p>
          <w:p w14:paraId="133FCA75">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5.5企业实力；</w:t>
            </w:r>
          </w:p>
          <w:p w14:paraId="3E23C277">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 xml:space="preserve">5.6企业信誉； </w:t>
            </w:r>
          </w:p>
          <w:p w14:paraId="7C611A3B">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 xml:space="preserve">5.7投标方案； </w:t>
            </w:r>
          </w:p>
          <w:p w14:paraId="45CBE266">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 xml:space="preserve">5.8拟派团队能力与水平； </w:t>
            </w:r>
          </w:p>
          <w:p w14:paraId="104E2E17">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5.9联合体投标的，联合体组成情况；</w:t>
            </w:r>
          </w:p>
          <w:p w14:paraId="74BA2B05">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5.10招标人认为需要考量的其他因素。</w:t>
            </w:r>
          </w:p>
          <w:p w14:paraId="00461D93">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6.定标方式</w:t>
            </w:r>
          </w:p>
          <w:p w14:paraId="36BA13F7">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656A120">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6.1票决法：由定标委员会以直接票决或者逐轮票决的方式确定中标人。直接票决法：定标委员会在进入投票范围的中标候选人中，以每人投票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报价低者（报价相同时抽签抽取1个中标候选人））作为二次投票的范围，直至出现得票过半数的中标候选人为止。</w:t>
            </w:r>
          </w:p>
          <w:p w14:paraId="116DEB59">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676AC51F">
            <w:pPr>
              <w:pStyle w:val="58"/>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6.3其他定标办法：</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u w:val="single"/>
                <w:lang w:val="en-US" w:eastAsia="zh-CN"/>
              </w:rPr>
              <w:t>/</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246F2B94">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7.中标人公告媒介及期限</w:t>
            </w:r>
          </w:p>
          <w:p w14:paraId="18BAAA0F">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招标人应当将中标结果情况在投标须知前附表规定的媒介上公告不少于3日。</w:t>
            </w:r>
          </w:p>
          <w:p w14:paraId="6849D788">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7.1定标后有下列情形之一的，招标人可以组织原定标委员会从其他中标候选人中按原定标方法确定中标人：</w:t>
            </w:r>
          </w:p>
          <w:p w14:paraId="3BF26DC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（1）中标人放弃中标资格或者拒不签订合同的； </w:t>
            </w:r>
          </w:p>
          <w:p w14:paraId="7ABA19FC">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（2）中标人被查实存在违法行为影响中标结果的； </w:t>
            </w:r>
          </w:p>
          <w:p w14:paraId="267FD109">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（3）投标须知前附表规定的其他情形。 </w:t>
            </w:r>
          </w:p>
          <w:p w14:paraId="5E41DE6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7.2定标后有下列情形之一的，应重新定标： </w:t>
            </w:r>
          </w:p>
          <w:p w14:paraId="5CBD2B6C">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（1）查实定标委员会未按定标办法公正履职的； </w:t>
            </w:r>
          </w:p>
          <w:p w14:paraId="2793EABB">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（2）有定标委员会成员与中标候选人有利害关系且未申请回避的； </w:t>
            </w:r>
          </w:p>
          <w:p w14:paraId="5A1A53D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（3）投标须知前附表规定的其他情形。</w:t>
            </w:r>
          </w:p>
        </w:tc>
      </w:tr>
      <w:tr w14:paraId="4F5F9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316D197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10.3</w:t>
            </w:r>
          </w:p>
        </w:tc>
        <w:tc>
          <w:tcPr>
            <w:tcW w:w="1859" w:type="dxa"/>
            <w:noWrap w:val="0"/>
            <w:vAlign w:val="center"/>
          </w:tcPr>
          <w:p w14:paraId="2B369B00">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特别说明</w:t>
            </w:r>
          </w:p>
        </w:tc>
        <w:tc>
          <w:tcPr>
            <w:tcW w:w="6363" w:type="dxa"/>
            <w:noWrap w:val="0"/>
            <w:vAlign w:val="top"/>
          </w:tcPr>
          <w:p w14:paraId="5D260470">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一、本招标文件斜体字部分是根据本次招标内容的具体情况进行的相应填写。</w:t>
            </w:r>
          </w:p>
          <w:p w14:paraId="4044B0C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二、投标人须知具体内容如与本前附表不一致的，以本前附表为准。</w:t>
            </w:r>
          </w:p>
          <w:p w14:paraId="577EC5CA">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三、投标人投标函与投标报价表不一致的，以投标人投标函为准。</w:t>
            </w:r>
          </w:p>
          <w:p w14:paraId="58ED4579">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四、除招标文件另有规定外，投标函的投标报价与清单汇总报价不一致时，以投标函报价为准。</w:t>
            </w:r>
          </w:p>
          <w:p w14:paraId="730968A4">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4157524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1.不同投标人的投标文件由同一单位或者个人编制；</w:t>
            </w:r>
          </w:p>
          <w:p w14:paraId="7FF8A5B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2.不同投标人委托同一单位或者个人办理投标事宜；</w:t>
            </w:r>
          </w:p>
          <w:p w14:paraId="02CB56A4">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3.不同投标人的投标文件载明的项目管理成员为同一人；</w:t>
            </w:r>
          </w:p>
          <w:p w14:paraId="7A7BB00C">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4.不同投标人的投标文件异常一致或者投标报价呈规律性差异；</w:t>
            </w:r>
          </w:p>
          <w:p w14:paraId="24C6565E">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5.不同投标人的投标文件相互混装；</w:t>
            </w:r>
          </w:p>
          <w:p w14:paraId="7D0EB47C">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6.不同投标人的投标保证金从同一单位或者个人的账户转出或者通过同一单位或者个人的账户购买电子保函；</w:t>
            </w:r>
          </w:p>
          <w:p w14:paraId="10C563F1">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7.投标人之间协商投标报价等投标文件的实质性内容；</w:t>
            </w:r>
          </w:p>
          <w:p w14:paraId="0C9C4AD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8.投标人之间约定中标人；</w:t>
            </w:r>
          </w:p>
          <w:p w14:paraId="70F86EB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9.投标人之间约定部分投标人放弃投标或者中标；</w:t>
            </w:r>
          </w:p>
          <w:p w14:paraId="485EA0F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10.属于同一集团、协会、商会等组织成员的投标人按照该组织要求协同投标；</w:t>
            </w:r>
          </w:p>
          <w:p w14:paraId="1B54F0BB">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11.投标人之间为谋取中标或者排斥特定投标人而采取的其他联合行动。</w:t>
            </w:r>
          </w:p>
          <w:p w14:paraId="6EDE9029">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12.本招标文件由招标人负责解释。</w:t>
            </w:r>
          </w:p>
        </w:tc>
      </w:tr>
      <w:tr w14:paraId="327E4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49CC5FA">
            <w:pPr>
              <w:keepNext w:val="0"/>
              <w:keepLines w:val="0"/>
              <w:pageBreakBefore w:val="0"/>
              <w:overflowPunct/>
              <w:bidi w:val="0"/>
              <w:adjustRightInd/>
              <w:snapToGrid/>
              <w:spacing w:line="312" w:lineRule="auto"/>
              <w:ind w:left="105" w:leftChars="50" w:right="105" w:rightChars="50"/>
              <w:jc w:val="both"/>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10.4</w:t>
            </w:r>
          </w:p>
        </w:tc>
        <w:tc>
          <w:tcPr>
            <w:tcW w:w="1859" w:type="dxa"/>
            <w:noWrap w:val="0"/>
            <w:vAlign w:val="center"/>
          </w:tcPr>
          <w:p w14:paraId="666D7CA5">
            <w:pPr>
              <w:keepNext w:val="0"/>
              <w:keepLines w:val="0"/>
              <w:pageBreakBefore w:val="0"/>
              <w:overflowPunct/>
              <w:bidi w:val="0"/>
              <w:adjustRightInd/>
              <w:snapToGrid/>
              <w:jc w:val="center"/>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其他</w:t>
            </w:r>
          </w:p>
        </w:tc>
        <w:tc>
          <w:tcPr>
            <w:tcW w:w="6363" w:type="dxa"/>
            <w:noWrap w:val="0"/>
            <w:vAlign w:val="top"/>
          </w:tcPr>
          <w:p w14:paraId="26A8F6ED">
            <w:pPr>
              <w:keepNext w:val="0"/>
              <w:keepLines w:val="0"/>
              <w:pageBreakBefore w:val="0"/>
              <w:tabs>
                <w:tab w:val="left" w:pos="5680"/>
              </w:tabs>
              <w:overflowPunct/>
              <w:bidi w:val="0"/>
              <w:adjustRightInd/>
              <w:snapToGrid/>
              <w:rPr>
                <w:rFonts w:hint="default"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温馨提醒：请各投标单位仔细阅读招标文件，严格按照招标文件要求提供相关资料并按规定进行编制。</w:t>
            </w:r>
          </w:p>
        </w:tc>
      </w:tr>
      <w:tr w14:paraId="743FD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14:paraId="417EB6D7">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859" w:type="dxa"/>
            <w:noWrap w:val="0"/>
            <w:vAlign w:val="top"/>
          </w:tcPr>
          <w:p w14:paraId="75CB482D">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6363" w:type="dxa"/>
            <w:noWrap w:val="0"/>
            <w:vAlign w:val="top"/>
          </w:tcPr>
          <w:p w14:paraId="2C994A0A">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r>
    </w:tbl>
    <w:p w14:paraId="665DE75C">
      <w:pPr>
        <w:jc w:val="both"/>
        <w:rPr>
          <w:color w:val="000000"/>
          <w:highlight w:val="none"/>
        </w:rPr>
        <w:sectPr>
          <w:footerReference r:id="rId6" w:type="default"/>
          <w:pgSz w:w="11906" w:h="16839"/>
          <w:pgMar w:top="1418" w:right="1559" w:bottom="1418" w:left="1474" w:header="0" w:footer="1035" w:gutter="0"/>
          <w:pgNumType w:fmt="decimal"/>
          <w:cols w:space="720" w:num="1"/>
        </w:sectPr>
      </w:pPr>
    </w:p>
    <w:p w14:paraId="125FA46A">
      <w:pPr>
        <w:spacing w:before="91" w:line="221" w:lineRule="auto"/>
        <w:jc w:val="center"/>
        <w:rPr>
          <w:rFonts w:ascii="宋体" w:hAnsi="宋体" w:eastAsia="宋体" w:cs="宋体"/>
          <w:color w:val="000000"/>
          <w:sz w:val="28"/>
          <w:szCs w:val="28"/>
          <w:highlight w:val="none"/>
        </w:rPr>
      </w:pPr>
      <w:bookmarkStart w:id="5" w:name="_bookmark4"/>
      <w:bookmarkEnd w:id="5"/>
      <w:r>
        <w:rPr>
          <w:rFonts w:ascii="宋体" w:hAnsi="宋体" w:eastAsia="宋体" w:cs="宋体"/>
          <w:color w:val="000000"/>
          <w:sz w:val="28"/>
          <w:szCs w:val="28"/>
          <w:highlight w:val="none"/>
        </w:rPr>
        <w:t>第二节投标人须知</w:t>
      </w:r>
    </w:p>
    <w:p w14:paraId="4A0569AE">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1.</w:t>
      </w:r>
      <w:r>
        <w:rPr>
          <w:rFonts w:ascii="宋体" w:hAnsi="宋体" w:eastAsia="宋体" w:cs="宋体"/>
          <w:color w:val="000000"/>
          <w:sz w:val="24"/>
          <w:szCs w:val="24"/>
          <w:highlight w:val="none"/>
        </w:rPr>
        <w:t>总则</w:t>
      </w:r>
    </w:p>
    <w:p w14:paraId="415BA608">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w:t>
      </w:r>
      <w:r>
        <w:rPr>
          <w:rFonts w:ascii="宋体" w:hAnsi="宋体" w:eastAsia="宋体" w:cs="宋体"/>
          <w:color w:val="000000"/>
          <w:sz w:val="24"/>
          <w:szCs w:val="24"/>
          <w:highlight w:val="none"/>
        </w:rPr>
        <w:t>项目概况</w:t>
      </w:r>
    </w:p>
    <w:p w14:paraId="495E401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5C65BE9D">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1.1.2本招标项目招标人：见投标人须知前附表。</w:t>
      </w:r>
    </w:p>
    <w:p w14:paraId="718B6B7E">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1.1.3本招标项目招标代理机构：见投标人须知前附表。</w:t>
      </w:r>
    </w:p>
    <w:p w14:paraId="5A2745C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1.1.4本招标项目名称：见投标人须知前附表。</w:t>
      </w:r>
    </w:p>
    <w:p w14:paraId="5FFD335A">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1.1.5本招标项目建设地点：见投标人须知前附表。</w:t>
      </w:r>
    </w:p>
    <w:p w14:paraId="14696A6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1.2</w:t>
      </w:r>
      <w:r>
        <w:rPr>
          <w:rFonts w:ascii="宋体" w:hAnsi="宋体" w:eastAsia="宋体" w:cs="宋体"/>
          <w:color w:val="000000"/>
          <w:sz w:val="24"/>
          <w:szCs w:val="24"/>
          <w:highlight w:val="none"/>
        </w:rPr>
        <w:t>资金来源和落实情况</w:t>
      </w:r>
    </w:p>
    <w:p w14:paraId="5C1B5B1E">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1.2.1本招标项目的资金来源及出资比例：见投标人须知前附表。</w:t>
      </w:r>
    </w:p>
    <w:p w14:paraId="5215F5C6">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1.2.2本招标项目的资金落实情况：见投标人须知前附表。</w:t>
      </w:r>
    </w:p>
    <w:p w14:paraId="6C5B607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1.3</w:t>
      </w:r>
      <w:r>
        <w:rPr>
          <w:rFonts w:ascii="宋体" w:hAnsi="宋体" w:eastAsia="宋体" w:cs="宋体"/>
          <w:color w:val="000000"/>
          <w:sz w:val="24"/>
          <w:szCs w:val="24"/>
          <w:highlight w:val="none"/>
        </w:rPr>
        <w:t>招标范围及计划服务期</w:t>
      </w:r>
    </w:p>
    <w:p w14:paraId="749C5423">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1.3.1本次招标范围：见投标人须知前附表。</w:t>
      </w:r>
    </w:p>
    <w:p w14:paraId="3D33CDFF">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1.3.2本招标项目交货期：见投标人须知前附表。</w:t>
      </w:r>
    </w:p>
    <w:p w14:paraId="6AA9FE15">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1.3.3本招标项目质量保质期：见投标人须知前附表。</w:t>
      </w:r>
    </w:p>
    <w:p w14:paraId="2C8F368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1.4</w:t>
      </w:r>
      <w:r>
        <w:rPr>
          <w:rFonts w:ascii="宋体" w:hAnsi="宋体" w:eastAsia="宋体" w:cs="宋体"/>
          <w:color w:val="000000"/>
          <w:sz w:val="24"/>
          <w:szCs w:val="24"/>
          <w:highlight w:val="none"/>
        </w:rPr>
        <w:t>投标人资格要求</w:t>
      </w:r>
    </w:p>
    <w:p w14:paraId="286C53C4">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1.4.1投标人应具备承担本标段服务的资格条件、要求。</w:t>
      </w:r>
    </w:p>
    <w:p w14:paraId="27F81339">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(1)资质条件：见投标人须知前附表；</w:t>
      </w:r>
    </w:p>
    <w:p w14:paraId="4EE3A21C">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(2)业绩要求：见投标人须知前附表；</w:t>
      </w:r>
    </w:p>
    <w:p w14:paraId="66A58BD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(3)信誉要求：见投标人须知前附表；</w:t>
      </w:r>
    </w:p>
    <w:p w14:paraId="1B7DFB37">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(4)其他要求：见投标人须知前附表。</w:t>
      </w:r>
    </w:p>
    <w:p w14:paraId="1615D7FC">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1.4.2投标人须知前附表规定接受联合体投标的，除应符合本章第1.4.1项和投标人须知前附表的要求外，还应遵守以下规定：</w:t>
      </w:r>
    </w:p>
    <w:p w14:paraId="2D965321">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(1)联合体各方应按招标文件提供的格式签订联合体协议书，明确联合体牵头人和各方权利义务；</w:t>
      </w:r>
    </w:p>
    <w:p w14:paraId="079284A8">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(2)由同一专业的单位组成的联合体，按照资质等级较低的单位确定资质等级；</w:t>
      </w:r>
    </w:p>
    <w:p w14:paraId="73792A4F">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(3)联合体各方不得再以自己名义单独或参加其他联合体在同一标段中投标。</w:t>
      </w:r>
    </w:p>
    <w:p w14:paraId="46C130EA">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1.4.3投标人(投标人是联合体的，指联合体各方)不得存在下列情形之一：</w:t>
      </w:r>
    </w:p>
    <w:p w14:paraId="3C2EAC16">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(1)为招标人不具有独立法人资格的附属机构(单位)；</w:t>
      </w:r>
    </w:p>
    <w:p w14:paraId="275AD8D5">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(2)为本标段的代建人；</w:t>
      </w:r>
    </w:p>
    <w:p w14:paraId="416E528E">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(3)为本标段提供招标代理服务的；</w:t>
      </w:r>
    </w:p>
    <w:p w14:paraId="15A8B379">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(4)单位负责人为同一人或者存在控股、管理关系的不同单位，同时参加本标段投标的；</w:t>
      </w:r>
    </w:p>
    <w:p w14:paraId="6FC1C750">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(5)投标人及其法定代表人控股的其他公司，同时参加本标段投标的；</w:t>
      </w:r>
    </w:p>
    <w:p w14:paraId="1A8B4132">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(6)与招标人存在利害关系可能影响招标公正性的法人、其他组织或者个人参加投标的；</w:t>
      </w:r>
    </w:p>
    <w:p w14:paraId="556A0FB4">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(7)被责令停业的；</w:t>
      </w:r>
    </w:p>
    <w:p w14:paraId="2D9C26AD">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(8)被暂停或取消投标资格的；</w:t>
      </w:r>
    </w:p>
    <w:p w14:paraId="5D790727">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(9)财产被接管或冻结的。</w:t>
      </w:r>
    </w:p>
    <w:p w14:paraId="1B26656E">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1.5</w:t>
      </w:r>
      <w:r>
        <w:rPr>
          <w:rFonts w:ascii="宋体" w:hAnsi="宋体" w:eastAsia="宋体" w:cs="宋体"/>
          <w:color w:val="000000"/>
          <w:sz w:val="24"/>
          <w:szCs w:val="24"/>
          <w:highlight w:val="none"/>
        </w:rPr>
        <w:t>费用承担</w:t>
      </w:r>
    </w:p>
    <w:p w14:paraId="7FE45883">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投标人准备和参加投标活动发生的费用自理。</w:t>
      </w:r>
    </w:p>
    <w:p w14:paraId="302B0955">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1.6</w:t>
      </w:r>
      <w:r>
        <w:rPr>
          <w:rFonts w:ascii="宋体" w:hAnsi="宋体" w:eastAsia="宋体" w:cs="宋体"/>
          <w:color w:val="000000"/>
          <w:sz w:val="24"/>
          <w:szCs w:val="24"/>
          <w:highlight w:val="none"/>
        </w:rPr>
        <w:t>保密</w:t>
      </w:r>
    </w:p>
    <w:p w14:paraId="0759ACCA">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参与招标投标活动的各方应对招标文件和投标文件中的商业和技术等秘密保密，违者应对由此造成的后果承担法律责任。</w:t>
      </w:r>
    </w:p>
    <w:p w14:paraId="73DA56E8">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1.7</w:t>
      </w:r>
      <w:r>
        <w:rPr>
          <w:rFonts w:ascii="宋体" w:hAnsi="宋体" w:eastAsia="宋体" w:cs="宋体"/>
          <w:color w:val="000000"/>
          <w:sz w:val="24"/>
          <w:szCs w:val="24"/>
          <w:highlight w:val="none"/>
        </w:rPr>
        <w:t>语言文字</w:t>
      </w:r>
    </w:p>
    <w:p w14:paraId="4C7D71D0">
      <w:pPr>
        <w:spacing w:line="420" w:lineRule="exact"/>
        <w:ind w:firstLine="492"/>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除专用术语外，与招标投标有关的语言均使用中文。必要时专用术语应附有中文注释</w:t>
      </w:r>
      <w:r>
        <w:rPr>
          <w:rFonts w:ascii="宋体" w:hAnsi="宋体" w:eastAsia="宋体" w:cs="宋体"/>
          <w:color w:val="000000"/>
          <w:sz w:val="24"/>
          <w:szCs w:val="24"/>
          <w:highlight w:val="none"/>
        </w:rPr>
        <w:t>。</w:t>
      </w:r>
    </w:p>
    <w:p w14:paraId="1380A0E6">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1.8</w:t>
      </w:r>
      <w:r>
        <w:rPr>
          <w:rFonts w:ascii="宋体" w:hAnsi="宋体" w:eastAsia="宋体" w:cs="宋体"/>
          <w:color w:val="000000"/>
          <w:sz w:val="24"/>
          <w:szCs w:val="24"/>
          <w:highlight w:val="none"/>
        </w:rPr>
        <w:t>计量单位</w:t>
      </w:r>
    </w:p>
    <w:p w14:paraId="571D54EA">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所有计量均采用中华人民共和国法定计量单位。</w:t>
      </w:r>
    </w:p>
    <w:p w14:paraId="6F7AE042">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1.9</w:t>
      </w:r>
      <w:r>
        <w:rPr>
          <w:rFonts w:ascii="宋体" w:hAnsi="宋体" w:eastAsia="宋体" w:cs="宋体"/>
          <w:color w:val="000000"/>
          <w:sz w:val="24"/>
          <w:szCs w:val="24"/>
          <w:highlight w:val="none"/>
        </w:rPr>
        <w:t>踏勘现场</w:t>
      </w:r>
    </w:p>
    <w:p w14:paraId="3AEC6FCF">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1.9.1投标人须知前附表规定组织踏勘现场的，招标人按投标人须知前附表规定的时间、地点组织投标人踏勘项目现场。</w:t>
      </w:r>
    </w:p>
    <w:p w14:paraId="2BECF43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1.9.2投标人踏勘现场发生的费用自理。</w:t>
      </w:r>
    </w:p>
    <w:p w14:paraId="142F063F">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1.9.3除招标人的原因外，投标人自行负责在踏勘现场中所发生的人员伤亡和财产损失。</w:t>
      </w:r>
    </w:p>
    <w:p w14:paraId="08D126B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1.9.4招标人在踏勘现场中介绍的工程场地和相关的周边环境情况，供投标人在编制投标文件时参考，招标人不对投标人据此作出的判断和决策负责。</w:t>
      </w:r>
    </w:p>
    <w:p w14:paraId="01A28CD1">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1.9.5招标人提供的本工程的相关参考资料，并不构成合同文件的组成部分，</w:t>
      </w:r>
    </w:p>
    <w:p w14:paraId="6DBBCC8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投标人应对上述资料的解释、推论和应用负责，招标人不对投标人据此作出的判断和决策承担任何责任。</w:t>
      </w:r>
    </w:p>
    <w:p w14:paraId="392393D4">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1.10</w:t>
      </w:r>
      <w:r>
        <w:rPr>
          <w:rFonts w:ascii="宋体" w:hAnsi="宋体" w:eastAsia="宋体" w:cs="宋体"/>
          <w:color w:val="000000"/>
          <w:sz w:val="24"/>
          <w:szCs w:val="24"/>
          <w:highlight w:val="none"/>
        </w:rPr>
        <w:t>投标预备会</w:t>
      </w:r>
    </w:p>
    <w:p w14:paraId="0CF2BDA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1.10.1投标人须知前附表规定召开投标预备会的，招标人按投标人须知前附表规定的时间和地点召开投标预备会，澄清投标人提出的问题。</w:t>
      </w:r>
    </w:p>
    <w:p w14:paraId="3EEA5AC2">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1.10.2投标人提出问题的截止时间、上传疑问方式：见投标人须知前附表。</w:t>
      </w:r>
    </w:p>
    <w:p w14:paraId="3CEEBF2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1.10.3招标文件的澄清、补充、修改的时间及下载网址：见投标人须知前附表。</w:t>
      </w:r>
    </w:p>
    <w:p w14:paraId="4E1822E4">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1.11</w:t>
      </w:r>
      <w:r>
        <w:rPr>
          <w:rFonts w:ascii="宋体" w:hAnsi="宋体" w:eastAsia="宋体" w:cs="宋体"/>
          <w:color w:val="000000"/>
          <w:sz w:val="24"/>
          <w:szCs w:val="24"/>
          <w:highlight w:val="none"/>
        </w:rPr>
        <w:t>分包</w:t>
      </w:r>
    </w:p>
    <w:p w14:paraId="122672EA">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本招标项目不允许分包。</w:t>
      </w:r>
    </w:p>
    <w:p w14:paraId="2AE52F1A">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1.12</w:t>
      </w:r>
      <w:r>
        <w:rPr>
          <w:rFonts w:ascii="宋体" w:hAnsi="宋体" w:eastAsia="宋体" w:cs="宋体"/>
          <w:color w:val="000000"/>
          <w:sz w:val="24"/>
          <w:szCs w:val="24"/>
          <w:highlight w:val="none"/>
        </w:rPr>
        <w:t>偏离</w:t>
      </w:r>
    </w:p>
    <w:p w14:paraId="6E310F3D">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投标人须知前附表允许投标文件偏离招标文件某些要求的，偏离应当符合招标文件规定的偏离范围和幅度。</w:t>
      </w:r>
    </w:p>
    <w:p w14:paraId="2F3504EA">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2.</w:t>
      </w:r>
      <w:r>
        <w:rPr>
          <w:rFonts w:ascii="宋体" w:hAnsi="宋体" w:eastAsia="宋体" w:cs="宋体"/>
          <w:color w:val="000000"/>
          <w:sz w:val="24"/>
          <w:szCs w:val="24"/>
          <w:highlight w:val="none"/>
        </w:rPr>
        <w:t>招标文件</w:t>
      </w:r>
    </w:p>
    <w:p w14:paraId="2BBDB0D2">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2.1</w:t>
      </w:r>
      <w:r>
        <w:rPr>
          <w:rFonts w:ascii="宋体" w:hAnsi="宋体" w:eastAsia="宋体" w:cs="宋体"/>
          <w:color w:val="000000"/>
          <w:sz w:val="24"/>
          <w:szCs w:val="24"/>
          <w:highlight w:val="none"/>
        </w:rPr>
        <w:t>招标文件的组成</w:t>
      </w:r>
    </w:p>
    <w:p w14:paraId="7FC7951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本招标文件包括：</w:t>
      </w:r>
    </w:p>
    <w:p w14:paraId="53D51124">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(1)招标公告；</w:t>
      </w:r>
    </w:p>
    <w:p w14:paraId="753182A2">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(2)投标人须知；</w:t>
      </w:r>
    </w:p>
    <w:p w14:paraId="3B3E41B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(3)评标定标办法；</w:t>
      </w:r>
    </w:p>
    <w:p w14:paraId="2D904B0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(4)合同条款及格式；</w:t>
      </w:r>
    </w:p>
    <w:p w14:paraId="3573146E">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(5)招标内容和技术要求；</w:t>
      </w:r>
    </w:p>
    <w:p w14:paraId="6143690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(6)投标文件格式；</w:t>
      </w:r>
    </w:p>
    <w:p w14:paraId="155E2B18">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(7)投标人须知前附表规定的其他材料。</w:t>
      </w:r>
    </w:p>
    <w:p w14:paraId="750C13B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6E67857C">
      <w:pPr>
        <w:spacing w:line="420" w:lineRule="exact"/>
        <w:jc w:val="both"/>
        <w:outlineLvl w:val="3"/>
        <w:rPr>
          <w:rFonts w:ascii="宋体" w:hAnsi="宋体" w:eastAsia="宋体" w:cs="宋体"/>
          <w:color w:val="000000"/>
          <w:sz w:val="24"/>
          <w:szCs w:val="24"/>
          <w:highlight w:val="none"/>
        </w:rPr>
      </w:pPr>
      <w:r>
        <w:rPr>
          <w:rFonts w:ascii="宋体" w:hAnsi="宋体" w:eastAsia="宋体" w:cs="宋体"/>
          <w:color w:val="000000"/>
          <w:sz w:val="24"/>
          <w:szCs w:val="24"/>
          <w:highlight w:val="none"/>
        </w:rPr>
        <w:t>2.2招标文件的澄清和修改</w:t>
      </w:r>
    </w:p>
    <w:p w14:paraId="7B10448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hAnsi="宋体" w:eastAsia="宋体" w:cs="宋体"/>
          <w:color w:val="000000"/>
          <w:position w:val="1"/>
          <w:sz w:val="24"/>
          <w:szCs w:val="24"/>
          <w:highlight w:val="none"/>
        </w:rPr>
        <w:t>通过电子邮件的方式向招标人提出，</w:t>
      </w:r>
      <w:r>
        <w:rPr>
          <w:rFonts w:ascii="宋体" w:hAnsi="宋体" w:eastAsia="宋体" w:cs="宋体"/>
          <w:color w:val="000000"/>
          <w:position w:val="1"/>
          <w:sz w:val="24"/>
          <w:szCs w:val="24"/>
          <w:highlight w:val="none"/>
        </w:rPr>
        <w:t>要求招标人对招标文件予以澄清。</w:t>
      </w:r>
    </w:p>
    <w:p w14:paraId="14587AE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2.2.2招标文件的澄清、修改可能影响投标文件编制的，招标人将在投标人须知前附表规定的投标截止时间15个日历天前通过</w:t>
      </w:r>
      <w:r>
        <w:rPr>
          <w:rFonts w:hint="eastAsia" w:ascii="宋体" w:hAnsi="宋体" w:eastAsia="宋体" w:cs="宋体"/>
          <w:color w:val="000000"/>
          <w:position w:val="1"/>
          <w:sz w:val="24"/>
          <w:szCs w:val="24"/>
          <w:highlight w:val="none"/>
        </w:rPr>
        <w:t>绍兴公共资源交易网</w:t>
      </w:r>
      <w:r>
        <w:rPr>
          <w:rFonts w:ascii="宋体" w:hAnsi="宋体" w:eastAsia="宋体" w:cs="宋体"/>
          <w:color w:val="000000"/>
          <w:position w:val="1"/>
          <w:sz w:val="24"/>
          <w:szCs w:val="24"/>
          <w:highlight w:val="none"/>
        </w:rPr>
        <w:t>、</w:t>
      </w:r>
      <w:r>
        <w:rPr>
          <w:rFonts w:hint="eastAsia" w:ascii="宋体" w:hAnsi="宋体" w:eastAsia="宋体" w:cs="宋体"/>
          <w:color w:val="000000"/>
          <w:position w:val="1"/>
          <w:sz w:val="24"/>
          <w:szCs w:val="24"/>
          <w:highlight w:val="none"/>
        </w:rPr>
        <w:t>绍兴市公共资源交易中心</w:t>
      </w:r>
      <w:r>
        <w:rPr>
          <w:rFonts w:ascii="宋体" w:hAnsi="宋体" w:eastAsia="宋体" w:cs="宋体"/>
          <w:color w:val="000000"/>
          <w:position w:val="1"/>
          <w:sz w:val="24"/>
          <w:szCs w:val="24"/>
          <w:highlight w:val="none"/>
        </w:rPr>
        <w:t>进行发布，但不指明澄清问题的来源。如果澄清发出的时间距投标截止时间不足15天，相应延长投标截止时间。</w:t>
      </w:r>
    </w:p>
    <w:p w14:paraId="40003C8E">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2.2.3投标人确认收到招标文件澄清和修改内容的时间：见投标人须知前附表。</w:t>
      </w:r>
    </w:p>
    <w:p w14:paraId="30C99FC3">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3.</w:t>
      </w:r>
      <w:r>
        <w:rPr>
          <w:rFonts w:ascii="宋体" w:hAnsi="宋体" w:eastAsia="宋体" w:cs="宋体"/>
          <w:color w:val="000000"/>
          <w:sz w:val="24"/>
          <w:szCs w:val="24"/>
          <w:highlight w:val="none"/>
        </w:rPr>
        <w:t>投标文件</w:t>
      </w:r>
    </w:p>
    <w:p w14:paraId="123D1571">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3.1</w:t>
      </w:r>
      <w:r>
        <w:rPr>
          <w:rFonts w:ascii="宋体" w:hAnsi="宋体" w:eastAsia="宋体" w:cs="宋体"/>
          <w:color w:val="000000"/>
          <w:sz w:val="24"/>
          <w:szCs w:val="24"/>
          <w:highlight w:val="none"/>
        </w:rPr>
        <w:t>投标文件的组成</w:t>
      </w:r>
    </w:p>
    <w:p w14:paraId="62D45B1A">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3.1.1商务标部分</w:t>
      </w:r>
    </w:p>
    <w:p w14:paraId="23FD39C8">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1</w:t>
      </w:r>
      <w:r>
        <w:rPr>
          <w:rFonts w:hint="eastAsia" w:ascii="宋体" w:hAnsi="宋体" w:eastAsia="宋体" w:cs="宋体"/>
          <w:b/>
          <w:bCs/>
          <w:color w:val="000000"/>
          <w:position w:val="1"/>
          <w:sz w:val="24"/>
          <w:szCs w:val="24"/>
          <w:highlight w:val="none"/>
        </w:rPr>
        <w:t>）投标函（</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60352AE5">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2</w:t>
      </w:r>
      <w:r>
        <w:rPr>
          <w:rFonts w:hint="eastAsia" w:ascii="宋体" w:hAnsi="宋体" w:eastAsia="宋体" w:cs="宋体"/>
          <w:b/>
          <w:bCs/>
          <w:color w:val="000000"/>
          <w:position w:val="1"/>
          <w:sz w:val="24"/>
          <w:szCs w:val="24"/>
          <w:highlight w:val="none"/>
        </w:rPr>
        <w:t>）投标设备及安装报价明细表（</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79DD971B">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3</w:t>
      </w:r>
      <w:r>
        <w:rPr>
          <w:rFonts w:hint="eastAsia" w:ascii="宋体" w:hAnsi="宋体" w:eastAsia="宋体" w:cs="宋体"/>
          <w:b/>
          <w:bCs/>
          <w:color w:val="000000"/>
          <w:position w:val="1"/>
          <w:sz w:val="24"/>
          <w:szCs w:val="24"/>
          <w:highlight w:val="none"/>
        </w:rPr>
        <w:t>）主要部件性能一览表（</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00274E9B">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4</w:t>
      </w:r>
      <w:r>
        <w:rPr>
          <w:rFonts w:hint="eastAsia" w:ascii="宋体" w:hAnsi="宋体" w:eastAsia="宋体" w:cs="宋体"/>
          <w:b/>
          <w:bCs/>
          <w:color w:val="000000"/>
          <w:position w:val="1"/>
          <w:sz w:val="24"/>
          <w:szCs w:val="24"/>
          <w:highlight w:val="none"/>
        </w:rPr>
        <w:t>）随机专用工具及备品备件明细表（</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0E6400B9">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5</w:t>
      </w:r>
      <w:r>
        <w:rPr>
          <w:rFonts w:hint="eastAsia" w:ascii="宋体" w:hAnsi="宋体" w:eastAsia="宋体" w:cs="宋体"/>
          <w:b/>
          <w:bCs/>
          <w:color w:val="000000"/>
          <w:position w:val="1"/>
          <w:sz w:val="24"/>
          <w:szCs w:val="24"/>
          <w:highlight w:val="none"/>
        </w:rPr>
        <w:t>）供招标人选购的备品备件一览表（</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3406FC12">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6</w:t>
      </w:r>
      <w:r>
        <w:rPr>
          <w:rFonts w:hint="eastAsia" w:ascii="宋体" w:hAnsi="宋体" w:eastAsia="宋体" w:cs="宋体"/>
          <w:b/>
          <w:bCs/>
          <w:color w:val="000000"/>
          <w:position w:val="1"/>
          <w:sz w:val="24"/>
          <w:szCs w:val="24"/>
          <w:highlight w:val="none"/>
        </w:rPr>
        <w:t>）质保期满后大小包费用一览表（</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0342D9C2">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7</w:t>
      </w:r>
      <w:r>
        <w:rPr>
          <w:rFonts w:hint="eastAsia" w:ascii="宋体" w:hAnsi="宋体" w:eastAsia="宋体" w:cs="宋体"/>
          <w:b/>
          <w:bCs/>
          <w:color w:val="000000"/>
          <w:position w:val="1"/>
          <w:sz w:val="24"/>
          <w:szCs w:val="24"/>
          <w:highlight w:val="none"/>
        </w:rPr>
        <w:t>）驻项目现场的工程技术、管理人员（</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7256CB96">
      <w:pPr>
        <w:spacing w:line="420" w:lineRule="exact"/>
        <w:ind w:firstLine="482"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8</w:t>
      </w:r>
      <w:r>
        <w:rPr>
          <w:rFonts w:hint="eastAsia" w:ascii="宋体" w:hAnsi="宋体" w:eastAsia="宋体" w:cs="宋体"/>
          <w:b/>
          <w:bCs/>
          <w:color w:val="000000"/>
          <w:position w:val="1"/>
          <w:sz w:val="24"/>
          <w:szCs w:val="24"/>
          <w:highlight w:val="none"/>
        </w:rPr>
        <w:t>）投标人需要说明的其他文件和说明（如有，格式自拟）</w:t>
      </w:r>
      <w:r>
        <w:rPr>
          <w:rFonts w:hint="eastAsia" w:ascii="宋体" w:hAnsi="宋体" w:eastAsia="宋体" w:cs="宋体"/>
          <w:color w:val="000000"/>
          <w:position w:val="1"/>
          <w:sz w:val="24"/>
          <w:szCs w:val="24"/>
          <w:highlight w:val="none"/>
          <w:lang w:eastAsia="zh-CN"/>
        </w:rPr>
        <w:t>。</w:t>
      </w:r>
    </w:p>
    <w:p w14:paraId="3CB218FA">
      <w:pPr>
        <w:spacing w:line="420" w:lineRule="exact"/>
        <w:ind w:firstLine="482"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b/>
          <w:bCs/>
          <w:color w:val="000000"/>
          <w:position w:val="1"/>
          <w:sz w:val="24"/>
          <w:szCs w:val="24"/>
          <w:highlight w:val="none"/>
        </w:rPr>
        <w:t>3.1.2技术标部分</w:t>
      </w:r>
    </w:p>
    <w:p w14:paraId="4469DB34">
      <w:pPr>
        <w:numPr>
          <w:ilvl w:val="0"/>
          <w:numId w:val="2"/>
        </w:num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lang w:val="en-US" w:eastAsia="zh-CN"/>
        </w:rPr>
        <w:t>技术评分索引表</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p>
    <w:p w14:paraId="47EE937E">
      <w:pPr>
        <w:numPr>
          <w:ilvl w:val="0"/>
          <w:numId w:val="2"/>
        </w:num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业绩汇总表（评分业绩的汇总）(</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p>
    <w:p w14:paraId="56E7C5A5">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3</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资信、业绩评审</w:t>
      </w:r>
      <w:r>
        <w:rPr>
          <w:rFonts w:hint="eastAsia" w:ascii="宋体" w:hAnsi="宋体" w:eastAsia="宋体" w:cs="宋体"/>
          <w:b/>
          <w:bCs/>
          <w:color w:val="000000"/>
          <w:position w:val="1"/>
          <w:sz w:val="24"/>
          <w:szCs w:val="24"/>
          <w:highlight w:val="none"/>
        </w:rPr>
        <w:t>所要求的内容</w:t>
      </w:r>
      <w:r>
        <w:rPr>
          <w:rFonts w:hint="eastAsia" w:ascii="宋体" w:hAnsi="宋体" w:eastAsia="宋体" w:cs="宋体"/>
          <w:b/>
          <w:bCs/>
          <w:color w:val="000000"/>
          <w:position w:val="1"/>
          <w:sz w:val="24"/>
          <w:szCs w:val="24"/>
          <w:highlight w:val="none"/>
          <w:lang w:eastAsia="zh-CN"/>
        </w:rPr>
        <w:t>；</w:t>
      </w:r>
    </w:p>
    <w:p w14:paraId="3E8D1E9F">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4</w:t>
      </w:r>
      <w:r>
        <w:rPr>
          <w:rFonts w:hint="eastAsia" w:ascii="宋体" w:hAnsi="宋体" w:eastAsia="宋体" w:cs="宋体"/>
          <w:b/>
          <w:bCs/>
          <w:color w:val="000000"/>
          <w:position w:val="1"/>
          <w:sz w:val="24"/>
          <w:szCs w:val="24"/>
          <w:highlight w:val="none"/>
        </w:rPr>
        <w:t>）技术评分标准所要求的内容</w:t>
      </w:r>
      <w:r>
        <w:rPr>
          <w:rFonts w:hint="eastAsia" w:ascii="宋体" w:hAnsi="宋体" w:eastAsia="宋体" w:cs="宋体"/>
          <w:b/>
          <w:bCs/>
          <w:color w:val="000000"/>
          <w:position w:val="1"/>
          <w:sz w:val="24"/>
          <w:szCs w:val="24"/>
          <w:highlight w:val="none"/>
          <w:lang w:eastAsia="zh-CN"/>
        </w:rPr>
        <w:t>；</w:t>
      </w:r>
    </w:p>
    <w:p w14:paraId="46591066">
      <w:pPr>
        <w:spacing w:line="420" w:lineRule="exact"/>
        <w:ind w:firstLine="482" w:firstLineChars="200"/>
        <w:jc w:val="both"/>
        <w:rPr>
          <w:rFonts w:hint="eastAsia" w:ascii="宋体" w:hAnsi="宋体" w:eastAsia="宋体" w:cs="宋体"/>
          <w:b/>
          <w:bCs/>
          <w:color w:val="000000"/>
          <w:position w:val="1"/>
          <w:sz w:val="24"/>
          <w:szCs w:val="24"/>
          <w:highlight w:val="none"/>
          <w:lang w:eastAsia="zh-CN"/>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5</w:t>
      </w:r>
      <w:r>
        <w:rPr>
          <w:rFonts w:hint="eastAsia" w:ascii="宋体" w:hAnsi="宋体" w:eastAsia="宋体" w:cs="宋体"/>
          <w:b/>
          <w:bCs/>
          <w:color w:val="000000"/>
          <w:position w:val="1"/>
          <w:sz w:val="24"/>
          <w:szCs w:val="24"/>
          <w:highlight w:val="none"/>
        </w:rPr>
        <w:t>）投标人需要说明的其他文件和说明（如有，格式自拟）</w:t>
      </w:r>
      <w:r>
        <w:rPr>
          <w:rFonts w:hint="eastAsia" w:ascii="宋体" w:hAnsi="宋体" w:eastAsia="宋体" w:cs="宋体"/>
          <w:b/>
          <w:bCs/>
          <w:color w:val="000000"/>
          <w:position w:val="1"/>
          <w:sz w:val="24"/>
          <w:szCs w:val="24"/>
          <w:highlight w:val="none"/>
          <w:lang w:eastAsia="zh-CN"/>
        </w:rPr>
        <w:t>。</w:t>
      </w:r>
    </w:p>
    <w:p w14:paraId="2F9FDD9B">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3.1.3资格审查资料</w:t>
      </w:r>
    </w:p>
    <w:p w14:paraId="50409C90">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（1）企业法人营业执照；</w:t>
      </w:r>
    </w:p>
    <w:p w14:paraId="26C0F098">
      <w:pPr>
        <w:spacing w:line="420" w:lineRule="exact"/>
        <w:ind w:firstLine="482" w:firstLineChars="200"/>
        <w:jc w:val="both"/>
        <w:rPr>
          <w:rFonts w:hint="eastAsia" w:ascii="宋体" w:hAnsi="宋体" w:eastAsia="宋体" w:cs="宋体"/>
          <w:b/>
          <w:bCs/>
          <w:color w:val="000000"/>
          <w:position w:val="1"/>
          <w:sz w:val="24"/>
          <w:szCs w:val="24"/>
          <w:highlight w:val="none"/>
          <w:lang w:val="en-US" w:eastAsia="zh-CN"/>
        </w:rPr>
      </w:pPr>
      <w:r>
        <w:rPr>
          <w:rFonts w:hint="eastAsia" w:ascii="宋体" w:hAnsi="宋体" w:eastAsia="宋体" w:cs="宋体"/>
          <w:b/>
          <w:bCs/>
          <w:color w:val="000000"/>
          <w:position w:val="1"/>
          <w:sz w:val="24"/>
          <w:szCs w:val="24"/>
          <w:highlight w:val="none"/>
        </w:rPr>
        <w:t>（2）</w:t>
      </w:r>
      <w:r>
        <w:rPr>
          <w:rFonts w:hint="eastAsia" w:ascii="宋体" w:hAnsi="宋体" w:eastAsia="宋体" w:cs="宋体"/>
          <w:b/>
          <w:bCs/>
          <w:color w:val="000000"/>
          <w:position w:val="1"/>
          <w:sz w:val="24"/>
          <w:szCs w:val="24"/>
          <w:highlight w:val="none"/>
          <w:lang w:val="en-US" w:eastAsia="zh-CN"/>
        </w:rPr>
        <w:t>特种设备制造许可证或特种设备生产许可证；</w:t>
      </w:r>
    </w:p>
    <w:p w14:paraId="7A03A756">
      <w:pPr>
        <w:spacing w:line="420" w:lineRule="exact"/>
        <w:ind w:firstLine="482" w:firstLineChars="200"/>
        <w:jc w:val="both"/>
        <w:rPr>
          <w:rFonts w:hint="eastAsia" w:ascii="宋体" w:hAnsi="宋体" w:eastAsia="宋体" w:cs="宋体"/>
          <w:b/>
          <w:bCs/>
          <w:color w:val="000000"/>
          <w:position w:val="1"/>
          <w:sz w:val="24"/>
          <w:szCs w:val="24"/>
          <w:highlight w:val="none"/>
          <w:lang w:val="en-US" w:eastAsia="zh-CN"/>
        </w:rPr>
      </w:pPr>
      <w:r>
        <w:rPr>
          <w:rFonts w:hint="eastAsia" w:ascii="宋体" w:hAnsi="宋体" w:eastAsia="宋体" w:cs="宋体"/>
          <w:b/>
          <w:bCs/>
          <w:color w:val="000000"/>
          <w:position w:val="1"/>
          <w:sz w:val="24"/>
          <w:szCs w:val="24"/>
          <w:highlight w:val="none"/>
          <w:lang w:val="en-US" w:eastAsia="zh-CN"/>
        </w:rPr>
        <w:t>（3）制造商授权书</w:t>
      </w:r>
      <w:r>
        <w:rPr>
          <w:rFonts w:hint="eastAsia" w:ascii="宋体" w:hAnsi="宋体" w:eastAsia="宋体" w:cs="宋体"/>
          <w:b/>
          <w:bCs/>
          <w:color w:val="000000"/>
          <w:position w:val="1"/>
          <w:sz w:val="24"/>
          <w:szCs w:val="24"/>
          <w:highlight w:val="none"/>
        </w:rPr>
        <w:t>（格式见后）</w:t>
      </w:r>
      <w:r>
        <w:rPr>
          <w:rFonts w:hint="eastAsia" w:ascii="宋体" w:hAnsi="宋体" w:eastAsia="宋体" w:cs="宋体"/>
          <w:b/>
          <w:bCs/>
          <w:color w:val="000000"/>
          <w:position w:val="1"/>
          <w:sz w:val="24"/>
          <w:szCs w:val="24"/>
          <w:highlight w:val="none"/>
          <w:lang w:eastAsia="zh-CN"/>
        </w:rPr>
        <w:t>；</w:t>
      </w:r>
    </w:p>
    <w:p w14:paraId="4FF2D348">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4</w:t>
      </w:r>
      <w:r>
        <w:rPr>
          <w:rFonts w:hint="eastAsia" w:ascii="宋体" w:hAnsi="宋体" w:eastAsia="宋体" w:cs="宋体"/>
          <w:b/>
          <w:bCs/>
          <w:color w:val="000000"/>
          <w:position w:val="1"/>
          <w:sz w:val="24"/>
          <w:szCs w:val="24"/>
          <w:highlight w:val="none"/>
        </w:rPr>
        <w:t>）法定代表人身份证明（格式见后）；</w:t>
      </w:r>
    </w:p>
    <w:p w14:paraId="0A0DC71A">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5</w:t>
      </w:r>
      <w:r>
        <w:rPr>
          <w:rFonts w:hint="eastAsia" w:ascii="宋体" w:hAnsi="宋体" w:eastAsia="宋体" w:cs="宋体"/>
          <w:b/>
          <w:bCs/>
          <w:color w:val="000000"/>
          <w:position w:val="1"/>
          <w:sz w:val="24"/>
          <w:szCs w:val="24"/>
          <w:highlight w:val="none"/>
        </w:rPr>
        <w:t>）</w:t>
      </w:r>
      <w:r>
        <w:rPr>
          <w:rFonts w:ascii="宋体" w:hAnsi="宋体" w:eastAsia="宋体" w:cs="宋体"/>
          <w:b/>
          <w:bCs/>
          <w:color w:val="auto"/>
          <w:position w:val="1"/>
          <w:sz w:val="24"/>
          <w:szCs w:val="24"/>
          <w:highlight w:val="none"/>
        </w:rPr>
        <w:t>法定代表人授权委托书（若有）</w:t>
      </w:r>
      <w:r>
        <w:rPr>
          <w:rFonts w:hint="eastAsia" w:ascii="宋体" w:hAnsi="宋体" w:eastAsia="宋体" w:cs="宋体"/>
          <w:b/>
          <w:bCs/>
          <w:color w:val="000000"/>
          <w:position w:val="1"/>
          <w:sz w:val="24"/>
          <w:szCs w:val="24"/>
          <w:highlight w:val="none"/>
        </w:rPr>
        <w:t>（格式见后）；</w:t>
      </w:r>
    </w:p>
    <w:p w14:paraId="68098096">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6</w:t>
      </w:r>
      <w:r>
        <w:rPr>
          <w:rFonts w:hint="eastAsia" w:ascii="宋体" w:hAnsi="宋体" w:eastAsia="宋体" w:cs="宋体"/>
          <w:b/>
          <w:bCs/>
          <w:color w:val="000000"/>
          <w:position w:val="1"/>
          <w:sz w:val="24"/>
          <w:szCs w:val="24"/>
          <w:highlight w:val="none"/>
        </w:rPr>
        <w:t>）投标承诺书（</w:t>
      </w:r>
      <w:r>
        <w:rPr>
          <w:rFonts w:hint="eastAsia" w:ascii="宋体" w:hAnsi="宋体" w:eastAsia="宋体" w:cs="宋体"/>
          <w:b/>
          <w:bCs/>
          <w:color w:val="000000"/>
          <w:position w:val="1"/>
          <w:sz w:val="24"/>
          <w:szCs w:val="24"/>
          <w:highlight w:val="none"/>
          <w:lang w:val="en-US" w:eastAsia="zh-CN"/>
        </w:rPr>
        <w:t>格式见后</w:t>
      </w: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eastAsia="zh-CN"/>
        </w:rPr>
        <w:t>；</w:t>
      </w:r>
    </w:p>
    <w:p w14:paraId="3382EBB3">
      <w:pPr>
        <w:spacing w:line="420" w:lineRule="exact"/>
        <w:ind w:firstLine="482" w:firstLineChars="200"/>
        <w:jc w:val="both"/>
        <w:rPr>
          <w:rFonts w:hint="eastAsia" w:ascii="宋体" w:hAnsi="宋体" w:eastAsia="宋体" w:cs="宋体"/>
          <w:b/>
          <w:bCs/>
          <w:color w:val="000000"/>
          <w:position w:val="1"/>
          <w:sz w:val="24"/>
          <w:szCs w:val="24"/>
          <w:highlight w:val="none"/>
        </w:rPr>
      </w:pPr>
      <w:r>
        <w:rPr>
          <w:rFonts w:hint="eastAsia" w:ascii="宋体" w:hAnsi="宋体" w:eastAsia="宋体" w:cs="宋体"/>
          <w:b/>
          <w:bCs/>
          <w:color w:val="000000"/>
          <w:position w:val="1"/>
          <w:sz w:val="24"/>
          <w:szCs w:val="24"/>
          <w:highlight w:val="none"/>
        </w:rPr>
        <w:t>（</w:t>
      </w:r>
      <w:r>
        <w:rPr>
          <w:rFonts w:hint="eastAsia" w:ascii="宋体" w:hAnsi="宋体" w:eastAsia="宋体" w:cs="宋体"/>
          <w:b/>
          <w:bCs/>
          <w:color w:val="000000"/>
          <w:position w:val="1"/>
          <w:sz w:val="24"/>
          <w:szCs w:val="24"/>
          <w:highlight w:val="none"/>
          <w:lang w:val="en-US" w:eastAsia="zh-CN"/>
        </w:rPr>
        <w:t>7</w:t>
      </w:r>
      <w:r>
        <w:rPr>
          <w:rFonts w:hint="eastAsia" w:ascii="宋体" w:hAnsi="宋体" w:eastAsia="宋体" w:cs="宋体"/>
          <w:b/>
          <w:bCs/>
          <w:color w:val="000000"/>
          <w:position w:val="1"/>
          <w:sz w:val="24"/>
          <w:szCs w:val="24"/>
          <w:highlight w:val="none"/>
        </w:rPr>
        <w:t>）投标保证金缴纳证明资料；</w:t>
      </w:r>
    </w:p>
    <w:p w14:paraId="710A2D37">
      <w:pPr>
        <w:spacing w:line="420" w:lineRule="exact"/>
        <w:ind w:firstLine="482"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b/>
          <w:bCs/>
          <w:color w:val="000000"/>
          <w:position w:val="1"/>
          <w:sz w:val="24"/>
          <w:szCs w:val="24"/>
          <w:highlight w:val="none"/>
          <w:lang w:val="en-US" w:eastAsia="zh-CN"/>
        </w:rPr>
        <w:t>（8）</w:t>
      </w:r>
      <w:r>
        <w:rPr>
          <w:rFonts w:hint="eastAsia" w:ascii="宋体" w:hAnsi="宋体" w:eastAsia="宋体" w:cs="宋体"/>
          <w:b/>
          <w:bCs/>
          <w:color w:val="000000"/>
          <w:position w:val="1"/>
          <w:sz w:val="24"/>
          <w:szCs w:val="24"/>
          <w:highlight w:val="none"/>
        </w:rPr>
        <w:t>其他资料：提供满足前附表3.5.7实质性响应招标文件要求的其他资料：包括业绩证明材料等</w:t>
      </w:r>
      <w:r>
        <w:rPr>
          <w:rFonts w:hint="eastAsia" w:ascii="宋体" w:hAnsi="宋体" w:eastAsia="宋体" w:cs="宋体"/>
          <w:b/>
          <w:bCs/>
          <w:color w:val="auto"/>
          <w:position w:val="1"/>
          <w:sz w:val="24"/>
          <w:szCs w:val="24"/>
          <w:highlight w:val="none"/>
        </w:rPr>
        <w:t>。</w:t>
      </w:r>
    </w:p>
    <w:p w14:paraId="47E8002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3.2</w:t>
      </w:r>
      <w:r>
        <w:rPr>
          <w:rFonts w:ascii="宋体" w:hAnsi="宋体" w:eastAsia="宋体" w:cs="宋体"/>
          <w:color w:val="000000"/>
          <w:sz w:val="24"/>
          <w:szCs w:val="24"/>
          <w:highlight w:val="none"/>
        </w:rPr>
        <w:t>投标报价</w:t>
      </w:r>
    </w:p>
    <w:p w14:paraId="2A8D20A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3.2.1投标人应按本招标文件中“投标文件格式”的要求填写相应表格。</w:t>
      </w:r>
    </w:p>
    <w:p w14:paraId="5BB08C5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3.2.2投标人在投标截止时间前修改投标函中的投标总报价，应同时修改本招标文件中“投标文件格式”中的相应报价。此修改须符合本章第4.3款的有关要求。</w:t>
      </w:r>
    </w:p>
    <w:p w14:paraId="277EFDD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3.2.3招标人设有最高投标限价的，投标人的投标报价不得超过最高投标限价，最高投标限价详见投标人须知前附表。</w:t>
      </w:r>
    </w:p>
    <w:p w14:paraId="7B39A089">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3.2.4投标报价的其他要求详见投标人须知前附表。</w:t>
      </w:r>
    </w:p>
    <w:p w14:paraId="48F85D7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3.3</w:t>
      </w:r>
      <w:r>
        <w:rPr>
          <w:rFonts w:ascii="宋体" w:hAnsi="宋体" w:eastAsia="宋体" w:cs="宋体"/>
          <w:color w:val="000000"/>
          <w:sz w:val="24"/>
          <w:szCs w:val="24"/>
          <w:highlight w:val="none"/>
        </w:rPr>
        <w:t>投标有效期</w:t>
      </w:r>
    </w:p>
    <w:p w14:paraId="2C92044D">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3.3.1在投标人须知前附表规定的投标有效期内，投标人不得撤销其投标文件。</w:t>
      </w:r>
    </w:p>
    <w:p w14:paraId="4B05F711">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27250F00">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3.4</w:t>
      </w:r>
      <w:r>
        <w:rPr>
          <w:rFonts w:ascii="宋体" w:hAnsi="宋体" w:eastAsia="宋体" w:cs="宋体"/>
          <w:color w:val="000000"/>
          <w:sz w:val="24"/>
          <w:szCs w:val="24"/>
          <w:highlight w:val="none"/>
        </w:rPr>
        <w:t>投标保证金</w:t>
      </w:r>
    </w:p>
    <w:p w14:paraId="2B1D061D">
      <w:pPr>
        <w:spacing w:line="400" w:lineRule="exact"/>
        <w:ind w:firstLine="479"/>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3.4.1投标人应按投标人须知前附表规定的金额、时间及形式递交投标保证金，并作为其投标文件的组成部分。</w:t>
      </w:r>
    </w:p>
    <w:p w14:paraId="426B13C8">
      <w:pPr>
        <w:spacing w:line="400" w:lineRule="exact"/>
        <w:ind w:firstLine="479"/>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3711D60F">
      <w:pPr>
        <w:spacing w:line="400" w:lineRule="exact"/>
        <w:ind w:firstLine="479"/>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08FC27E4">
      <w:pPr>
        <w:spacing w:line="40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3.4.2投标人应按本章第3.4.1项要求提交投标保证金。</w:t>
      </w:r>
    </w:p>
    <w:p w14:paraId="43C6E7A1">
      <w:pPr>
        <w:spacing w:line="400" w:lineRule="exact"/>
        <w:ind w:firstLine="480" w:firstLineChars="200"/>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3.4.3投标保证金的退还</w:t>
      </w:r>
      <w:r>
        <w:rPr>
          <w:rFonts w:hint="eastAsia" w:ascii="宋体" w:hAnsi="宋体" w:eastAsia="宋体" w:cs="宋体"/>
          <w:color w:val="000000"/>
          <w:position w:val="1"/>
          <w:sz w:val="24"/>
          <w:szCs w:val="24"/>
          <w:highlight w:val="none"/>
        </w:rPr>
        <w:t>：</w:t>
      </w:r>
    </w:p>
    <w:p w14:paraId="106B785E">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 xml:space="preserve">.1 </w:t>
      </w:r>
      <w:r>
        <w:rPr>
          <w:rFonts w:hint="eastAsia" w:ascii="宋体" w:hAnsi="宋体"/>
          <w:color w:val="000000"/>
          <w:sz w:val="24"/>
          <w:szCs w:val="24"/>
          <w:highlight w:val="none"/>
        </w:rPr>
        <w:t>中标人的投标保证金将在本招标项目的合同签订后5日内予以退还。</w:t>
      </w:r>
    </w:p>
    <w:p w14:paraId="693BFCE1">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.2</w:t>
      </w:r>
      <w:r>
        <w:rPr>
          <w:rFonts w:hint="eastAsia" w:ascii="宋体" w:hAnsi="宋体"/>
          <w:color w:val="000000"/>
          <w:sz w:val="24"/>
          <w:szCs w:val="24"/>
          <w:highlight w:val="none"/>
        </w:rPr>
        <w:t>未中标人的投标保证金将在本招标项目中标通知书发出后5日内予以退还。</w:t>
      </w:r>
    </w:p>
    <w:p w14:paraId="06CACF89">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 xml:space="preserve">.3 </w:t>
      </w:r>
      <w:r>
        <w:rPr>
          <w:rFonts w:hint="eastAsia" w:ascii="宋体" w:hAnsi="宋体"/>
          <w:color w:val="000000"/>
          <w:sz w:val="24"/>
          <w:szCs w:val="24"/>
          <w:highlight w:val="none"/>
        </w:rPr>
        <w:t>退还的投标保证金，其利息计算执行中国人民银行规定的现行活期存款利率标准。</w:t>
      </w:r>
    </w:p>
    <w:p w14:paraId="6431BD41">
      <w:pPr>
        <w:spacing w:line="400" w:lineRule="exact"/>
        <w:ind w:firstLine="480" w:firstLineChars="200"/>
        <w:rPr>
          <w:rFonts w:ascii="宋体" w:hAnsi="宋体"/>
          <w:b/>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4.4</w:t>
      </w:r>
      <w:r>
        <w:rPr>
          <w:rFonts w:hint="eastAsia" w:ascii="宋体"/>
          <w:color w:val="000000"/>
          <w:sz w:val="24"/>
          <w:szCs w:val="24"/>
          <w:highlight w:val="none"/>
        </w:rPr>
        <w:t xml:space="preserve"> </w:t>
      </w:r>
      <w:r>
        <w:rPr>
          <w:rFonts w:hint="eastAsia" w:ascii="宋体" w:hAnsi="宋体"/>
          <w:b/>
          <w:color w:val="000000"/>
          <w:sz w:val="24"/>
          <w:szCs w:val="24"/>
          <w:highlight w:val="none"/>
        </w:rPr>
        <w:t>投标人有下列情况之一时，将不予退还投标保证金：</w:t>
      </w:r>
      <w:r>
        <w:rPr>
          <w:rFonts w:hint="eastAsia" w:ascii="宋体"/>
          <w:b/>
          <w:color w:val="000000"/>
          <w:sz w:val="24"/>
          <w:szCs w:val="24"/>
          <w:highlight w:val="none"/>
        </w:rPr>
        <w:t xml:space="preserve"> </w:t>
      </w:r>
    </w:p>
    <w:p w14:paraId="26692CDE">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.1</w:t>
      </w:r>
      <w:r>
        <w:rPr>
          <w:rFonts w:hint="eastAsia" w:ascii="宋体" w:hAnsi="宋体" w:eastAsia="宋体" w:cs="宋体"/>
          <w:color w:val="000000"/>
          <w:sz w:val="24"/>
          <w:szCs w:val="24"/>
          <w:highlight w:val="none"/>
        </w:rPr>
        <w:t>经查实，投标人在投标过程中存在串通投标或弄虚作假的；</w:t>
      </w:r>
    </w:p>
    <w:p w14:paraId="02586808">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.2</w:t>
      </w:r>
      <w:r>
        <w:rPr>
          <w:rFonts w:hint="eastAsia" w:ascii="宋体" w:hAnsi="宋体" w:eastAsia="宋体" w:cs="宋体"/>
          <w:color w:val="000000"/>
          <w:sz w:val="24"/>
          <w:szCs w:val="24"/>
          <w:highlight w:val="none"/>
        </w:rPr>
        <w:t>在提交投标文件截止时间后到招标文件规定的投标有效期终止之前，投标人撤销其投标文件的；</w:t>
      </w:r>
    </w:p>
    <w:p w14:paraId="1A13EC64">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.3</w:t>
      </w:r>
      <w:r>
        <w:rPr>
          <w:rFonts w:hint="eastAsia" w:ascii="宋体" w:hAnsi="宋体" w:eastAsia="宋体" w:cs="宋体"/>
          <w:color w:val="000000"/>
          <w:sz w:val="24"/>
          <w:szCs w:val="24"/>
          <w:highlight w:val="none"/>
        </w:rPr>
        <w:t>中标人在收到中标通知书后，无正当理由不与招标人订立合同，在签订合同时向招标人提出附加条件，或者不按照招标文件要求提交履约保证金；</w:t>
      </w:r>
    </w:p>
    <w:p w14:paraId="4A9F1065">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.4 </w:t>
      </w:r>
      <w:r>
        <w:rPr>
          <w:rFonts w:hint="eastAsia" w:ascii="宋体" w:hAnsi="宋体" w:eastAsia="宋体" w:cs="宋体"/>
          <w:color w:val="000000"/>
          <w:sz w:val="24"/>
          <w:szCs w:val="24"/>
          <w:highlight w:val="none"/>
        </w:rPr>
        <w:t>以现金转账形式，转账现金不予退还；</w:t>
      </w:r>
    </w:p>
    <w:p w14:paraId="5507D288">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.5 </w:t>
      </w:r>
      <w:r>
        <w:rPr>
          <w:rFonts w:hint="eastAsia" w:ascii="宋体" w:hAnsi="宋体" w:eastAsia="宋体" w:cs="宋体"/>
          <w:color w:val="000000"/>
          <w:sz w:val="24"/>
          <w:szCs w:val="24"/>
          <w:highlight w:val="none"/>
        </w:rPr>
        <w:t>以银行保函形式，招标人作为受益人向银行提起索赔；</w:t>
      </w:r>
    </w:p>
    <w:p w14:paraId="5088B1D9">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.6 </w:t>
      </w:r>
      <w:r>
        <w:rPr>
          <w:rFonts w:hint="eastAsia" w:ascii="宋体" w:hAnsi="宋体" w:eastAsia="宋体" w:cs="宋体"/>
          <w:color w:val="000000"/>
          <w:sz w:val="24"/>
          <w:szCs w:val="24"/>
          <w:highlight w:val="none"/>
        </w:rPr>
        <w:t>以保证保险形式，招标人作为被保险人（受益人）向保险人提起索赔；</w:t>
      </w:r>
    </w:p>
    <w:p w14:paraId="3EE26B0E">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.7 </w:t>
      </w:r>
      <w:r>
        <w:rPr>
          <w:rFonts w:hint="eastAsia" w:ascii="宋体" w:hAnsi="宋体" w:eastAsia="宋体" w:cs="宋体"/>
          <w:color w:val="000000"/>
          <w:sz w:val="24"/>
          <w:szCs w:val="24"/>
          <w:highlight w:val="none"/>
        </w:rPr>
        <w:t>以担保公司担保形式，招标人作为受益人向担保人提起索赔。</w:t>
      </w:r>
    </w:p>
    <w:p w14:paraId="4B57B5B8">
      <w:pPr>
        <w:spacing w:line="400" w:lineRule="exact"/>
        <w:ind w:firstLine="480" w:firstLineChars="200"/>
        <w:rPr>
          <w:rFonts w:ascii="宋体" w:hAnsi="宋体" w:eastAsia="宋体" w:cs="宋体"/>
          <w:color w:val="000000"/>
          <w:position w:val="1"/>
          <w:sz w:val="24"/>
          <w:szCs w:val="24"/>
          <w:highlight w:val="none"/>
        </w:rPr>
      </w:pPr>
      <w:r>
        <w:rPr>
          <w:rFonts w:hint="eastAsia" w:ascii="宋体"/>
          <w:b/>
          <w:color w:val="000000"/>
          <w:sz w:val="24"/>
          <w:szCs w:val="24"/>
          <w:highlight w:val="none"/>
        </w:rPr>
        <w:t>免缴投标保证金的投标人如出现上述不予退还投标保证金的情形时，应在承诺时限内补缴全额投标保证金。</w:t>
      </w:r>
    </w:p>
    <w:p w14:paraId="28CF865A">
      <w:pPr>
        <w:spacing w:line="40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3.5</w:t>
      </w:r>
      <w:r>
        <w:rPr>
          <w:rFonts w:ascii="宋体" w:hAnsi="宋体" w:eastAsia="宋体" w:cs="宋体"/>
          <w:color w:val="000000"/>
          <w:sz w:val="24"/>
          <w:szCs w:val="24"/>
          <w:highlight w:val="none"/>
        </w:rPr>
        <w:t>资格审查资料</w:t>
      </w:r>
    </w:p>
    <w:p w14:paraId="22F1B842">
      <w:pPr>
        <w:spacing w:line="420" w:lineRule="exact"/>
        <w:ind w:firstLine="480" w:firstLineChars="200"/>
        <w:jc w:val="both"/>
        <w:rPr>
          <w:rFonts w:ascii="宋体" w:hAnsi="宋体" w:eastAsia="宋体" w:cs="宋体"/>
          <w:b/>
          <w:bCs/>
          <w:color w:val="000000"/>
          <w:position w:val="1"/>
          <w:sz w:val="24"/>
          <w:szCs w:val="24"/>
          <w:highlight w:val="none"/>
        </w:rPr>
      </w:pPr>
      <w:r>
        <w:rPr>
          <w:rFonts w:hint="eastAsia"/>
          <w:b/>
          <w:bCs/>
          <w:color w:val="auto"/>
          <w:sz w:val="24"/>
          <w:szCs w:val="24"/>
          <w:highlight w:val="none"/>
          <w:u w:val="single"/>
        </w:rPr>
        <w:t>具体详见第</w:t>
      </w:r>
      <w:r>
        <w:rPr>
          <w:rFonts w:hint="eastAsia" w:eastAsia="宋体"/>
          <w:b/>
          <w:bCs/>
          <w:color w:val="auto"/>
          <w:sz w:val="24"/>
          <w:szCs w:val="24"/>
          <w:highlight w:val="none"/>
          <w:u w:val="single"/>
        </w:rPr>
        <w:t>六</w:t>
      </w:r>
      <w:r>
        <w:rPr>
          <w:rFonts w:hint="eastAsia"/>
          <w:b/>
          <w:bCs/>
          <w:color w:val="auto"/>
          <w:sz w:val="24"/>
          <w:szCs w:val="24"/>
          <w:highlight w:val="none"/>
          <w:u w:val="single"/>
        </w:rPr>
        <w:t>章</w:t>
      </w:r>
      <w:r>
        <w:rPr>
          <w:rFonts w:hint="eastAsia" w:ascii="Times New Roman" w:hAnsi="Times New Roman" w:eastAsia="宋体" w:cs="Times New Roman"/>
          <w:b/>
          <w:bCs/>
          <w:color w:val="auto"/>
          <w:sz w:val="24"/>
          <w:szCs w:val="24"/>
          <w:highlight w:val="none"/>
          <w:u w:val="single"/>
        </w:rPr>
        <w:t>资格后审投标人必须提交的资料。</w:t>
      </w:r>
    </w:p>
    <w:p w14:paraId="7AEB759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3.6</w:t>
      </w:r>
      <w:r>
        <w:rPr>
          <w:rFonts w:ascii="宋体" w:hAnsi="宋体" w:eastAsia="宋体" w:cs="宋体"/>
          <w:color w:val="000000"/>
          <w:sz w:val="24"/>
          <w:szCs w:val="24"/>
          <w:highlight w:val="none"/>
        </w:rPr>
        <w:t>备选投标方案</w:t>
      </w:r>
    </w:p>
    <w:p w14:paraId="50EE95E4">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5119C2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3.7</w:t>
      </w:r>
      <w:r>
        <w:rPr>
          <w:rFonts w:ascii="宋体" w:hAnsi="宋体" w:eastAsia="宋体" w:cs="宋体"/>
          <w:color w:val="000000"/>
          <w:sz w:val="24"/>
          <w:szCs w:val="24"/>
          <w:highlight w:val="none"/>
        </w:rPr>
        <w:t>投标文件的编制</w:t>
      </w:r>
    </w:p>
    <w:p w14:paraId="064F9598">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3.7.1投标文件应按第</w:t>
      </w:r>
      <w:r>
        <w:rPr>
          <w:rFonts w:hint="eastAsia" w:ascii="宋体" w:hAnsi="宋体" w:eastAsia="宋体" w:cs="宋体"/>
          <w:color w:val="000000"/>
          <w:position w:val="1"/>
          <w:sz w:val="24"/>
          <w:szCs w:val="24"/>
          <w:highlight w:val="none"/>
          <w:lang w:val="en-US" w:eastAsia="zh-CN"/>
        </w:rPr>
        <w:t>六</w:t>
      </w:r>
      <w:r>
        <w:rPr>
          <w:rFonts w:ascii="宋体" w:hAnsi="宋体" w:eastAsia="宋体" w:cs="宋体"/>
          <w:color w:val="000000"/>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1B03817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3.7.2投标文件应当对招标文件有关工期、投标有效期、质量要求、技术标准和要求、招标范围等实质性内容作出响应。</w:t>
      </w:r>
    </w:p>
    <w:p w14:paraId="2D74405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3.7.3投标文件签字或盖章的具体要求见投标人须知前附表。</w:t>
      </w:r>
    </w:p>
    <w:p w14:paraId="270F78C8">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3.7.4投标文件份数的具体要求见投标人须知前附表。</w:t>
      </w:r>
    </w:p>
    <w:p w14:paraId="50A2A549">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3.7.5电子投标的要求</w:t>
      </w:r>
    </w:p>
    <w:p w14:paraId="36A37FE4">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1</w:t>
      </w:r>
      <w:r>
        <w:rPr>
          <w:rFonts w:hint="eastAsia" w:ascii="宋体" w:hAnsi="宋体" w:eastAsia="宋体" w:cs="宋体"/>
          <w:strike w:val="0"/>
          <w:dstrike w:val="0"/>
          <w:color w:val="000000"/>
          <w:position w:val="1"/>
          <w:sz w:val="24"/>
          <w:szCs w:val="24"/>
          <w:highlight w:val="none"/>
        </w:rPr>
        <w:t>）电子投标文件签字或盖章的具体要求见投标人须知前附表。</w:t>
      </w:r>
    </w:p>
    <w:p w14:paraId="2C63AE66">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2</w:t>
      </w:r>
      <w:r>
        <w:rPr>
          <w:rFonts w:hint="eastAsia" w:ascii="宋体" w:hAnsi="宋体" w:eastAsia="宋体" w:cs="宋体"/>
          <w:strike w:val="0"/>
          <w:dstrike w:val="0"/>
          <w:color w:val="000000"/>
          <w:position w:val="1"/>
          <w:sz w:val="24"/>
          <w:szCs w:val="24"/>
          <w:highlight w:val="none"/>
        </w:rPr>
        <w:t>）电子投标文件制作或加密要求见投标人须知前附表。</w:t>
      </w:r>
    </w:p>
    <w:p w14:paraId="08FF8848">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3</w:t>
      </w:r>
      <w:r>
        <w:rPr>
          <w:rFonts w:hint="eastAsia" w:ascii="宋体" w:hAnsi="宋体" w:eastAsia="宋体" w:cs="宋体"/>
          <w:strike w:val="0"/>
          <w:dstrike w:val="0"/>
          <w:color w:val="000000"/>
          <w:position w:val="1"/>
          <w:sz w:val="24"/>
          <w:szCs w:val="24"/>
          <w:highlight w:val="none"/>
        </w:rPr>
        <w:t>）电子投标文件所附证书证件及业绩证明文件要求见投标人须知前附表规定。</w:t>
      </w:r>
    </w:p>
    <w:p w14:paraId="1E65F7E9">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4.</w:t>
      </w:r>
      <w:r>
        <w:rPr>
          <w:rFonts w:ascii="宋体" w:hAnsi="宋体" w:eastAsia="宋体" w:cs="宋体"/>
          <w:color w:val="000000"/>
          <w:sz w:val="24"/>
          <w:szCs w:val="24"/>
          <w:highlight w:val="none"/>
        </w:rPr>
        <w:t>投标</w:t>
      </w:r>
    </w:p>
    <w:p w14:paraId="4804414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4.1</w:t>
      </w:r>
      <w:r>
        <w:rPr>
          <w:rFonts w:ascii="宋体" w:hAnsi="宋体" w:eastAsia="宋体" w:cs="宋体"/>
          <w:color w:val="000000"/>
          <w:sz w:val="24"/>
          <w:szCs w:val="24"/>
          <w:highlight w:val="none"/>
        </w:rPr>
        <w:t>光盘、样品等材料的包装和标记</w:t>
      </w:r>
    </w:p>
    <w:p w14:paraId="14E25FB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光盘、样品等材料的外包装和要求见投标人须知前附表。</w:t>
      </w:r>
    </w:p>
    <w:p w14:paraId="3F31FE7A">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4.2</w:t>
      </w:r>
      <w:r>
        <w:rPr>
          <w:rFonts w:ascii="宋体" w:hAnsi="宋体" w:eastAsia="宋体" w:cs="宋体"/>
          <w:color w:val="000000"/>
          <w:sz w:val="24"/>
          <w:szCs w:val="24"/>
          <w:highlight w:val="none"/>
        </w:rPr>
        <w:t>投标文件的递交</w:t>
      </w:r>
    </w:p>
    <w:p w14:paraId="488656F2">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4.2.1投标人应在前附表第2.2.2项规定的投标截止时间前递交投标文件。</w:t>
      </w:r>
    </w:p>
    <w:p w14:paraId="496DB10B">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4.2.2投标人递交投标文件的方式：见投标人须知前附表。</w:t>
      </w:r>
    </w:p>
    <w:p w14:paraId="7F4697DD">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4.2.3除投标人须知前附表另有规定外，投标人所递交的投标文件不予退还。</w:t>
      </w:r>
    </w:p>
    <w:p w14:paraId="3356AB1C">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w:t>
      </w:r>
      <w:r>
        <w:rPr>
          <w:rFonts w:hint="eastAsia" w:ascii="宋体" w:hAnsi="宋体" w:eastAsia="宋体" w:cs="宋体"/>
          <w:color w:val="000000"/>
          <w:position w:val="1"/>
          <w:sz w:val="24"/>
          <w:szCs w:val="24"/>
          <w:highlight w:val="none"/>
        </w:rPr>
        <w:t>4电子投标文件递交要求：见投标须知前附表。</w:t>
      </w:r>
    </w:p>
    <w:p w14:paraId="52DBE99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w:t>
      </w:r>
      <w:r>
        <w:rPr>
          <w:rFonts w:hint="eastAsia" w:ascii="宋体" w:hAnsi="宋体" w:eastAsia="宋体" w:cs="宋体"/>
          <w:color w:val="000000"/>
          <w:position w:val="1"/>
          <w:sz w:val="24"/>
          <w:szCs w:val="24"/>
          <w:highlight w:val="none"/>
        </w:rPr>
        <w:t>5电子投标文件的拒收情形：见投标须知前附表。</w:t>
      </w:r>
    </w:p>
    <w:p w14:paraId="1C77D84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4.3</w:t>
      </w:r>
      <w:r>
        <w:rPr>
          <w:rFonts w:ascii="宋体" w:hAnsi="宋体" w:eastAsia="宋体" w:cs="宋体"/>
          <w:color w:val="000000"/>
          <w:sz w:val="24"/>
          <w:szCs w:val="24"/>
          <w:highlight w:val="none"/>
        </w:rPr>
        <w:t>投标文件的修改与撤回</w:t>
      </w:r>
    </w:p>
    <w:p w14:paraId="506021A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4.3.1在前附表第2.2.2项规定的投标截止时间前，投标人可以修改或撤回已递交的投标文件</w:t>
      </w:r>
      <w:r>
        <w:rPr>
          <w:rFonts w:hint="eastAsia" w:ascii="宋体" w:hAnsi="宋体" w:eastAsia="宋体" w:cs="宋体"/>
          <w:color w:val="000000"/>
          <w:position w:val="1"/>
          <w:sz w:val="24"/>
          <w:szCs w:val="24"/>
          <w:highlight w:val="none"/>
        </w:rPr>
        <w:t>，在投标截止时间以后，不能更改投标文件</w:t>
      </w:r>
      <w:r>
        <w:rPr>
          <w:rFonts w:ascii="宋体" w:hAnsi="宋体" w:eastAsia="宋体" w:cs="宋体"/>
          <w:color w:val="000000"/>
          <w:position w:val="1"/>
          <w:sz w:val="24"/>
          <w:szCs w:val="24"/>
          <w:highlight w:val="none"/>
        </w:rPr>
        <w:t>。</w:t>
      </w:r>
    </w:p>
    <w:p w14:paraId="2D0C4BFB">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4.3.2修改的内容为投标文件的组成部分。</w:t>
      </w:r>
      <w:r>
        <w:rPr>
          <w:rFonts w:hint="eastAsia" w:ascii="宋体" w:hAnsi="宋体" w:eastAsia="宋体" w:cs="宋体"/>
          <w:color w:val="000000"/>
          <w:position w:val="1"/>
          <w:sz w:val="24"/>
          <w:szCs w:val="24"/>
          <w:highlight w:val="none"/>
        </w:rPr>
        <w:t>投标人的补充修改，应按规定编制、密封、标志和递交，并在包封上标明“修改”字样</w:t>
      </w:r>
      <w:r>
        <w:rPr>
          <w:rFonts w:ascii="宋体" w:hAnsi="宋体" w:eastAsia="宋体" w:cs="宋体"/>
          <w:color w:val="000000"/>
          <w:position w:val="1"/>
          <w:sz w:val="24"/>
          <w:szCs w:val="24"/>
          <w:highlight w:val="none"/>
        </w:rPr>
        <w:t>。</w:t>
      </w:r>
    </w:p>
    <w:p w14:paraId="20D341A6">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4A62136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4.4</w:t>
      </w:r>
      <w:r>
        <w:rPr>
          <w:rFonts w:ascii="宋体" w:hAnsi="宋体" w:eastAsia="宋体" w:cs="宋体"/>
          <w:color w:val="000000"/>
          <w:sz w:val="24"/>
          <w:szCs w:val="24"/>
          <w:highlight w:val="none"/>
        </w:rPr>
        <w:t>投标文件的拒收情形</w:t>
      </w:r>
    </w:p>
    <w:p w14:paraId="472809C6">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详见投标人须知前附表。</w:t>
      </w:r>
    </w:p>
    <w:p w14:paraId="5ADC6B4A">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5.</w:t>
      </w:r>
      <w:r>
        <w:rPr>
          <w:rFonts w:ascii="宋体" w:hAnsi="宋体" w:eastAsia="宋体" w:cs="宋体"/>
          <w:color w:val="000000"/>
          <w:sz w:val="24"/>
          <w:szCs w:val="24"/>
          <w:highlight w:val="none"/>
        </w:rPr>
        <w:t>开标程序</w:t>
      </w:r>
    </w:p>
    <w:p w14:paraId="1175649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5.1</w:t>
      </w:r>
      <w:r>
        <w:rPr>
          <w:rFonts w:ascii="宋体" w:hAnsi="宋体" w:eastAsia="宋体" w:cs="宋体"/>
          <w:color w:val="000000"/>
          <w:sz w:val="24"/>
          <w:szCs w:val="24"/>
          <w:highlight w:val="none"/>
        </w:rPr>
        <w:t>开标时间和地点、参加开标会议的要求</w:t>
      </w:r>
    </w:p>
    <w:p w14:paraId="37B78959">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348831C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5.2</w:t>
      </w:r>
      <w:r>
        <w:rPr>
          <w:rFonts w:ascii="宋体" w:hAnsi="宋体" w:eastAsia="宋体" w:cs="宋体"/>
          <w:color w:val="000000"/>
          <w:sz w:val="24"/>
          <w:szCs w:val="24"/>
          <w:highlight w:val="none"/>
        </w:rPr>
        <w:t>开标</w:t>
      </w:r>
    </w:p>
    <w:p w14:paraId="66D7158E">
      <w:pPr>
        <w:spacing w:line="420" w:lineRule="exact"/>
        <w:ind w:firstLine="495"/>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主持人按下列程序进行开标：</w:t>
      </w:r>
    </w:p>
    <w:p w14:paraId="3B1F0CA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5.2.1</w:t>
      </w:r>
      <w:r>
        <w:rPr>
          <w:rFonts w:hint="eastAsia" w:ascii="宋体" w:hAnsi="宋体" w:eastAsia="宋体" w:cs="宋体"/>
          <w:color w:val="000000"/>
          <w:position w:val="1"/>
          <w:sz w:val="24"/>
          <w:szCs w:val="24"/>
          <w:highlight w:val="none"/>
        </w:rPr>
        <w:t>宣布开标开始，介绍到会单位及人员；</w:t>
      </w:r>
    </w:p>
    <w:p w14:paraId="0ED66F5B">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5.2.2</w:t>
      </w:r>
      <w:r>
        <w:rPr>
          <w:rFonts w:hint="eastAsia" w:ascii="宋体" w:hAnsi="宋体" w:eastAsia="宋体" w:cs="宋体"/>
          <w:color w:val="000000"/>
          <w:position w:val="1"/>
          <w:sz w:val="24"/>
          <w:szCs w:val="24"/>
          <w:highlight w:val="none"/>
        </w:rPr>
        <w:t>招标人公布投标人数量及保证金缴纳情况。若递交投标文件的单位数量少于</w:t>
      </w:r>
      <w:r>
        <w:rPr>
          <w:rFonts w:ascii="宋体" w:hAnsi="宋体" w:eastAsia="宋体" w:cs="宋体"/>
          <w:color w:val="000000"/>
          <w:position w:val="1"/>
          <w:sz w:val="24"/>
          <w:szCs w:val="24"/>
          <w:highlight w:val="none"/>
        </w:rPr>
        <w:t>3</w:t>
      </w:r>
      <w:r>
        <w:rPr>
          <w:rFonts w:hint="eastAsia" w:ascii="宋体" w:hAnsi="宋体" w:eastAsia="宋体" w:cs="宋体"/>
          <w:color w:val="000000"/>
          <w:position w:val="1"/>
          <w:sz w:val="24"/>
          <w:szCs w:val="24"/>
          <w:highlight w:val="none"/>
        </w:rPr>
        <w:t>家，招标人公布已递交投标文件单位名称，宣布本次招标失败；</w:t>
      </w:r>
    </w:p>
    <w:p w14:paraId="060A9984">
      <w:pPr>
        <w:spacing w:line="420" w:lineRule="exact"/>
        <w:ind w:firstLine="495"/>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5.2.3</w:t>
      </w:r>
      <w:r>
        <w:rPr>
          <w:rFonts w:ascii="宋体" w:hAnsi="宋体" w:eastAsia="宋体" w:cs="宋体"/>
          <w:color w:val="000000"/>
          <w:position w:val="1"/>
          <w:sz w:val="24"/>
          <w:szCs w:val="24"/>
          <w:highlight w:val="none"/>
        </w:rPr>
        <w:t>递交投标文件的投标人数量大于等于3家，进入投标文件启封或投标人解密环节。若成功解密的投标人少于3家，招标人宣布本次招标失败</w:t>
      </w:r>
      <w:r>
        <w:rPr>
          <w:rFonts w:hint="eastAsia" w:ascii="宋体" w:hAnsi="宋体" w:eastAsia="宋体" w:cs="宋体"/>
          <w:color w:val="000000"/>
          <w:position w:val="1"/>
          <w:sz w:val="24"/>
          <w:szCs w:val="24"/>
          <w:highlight w:val="none"/>
        </w:rPr>
        <w:t>；</w:t>
      </w:r>
    </w:p>
    <w:p w14:paraId="2C7CBB03">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4评标委员会对投标人进行资格审查（资格后审）；</w:t>
      </w:r>
    </w:p>
    <w:p w14:paraId="7C138B60">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5启封</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，评标委员会对投标人的</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进行综合评议并打分；</w:t>
      </w:r>
    </w:p>
    <w:p w14:paraId="5B32C69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6宣布各投标人</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得分；</w:t>
      </w:r>
    </w:p>
    <w:p w14:paraId="5730DD7C">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7启封商务标，评标委员会对商务标进行评议并计算得分，宣布商务标得分；</w:t>
      </w:r>
    </w:p>
    <w:p w14:paraId="166D648E">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8宣布各投标人总得分；</w:t>
      </w:r>
    </w:p>
    <w:p w14:paraId="176CB5E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9宣布中标候选人；</w:t>
      </w:r>
    </w:p>
    <w:p w14:paraId="080E5AE0">
      <w:pPr>
        <w:spacing w:line="400" w:lineRule="exact"/>
        <w:jc w:val="both"/>
        <w:outlineLvl w:val="3"/>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5.3不见面开标软硬件要求</w:t>
      </w:r>
    </w:p>
    <w:p w14:paraId="09D8C0A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（一）建议电脑配置：4G以上内存，MicrosoftWindows7以上操作系统，正版office软件，及相应的配套硬件设备（摄像头、耳机、麦克风等）。</w:t>
      </w:r>
    </w:p>
    <w:p w14:paraId="7A35F13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 50M 以上网络带宽连接。</w:t>
      </w:r>
    </w:p>
    <w:p w14:paraId="69BDF79A">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（三）安装浙江省公共资源交易CA签章互认驱动及开标大厅直播播放器。相关软件可在绍兴公共资源交易网（按各平台情况填写）下载专区页面下载。</w:t>
      </w:r>
    </w:p>
    <w:p w14:paraId="5044F8D7">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（四）使用MicrosoftInternetExplorer11（IE 11）及以上浏览器，加入可信任站点，添加兼容性视图设置修改 Activex控件和插件设置，关闭弹出窗口拦截。</w:t>
      </w:r>
    </w:p>
    <w:p w14:paraId="149B13D8">
      <w:pPr>
        <w:spacing w:line="400" w:lineRule="exact"/>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5.4特殊情况的处置</w:t>
      </w:r>
    </w:p>
    <w:p w14:paraId="4C54AE52">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5.4.1特殊情况的处置</w:t>
      </w:r>
    </w:p>
    <w:p w14:paraId="49FB193E">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（一）因网络、系统、电力等不可抗力因素延期开标的，需更新制作投标文件并按招标文件要求重新递交。</w:t>
      </w:r>
    </w:p>
    <w:p w14:paraId="47F82A88">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23F1971D">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（三）投标人电脑终端的硬件设备和软件系统配置必须符合不见面开标技术要求并运行正常，否则投标人自行承担不利后果。</w:t>
      </w:r>
    </w:p>
    <w:p w14:paraId="7DD90E1B">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5.4.2开标特别说明</w:t>
      </w:r>
    </w:p>
    <w:p w14:paraId="23B7E7B4">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（一）开标解密使用投标人上传的加密电子投标文件。</w:t>
      </w:r>
    </w:p>
    <w:p w14:paraId="3185E2F6">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28C09A0A">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（三）部分投标人的电子文件无法解密的，其他投标文件的开标可以继续进行。</w:t>
      </w:r>
    </w:p>
    <w:p w14:paraId="2B4F53E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07C2018E">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（五）投标人应实时关注不见面开标系统页面，观看开标全过程，并根据需要，使用不见面</w:t>
      </w:r>
    </w:p>
    <w:p w14:paraId="4C4E0146">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47ED704F">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未及时登录不见面开标系统参与在线开标，投标人将无法及时获取解密指令、废标、澄清、唱标、评审结果等实时情况。投标人应自行承担由此引起的相关风险。</w:t>
      </w:r>
    </w:p>
    <w:p w14:paraId="465CD746">
      <w:pPr>
        <w:spacing w:line="400" w:lineRule="exact"/>
        <w:ind w:firstLine="470" w:firstLineChars="196"/>
        <w:rPr>
          <w:rFonts w:ascii="宋体" w:hAnsi="宋体" w:eastAsia="宋体"/>
          <w:color w:val="000000"/>
          <w:sz w:val="24"/>
          <w:szCs w:val="24"/>
          <w:highlight w:val="none"/>
        </w:rPr>
      </w:pPr>
      <w:r>
        <w:rPr>
          <w:rFonts w:hint="eastAsia" w:ascii="宋体" w:hAnsi="宋体" w:eastAsia="宋体"/>
          <w:color w:val="000000"/>
          <w:sz w:val="24"/>
          <w:szCs w:val="24"/>
          <w:highlight w:val="none"/>
        </w:rPr>
        <w:t>5.4.3其他:见投标人须知前附表。</w:t>
      </w:r>
    </w:p>
    <w:p w14:paraId="27B91E3D">
      <w:pPr>
        <w:widowControl w:val="0"/>
        <w:kinsoku/>
        <w:autoSpaceDE/>
        <w:autoSpaceDN/>
        <w:adjustRightInd/>
        <w:snapToGrid/>
        <w:spacing w:line="360" w:lineRule="auto"/>
        <w:jc w:val="both"/>
        <w:textAlignment w:val="auto"/>
        <w:outlineLvl w:val="1"/>
        <w:rPr>
          <w:rFonts w:ascii="宋体" w:hAnsi="宋体" w:eastAsia="宋体" w:cs="Times New Roman"/>
          <w:b/>
          <w:bCs/>
          <w:snapToGrid/>
          <w:color w:val="000000"/>
          <w:kern w:val="2"/>
          <w:sz w:val="24"/>
          <w:szCs w:val="24"/>
          <w:highlight w:val="none"/>
        </w:rPr>
      </w:pPr>
      <w:bookmarkStart w:id="6" w:name="_Toc462184031"/>
      <w:bookmarkStart w:id="7" w:name="_Toc153981473"/>
      <w:bookmarkStart w:id="8" w:name="_Toc24644"/>
      <w:bookmarkStart w:id="9" w:name="_Toc31702"/>
      <w:bookmarkStart w:id="10" w:name="_Toc22455"/>
      <w:bookmarkStart w:id="11" w:name="_Toc15636"/>
      <w:bookmarkStart w:id="12" w:name="_Toc24156"/>
      <w:bookmarkStart w:id="13" w:name="_Toc24695"/>
      <w:bookmarkStart w:id="14" w:name="_Toc22922"/>
      <w:bookmarkStart w:id="15" w:name="_Toc9230"/>
      <w:bookmarkStart w:id="16" w:name="_Toc27905"/>
      <w:bookmarkStart w:id="17" w:name="_Toc16092"/>
      <w:bookmarkStart w:id="18" w:name="_Toc25932"/>
      <w:r>
        <w:rPr>
          <w:rFonts w:hint="eastAsia" w:ascii="宋体" w:hAnsi="宋体" w:eastAsia="宋体" w:cs="Times New Roman"/>
          <w:b/>
          <w:bCs/>
          <w:snapToGrid/>
          <w:color w:val="000000"/>
          <w:kern w:val="2"/>
          <w:sz w:val="24"/>
          <w:szCs w:val="24"/>
          <w:highlight w:val="none"/>
        </w:rPr>
        <w:t>6</w:t>
      </w:r>
      <w:r>
        <w:rPr>
          <w:rFonts w:ascii="宋体" w:hAnsi="宋体" w:eastAsia="宋体" w:cs="Times New Roman"/>
          <w:b/>
          <w:bCs/>
          <w:snapToGrid/>
          <w:color w:val="000000"/>
          <w:kern w:val="2"/>
          <w:sz w:val="24"/>
          <w:szCs w:val="24"/>
          <w:highlight w:val="none"/>
        </w:rPr>
        <w:t xml:space="preserve">. </w:t>
      </w:r>
      <w:r>
        <w:rPr>
          <w:rFonts w:hint="eastAsia" w:ascii="宋体" w:hAnsi="宋体" w:eastAsia="宋体" w:cs="Times New Roman"/>
          <w:b/>
          <w:bCs/>
          <w:snapToGrid/>
          <w:color w:val="000000"/>
          <w:kern w:val="2"/>
          <w:sz w:val="24"/>
          <w:szCs w:val="24"/>
          <w:highlight w:val="none"/>
        </w:rPr>
        <w:t>评标</w:t>
      </w:r>
      <w:bookmarkEnd w:id="6"/>
      <w:bookmarkEnd w:id="7"/>
      <w:bookmarkEnd w:id="8"/>
      <w:bookmarkEnd w:id="9"/>
      <w:bookmarkEnd w:id="10"/>
      <w:bookmarkEnd w:id="11"/>
      <w:bookmarkEnd w:id="12"/>
      <w:bookmarkEnd w:id="13"/>
      <w:bookmarkEnd w:id="14"/>
      <w:bookmarkEnd w:id="15"/>
      <w:bookmarkEnd w:id="16"/>
      <w:bookmarkEnd w:id="17"/>
      <w:bookmarkEnd w:id="18"/>
    </w:p>
    <w:p w14:paraId="1ADFA5CB">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19" w:name="_Toc193449944"/>
      <w:r>
        <w:rPr>
          <w:rFonts w:hint="eastAsia" w:ascii="宋体" w:hAnsi="Times New Roman" w:eastAsia="宋体" w:cs="Times New Roman"/>
          <w:b/>
          <w:snapToGrid/>
          <w:color w:val="000000"/>
          <w:kern w:val="2"/>
          <w:sz w:val="24"/>
          <w:szCs w:val="24"/>
          <w:highlight w:val="none"/>
        </w:rPr>
        <w:t>6.1 评标委员会</w:t>
      </w:r>
      <w:bookmarkEnd w:id="19"/>
    </w:p>
    <w:p w14:paraId="239DCD65">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398D045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 评标委员会成员有下列情形之一的，应当回避：</w:t>
      </w:r>
    </w:p>
    <w:p w14:paraId="7F8F2AB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6.1.2.1 投标人或投标人的主要负责人及其拟派项目负责人的近亲属；</w:t>
      </w:r>
    </w:p>
    <w:p w14:paraId="0A16EAC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6.1.2.2 项目主管部门或者行政监督部门的人员：</w:t>
      </w:r>
    </w:p>
    <w:p w14:paraId="793A7423">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6.1.2.3 与投标人有经济利益关系，可能影响对投标公正评审的；</w:t>
      </w:r>
    </w:p>
    <w:p w14:paraId="483243A5">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6.1.2.4 曾因在招标、评标以及其他与招标投标有关活动中有过不良行为或从事违法行为而受过行政处罚或刑事处罚的。</w:t>
      </w:r>
    </w:p>
    <w:p w14:paraId="7A895B2E">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20" w:name="_Toc193449945"/>
      <w:r>
        <w:rPr>
          <w:rFonts w:hint="eastAsia" w:ascii="宋体" w:hAnsi="Times New Roman" w:eastAsia="宋体" w:cs="Times New Roman"/>
          <w:b/>
          <w:snapToGrid/>
          <w:color w:val="000000"/>
          <w:kern w:val="2"/>
          <w:sz w:val="24"/>
          <w:szCs w:val="24"/>
          <w:highlight w:val="none"/>
        </w:rPr>
        <w:t xml:space="preserve">6.2 评标原则 </w:t>
      </w:r>
    </w:p>
    <w:p w14:paraId="60DC304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评标活动遵循公平、公正、科学、择优的原则。</w:t>
      </w:r>
    </w:p>
    <w:p w14:paraId="6E79E221">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6.3 评标过程的保密</w:t>
      </w:r>
      <w:bookmarkEnd w:id="20"/>
    </w:p>
    <w:p w14:paraId="5EFD123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6.3.1 开标后，直至授予中标人合同为止，凡属于对投标文件的审查、澄清、评价和比较的有关资料，以及与评标有关的其他任何情况均应严格保密。</w:t>
      </w:r>
    </w:p>
    <w:p w14:paraId="3095E01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6.3.2 在投标文件的评审和比较、中标候选人推荐以及授予合同的过程中，投标人向招标人和评标委员会施加影响的任何行为，都将会导致其投标被拒绝。</w:t>
      </w:r>
    </w:p>
    <w:p w14:paraId="5EC88D9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6.3.3 中标人确定后，招标人不对未中标人就评标过程以及未能中标原因作出任何解释。</w:t>
      </w:r>
    </w:p>
    <w:p w14:paraId="149FE65A">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21" w:name="_Toc193449946"/>
      <w:r>
        <w:rPr>
          <w:rFonts w:hint="eastAsia" w:ascii="宋体" w:hAnsi="Times New Roman" w:eastAsia="宋体" w:cs="Times New Roman"/>
          <w:b/>
          <w:snapToGrid/>
          <w:color w:val="000000"/>
          <w:kern w:val="2"/>
          <w:sz w:val="24"/>
          <w:szCs w:val="24"/>
          <w:highlight w:val="none"/>
        </w:rPr>
        <w:t>6.4 评标</w:t>
      </w:r>
      <w:bookmarkEnd w:id="21"/>
    </w:p>
    <w:p w14:paraId="26D84BCB">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000000"/>
          <w:kern w:val="2"/>
          <w:sz w:val="24"/>
          <w:szCs w:val="24"/>
          <w:highlight w:val="none"/>
        </w:rPr>
      </w:pPr>
      <w:r>
        <w:rPr>
          <w:rFonts w:hint="eastAsia" w:ascii="宋体" w:hAnsi="宋体" w:eastAsia="宋体" w:cs="Times New Roman"/>
          <w:snapToGrid/>
          <w:color w:val="000000"/>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1A56AC82">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000000"/>
          <w:kern w:val="2"/>
          <w:sz w:val="24"/>
          <w:szCs w:val="24"/>
          <w:highlight w:val="none"/>
        </w:rPr>
      </w:pPr>
      <w:r>
        <w:rPr>
          <w:rFonts w:ascii="宋体" w:hAnsi="宋体" w:eastAsia="宋体" w:cs="Times New Roman"/>
          <w:snapToGrid/>
          <w:color w:val="000000"/>
          <w:kern w:val="2"/>
          <w:sz w:val="24"/>
          <w:szCs w:val="24"/>
          <w:highlight w:val="none"/>
        </w:rPr>
        <w:t>6.</w:t>
      </w:r>
      <w:r>
        <w:rPr>
          <w:rFonts w:hint="eastAsia" w:ascii="宋体" w:hAnsi="宋体" w:eastAsia="宋体" w:cs="Times New Roman"/>
          <w:snapToGrid/>
          <w:color w:val="000000"/>
          <w:kern w:val="2"/>
          <w:sz w:val="24"/>
          <w:szCs w:val="24"/>
          <w:highlight w:val="none"/>
        </w:rPr>
        <w:t>4</w:t>
      </w:r>
      <w:r>
        <w:rPr>
          <w:rFonts w:ascii="宋体" w:hAnsi="宋体" w:eastAsia="宋体" w:cs="Times New Roman"/>
          <w:snapToGrid/>
          <w:color w:val="000000"/>
          <w:kern w:val="2"/>
          <w:sz w:val="24"/>
          <w:szCs w:val="24"/>
          <w:highlight w:val="none"/>
        </w:rPr>
        <w:t>.2评标完成后，评标委员会应当向招标人提交书面评标报告和中标候选人名单。评标委员会推荐中标候选人的人数见投标人须知前附表。</w:t>
      </w:r>
    </w:p>
    <w:p w14:paraId="0D275986">
      <w:pPr>
        <w:keepNext/>
        <w:keepLines/>
        <w:widowControl w:val="0"/>
        <w:kinsoku/>
        <w:autoSpaceDE/>
        <w:autoSpaceDN/>
        <w:adjustRightInd/>
        <w:snapToGrid/>
        <w:spacing w:before="120" w:beforeLines="50" w:line="360" w:lineRule="auto"/>
        <w:jc w:val="both"/>
        <w:textAlignment w:val="auto"/>
        <w:outlineLvl w:val="1"/>
        <w:rPr>
          <w:rFonts w:ascii="宋体" w:hAnsi="宋体" w:eastAsia="宋体" w:cs="Times New Roman"/>
          <w:b/>
          <w:bCs/>
          <w:snapToGrid/>
          <w:color w:val="000000"/>
          <w:kern w:val="2"/>
          <w:sz w:val="24"/>
          <w:szCs w:val="24"/>
          <w:highlight w:val="none"/>
        </w:rPr>
      </w:pPr>
      <w:bookmarkStart w:id="22" w:name="_Toc28153"/>
      <w:bookmarkStart w:id="23" w:name="_Toc153981474"/>
      <w:bookmarkStart w:id="24" w:name="_Toc8865"/>
      <w:bookmarkStart w:id="25" w:name="_Toc29415"/>
      <w:bookmarkStart w:id="26" w:name="_Toc17051"/>
      <w:bookmarkStart w:id="27" w:name="_Toc462184032"/>
      <w:bookmarkStart w:id="28" w:name="_Toc28621"/>
      <w:bookmarkStart w:id="29" w:name="_Toc7704"/>
      <w:bookmarkStart w:id="30" w:name="_Toc11303"/>
      <w:bookmarkStart w:id="31" w:name="_Toc18956"/>
      <w:bookmarkStart w:id="32" w:name="_Toc21714"/>
      <w:bookmarkStart w:id="33" w:name="_Toc12652"/>
      <w:bookmarkStart w:id="34" w:name="_Toc13493"/>
      <w:r>
        <w:rPr>
          <w:rFonts w:hint="eastAsia" w:ascii="宋体" w:hAnsi="宋体" w:eastAsia="宋体" w:cs="Times New Roman"/>
          <w:b/>
          <w:bCs/>
          <w:snapToGrid/>
          <w:color w:val="000000"/>
          <w:kern w:val="2"/>
          <w:sz w:val="24"/>
          <w:szCs w:val="24"/>
          <w:highlight w:val="none"/>
        </w:rPr>
        <w:t>7</w:t>
      </w:r>
      <w:r>
        <w:rPr>
          <w:rFonts w:ascii="宋体" w:hAnsi="宋体" w:eastAsia="宋体" w:cs="Times New Roman"/>
          <w:b/>
          <w:bCs/>
          <w:snapToGrid/>
          <w:color w:val="000000"/>
          <w:kern w:val="2"/>
          <w:sz w:val="24"/>
          <w:szCs w:val="24"/>
          <w:highlight w:val="none"/>
        </w:rPr>
        <w:t xml:space="preserve">. </w:t>
      </w:r>
      <w:r>
        <w:rPr>
          <w:rFonts w:hint="eastAsia" w:ascii="宋体" w:hAnsi="宋体" w:eastAsia="宋体" w:cs="Times New Roman"/>
          <w:b/>
          <w:bCs/>
          <w:snapToGrid/>
          <w:color w:val="000000"/>
          <w:kern w:val="2"/>
          <w:sz w:val="24"/>
          <w:szCs w:val="24"/>
          <w:highlight w:val="none"/>
        </w:rPr>
        <w:t>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1C0C9F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lang w:eastAsia="zh-CN"/>
        </w:rPr>
        <w:t>☑</w:t>
      </w:r>
      <w:r>
        <w:rPr>
          <w:rFonts w:hint="eastAsia" w:ascii="宋体" w:hAnsi="Times New Roman" w:eastAsia="宋体" w:cs="Times New Roman"/>
          <w:snapToGrid/>
          <w:color w:val="000000"/>
          <w:kern w:val="2"/>
          <w:sz w:val="24"/>
          <w:szCs w:val="24"/>
          <w:highlight w:val="none"/>
        </w:rPr>
        <w:t>7.1 定标方式</w:t>
      </w:r>
    </w:p>
    <w:p w14:paraId="1A607A7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5D5814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授权评标委员会推荐中标候选人的见投标人须知前附表。</w:t>
      </w:r>
    </w:p>
    <w:p w14:paraId="1230134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trike w:val="0"/>
          <w:dstrike w:val="0"/>
          <w:snapToGrid/>
          <w:color w:val="000000"/>
          <w:kern w:val="2"/>
          <w:sz w:val="24"/>
          <w:szCs w:val="24"/>
          <w:highlight w:val="none"/>
        </w:rPr>
      </w:pPr>
      <w:r>
        <w:rPr>
          <w:rFonts w:hint="eastAsia" w:ascii="宋体" w:hAnsi="Times New Roman" w:eastAsia="宋体" w:cs="Times New Roman"/>
          <w:strike w:val="0"/>
          <w:dstrike w:val="0"/>
          <w:snapToGrid/>
          <w:color w:val="000000"/>
          <w:kern w:val="2"/>
          <w:sz w:val="24"/>
          <w:szCs w:val="24"/>
          <w:highlight w:val="none"/>
          <w:lang w:eastAsia="zh-CN"/>
        </w:rPr>
        <w:t>□</w:t>
      </w:r>
      <w:r>
        <w:rPr>
          <w:rFonts w:hint="eastAsia" w:ascii="宋体" w:hAnsi="Times New Roman" w:eastAsia="宋体" w:cs="Times New Roman"/>
          <w:strike w:val="0"/>
          <w:dstrike w:val="0"/>
          <w:snapToGrid/>
          <w:color w:val="000000"/>
          <w:kern w:val="2"/>
          <w:sz w:val="24"/>
          <w:szCs w:val="24"/>
          <w:highlight w:val="none"/>
        </w:rPr>
        <w:t>7.1 定标方式（</w:t>
      </w:r>
      <w:r>
        <w:rPr>
          <w:rFonts w:hint="eastAsia" w:ascii="宋体" w:hAnsi="宋体" w:eastAsia="宋体" w:cs="宋体"/>
          <w:strike w:val="0"/>
          <w:dstrike w:val="0"/>
          <w:snapToGrid/>
          <w:color w:val="000000"/>
          <w:kern w:val="2"/>
          <w:sz w:val="24"/>
          <w:szCs w:val="24"/>
          <w:highlight w:val="none"/>
        </w:rPr>
        <w:t>适用“评定分离”</w:t>
      </w:r>
      <w:r>
        <w:rPr>
          <w:rFonts w:hint="eastAsia" w:ascii="宋体" w:hAnsi="Times New Roman" w:eastAsia="宋体" w:cs="Times New Roman"/>
          <w:strike w:val="0"/>
          <w:dstrike w:val="0"/>
          <w:snapToGrid/>
          <w:color w:val="000000"/>
          <w:kern w:val="2"/>
          <w:sz w:val="24"/>
          <w:szCs w:val="24"/>
          <w:highlight w:val="none"/>
        </w:rPr>
        <w:t>）</w:t>
      </w:r>
    </w:p>
    <w:p w14:paraId="3437090B">
      <w:pPr>
        <w:widowControl w:val="0"/>
        <w:kinsoku/>
        <w:autoSpaceDE/>
        <w:autoSpaceDN/>
        <w:adjustRightInd/>
        <w:snapToGrid/>
        <w:spacing w:line="360" w:lineRule="auto"/>
        <w:ind w:firstLine="480" w:firstLineChars="200"/>
        <w:jc w:val="both"/>
        <w:textAlignment w:val="auto"/>
        <w:rPr>
          <w:rFonts w:hint="eastAsia" w:ascii="宋体" w:hAnsi="Times New Roman" w:eastAsia="宋体" w:cs="Times New Roman"/>
          <w:strike w:val="0"/>
          <w:dstrike w:val="0"/>
          <w:snapToGrid/>
          <w:color w:val="000000"/>
          <w:kern w:val="2"/>
          <w:sz w:val="24"/>
          <w:szCs w:val="24"/>
          <w:highlight w:val="none"/>
        </w:rPr>
      </w:pPr>
      <w:r>
        <w:rPr>
          <w:rFonts w:hint="eastAsia" w:ascii="宋体" w:hAnsi="Times New Roman" w:eastAsia="宋体" w:cs="Times New Roman"/>
          <w:strike w:val="0"/>
          <w:dstrike w:val="0"/>
          <w:snapToGrid/>
          <w:color w:val="000000"/>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BB6309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7.1.1中标候选人公示</w:t>
      </w:r>
    </w:p>
    <w:p w14:paraId="23B91A6F">
      <w:pPr>
        <w:widowControl w:val="0"/>
        <w:kinsoku/>
        <w:autoSpaceDE/>
        <w:autoSpaceDN/>
        <w:adjustRightInd/>
        <w:snapToGrid/>
        <w:spacing w:line="360" w:lineRule="auto"/>
        <w:ind w:firstLine="480" w:firstLineChars="200"/>
        <w:jc w:val="both"/>
        <w:textAlignment w:val="auto"/>
        <w:rPr>
          <w:rFonts w:ascii="宋体" w:hAnsi="宋体" w:eastAsia="宋体" w:cs="宋体"/>
          <w:snapToGrid/>
          <w:color w:val="000000"/>
          <w:kern w:val="2"/>
          <w:sz w:val="24"/>
          <w:szCs w:val="24"/>
          <w:highlight w:val="none"/>
        </w:rPr>
      </w:pPr>
      <w:r>
        <w:rPr>
          <w:rFonts w:hint="eastAsia" w:ascii="宋体" w:hAnsi="宋体" w:eastAsia="宋体" w:cs="宋体"/>
          <w:snapToGrid/>
          <w:color w:val="000000"/>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35A184EF">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7.1.2定标会议时间和地点</w:t>
      </w:r>
    </w:p>
    <w:p w14:paraId="5FC5147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招标人在投标须知前附表规定的时间和地点召</w:t>
      </w:r>
      <w:r>
        <w:rPr>
          <w:rFonts w:ascii="宋体" w:hAnsi="Times New Roman" w:eastAsia="宋体" w:cs="Times New Roman"/>
          <w:snapToGrid/>
          <w:color w:val="000000"/>
          <w:kern w:val="2"/>
          <w:sz w:val="24"/>
          <w:szCs w:val="24"/>
          <w:highlight w:val="none"/>
        </w:rPr>
        <w:t>开定标会议，</w:t>
      </w:r>
      <w:r>
        <w:rPr>
          <w:rFonts w:hint="eastAsia" w:ascii="宋体" w:hAnsi="Times New Roman" w:eastAsia="宋体" w:cs="Times New Roman"/>
          <w:snapToGrid/>
          <w:color w:val="000000"/>
          <w:kern w:val="2"/>
          <w:sz w:val="24"/>
          <w:szCs w:val="24"/>
          <w:highlight w:val="none"/>
        </w:rPr>
        <w:t>并全程录音录像。</w:t>
      </w:r>
    </w:p>
    <w:p w14:paraId="394230FF">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7.1.3 定标委员会的组成见投标人须知前附表。定标委员会成员与中标候选人有利害关系的应主动说明并申请回避，定</w:t>
      </w:r>
      <w:r>
        <w:rPr>
          <w:rFonts w:ascii="宋体" w:hAnsi="Times New Roman" w:eastAsia="宋体" w:cs="Times New Roman"/>
          <w:snapToGrid/>
          <w:color w:val="000000"/>
          <w:kern w:val="2"/>
          <w:sz w:val="24"/>
          <w:szCs w:val="24"/>
          <w:highlight w:val="none"/>
        </w:rPr>
        <w:t>标委员会名单在中标结果确定前保密</w:t>
      </w:r>
      <w:r>
        <w:rPr>
          <w:rFonts w:hint="eastAsia" w:ascii="宋体" w:hAnsi="Times New Roman" w:eastAsia="宋体" w:cs="Times New Roman"/>
          <w:snapToGrid/>
          <w:color w:val="000000"/>
          <w:kern w:val="2"/>
          <w:sz w:val="24"/>
          <w:szCs w:val="24"/>
          <w:highlight w:val="none"/>
        </w:rPr>
        <w:t>。</w:t>
      </w:r>
    </w:p>
    <w:p w14:paraId="6C4AB30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 定标要素</w:t>
      </w:r>
    </w:p>
    <w:p w14:paraId="0A0028D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7.1.4.1招标人可在投标须知前附表规定的时间前对所有中标候选人进行考</w:t>
      </w:r>
      <w:r>
        <w:rPr>
          <w:rFonts w:ascii="宋体" w:hAnsi="Times New Roman" w:eastAsia="宋体" w:cs="Times New Roman"/>
          <w:snapToGrid/>
          <w:color w:val="000000"/>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hAnsi="Times New Roman" w:eastAsia="宋体" w:cs="Times New Roman"/>
          <w:snapToGrid/>
          <w:color w:val="000000"/>
          <w:kern w:val="2"/>
          <w:sz w:val="24"/>
          <w:szCs w:val="24"/>
          <w:highlight w:val="none"/>
        </w:rPr>
        <w:t>。</w:t>
      </w:r>
    </w:p>
    <w:p w14:paraId="3389CB59">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7.1.4.2</w:t>
      </w:r>
      <w:r>
        <w:rPr>
          <w:rFonts w:ascii="宋体" w:hAnsi="Times New Roman" w:eastAsia="宋体" w:cs="Times New Roman"/>
          <w:snapToGrid/>
          <w:color w:val="000000"/>
          <w:kern w:val="2"/>
          <w:sz w:val="24"/>
          <w:szCs w:val="24"/>
          <w:highlight w:val="none"/>
        </w:rPr>
        <w:t>招标人在定标阶段对中标候选人（联合体投标的，为联合体牵头人）的法定代表人</w:t>
      </w:r>
      <w:r>
        <w:rPr>
          <w:rFonts w:hint="eastAsia" w:ascii="宋体" w:hAnsi="Times New Roman" w:eastAsia="宋体" w:cs="Times New Roman"/>
          <w:snapToGrid/>
          <w:color w:val="000000"/>
          <w:kern w:val="2"/>
          <w:sz w:val="24"/>
          <w:szCs w:val="24"/>
          <w:highlight w:val="none"/>
        </w:rPr>
        <w:t>、</w:t>
      </w:r>
      <w:r>
        <w:rPr>
          <w:rFonts w:ascii="宋体" w:hAnsi="Times New Roman" w:eastAsia="宋体" w:cs="Times New Roman"/>
          <w:snapToGrid/>
          <w:color w:val="000000"/>
          <w:kern w:val="2"/>
          <w:sz w:val="24"/>
          <w:szCs w:val="24"/>
          <w:highlight w:val="none"/>
        </w:rPr>
        <w:t>拟派项目负责人开展现场面试。现场面试由定标委员会具体实施。</w:t>
      </w:r>
    </w:p>
    <w:p w14:paraId="15A810C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1.4.3</w:t>
      </w:r>
      <w:r>
        <w:rPr>
          <w:rFonts w:ascii="宋体" w:hAnsi="Times New Roman" w:eastAsia="宋体" w:cs="Times New Roman"/>
          <w:snapToGrid/>
          <w:color w:val="000000"/>
          <w:kern w:val="2"/>
          <w:sz w:val="24"/>
          <w:szCs w:val="24"/>
          <w:highlight w:val="none"/>
        </w:rPr>
        <w:t xml:space="preserve">定标要素应参考评标委员会评标报告、质询或考察报告、现场面试情况，此外，还可以包含以下要素： </w:t>
      </w:r>
    </w:p>
    <w:p w14:paraId="318E780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（1）价格因素：主要包括商务报价高低、不平衡报价情况等； </w:t>
      </w:r>
    </w:p>
    <w:p w14:paraId="47265E0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（2）企业实力：主要包括企业规模、资质等级、专业技术人员规模、近年的财务状况、过往业绩（含业绩影响力、难易程度）等； </w:t>
      </w:r>
    </w:p>
    <w:p w14:paraId="523F8B4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（3）企业信誉：主要包括企业信用情况、过往业绩履约情况、建设单位履约评价情况等（可查询全国和浙江省建筑市场监管公共服务系统等）； </w:t>
      </w:r>
    </w:p>
    <w:p w14:paraId="20B63C5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（4）投标方案：主要包括</w:t>
      </w:r>
      <w:r>
        <w:rPr>
          <w:rFonts w:hint="eastAsia" w:ascii="宋体" w:hAnsi="Times New Roman" w:eastAsia="宋体" w:cs="Times New Roman"/>
          <w:snapToGrid/>
          <w:color w:val="000000"/>
          <w:kern w:val="2"/>
          <w:sz w:val="24"/>
          <w:szCs w:val="24"/>
          <w:highlight w:val="none"/>
        </w:rPr>
        <w:t>设计方案</w:t>
      </w:r>
      <w:r>
        <w:rPr>
          <w:rFonts w:ascii="宋体" w:hAnsi="Times New Roman" w:eastAsia="宋体" w:cs="Times New Roman"/>
          <w:snapToGrid/>
          <w:color w:val="000000"/>
          <w:kern w:val="2"/>
          <w:sz w:val="24"/>
          <w:szCs w:val="24"/>
          <w:highlight w:val="none"/>
        </w:rPr>
        <w:t>情况、</w:t>
      </w:r>
      <w:r>
        <w:rPr>
          <w:rFonts w:hint="eastAsia" w:ascii="宋体" w:hAnsi="Times New Roman" w:eastAsia="宋体" w:cs="Times New Roman"/>
          <w:snapToGrid/>
          <w:color w:val="000000"/>
          <w:kern w:val="2"/>
          <w:sz w:val="24"/>
          <w:szCs w:val="24"/>
          <w:highlight w:val="none"/>
        </w:rPr>
        <w:t>设计</w:t>
      </w:r>
      <w:r>
        <w:rPr>
          <w:rFonts w:ascii="宋体" w:hAnsi="Times New Roman" w:eastAsia="宋体" w:cs="Times New Roman"/>
          <w:snapToGrid/>
          <w:color w:val="000000"/>
          <w:kern w:val="2"/>
          <w:sz w:val="24"/>
          <w:szCs w:val="24"/>
          <w:highlight w:val="none"/>
        </w:rPr>
        <w:t xml:space="preserve">重难点解决方案等； </w:t>
      </w:r>
    </w:p>
    <w:p w14:paraId="13295A6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（5）拟派团队能力与水平：主要包括团队主要负责人类似工程业绩、拟派项目团队人员的资信实力等； </w:t>
      </w:r>
    </w:p>
    <w:p w14:paraId="549C3DA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（6）联合体投标的，联合体组成情况； </w:t>
      </w:r>
    </w:p>
    <w:p w14:paraId="11A0B06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w:t>
      </w:r>
      <w:r>
        <w:rPr>
          <w:rFonts w:hint="eastAsia" w:ascii="宋体" w:hAnsi="Times New Roman" w:eastAsia="宋体" w:cs="Times New Roman"/>
          <w:snapToGrid/>
          <w:color w:val="000000"/>
          <w:kern w:val="2"/>
          <w:sz w:val="24"/>
          <w:szCs w:val="24"/>
          <w:highlight w:val="none"/>
        </w:rPr>
        <w:t>7</w:t>
      </w:r>
      <w:r>
        <w:rPr>
          <w:rFonts w:ascii="宋体" w:hAnsi="Times New Roman" w:eastAsia="宋体" w:cs="Times New Roman"/>
          <w:snapToGrid/>
          <w:color w:val="000000"/>
          <w:kern w:val="2"/>
          <w:sz w:val="24"/>
          <w:szCs w:val="24"/>
          <w:highlight w:val="none"/>
        </w:rPr>
        <w:t>）招标人认为需要考量</w:t>
      </w:r>
      <w:r>
        <w:rPr>
          <w:rFonts w:hint="eastAsia" w:ascii="宋体" w:hAnsi="Times New Roman" w:eastAsia="宋体" w:cs="Times New Roman"/>
          <w:snapToGrid/>
          <w:color w:val="000000"/>
          <w:kern w:val="2"/>
          <w:sz w:val="24"/>
          <w:szCs w:val="24"/>
          <w:highlight w:val="none"/>
        </w:rPr>
        <w:t>的其他因素。</w:t>
      </w:r>
    </w:p>
    <w:p w14:paraId="00A6BCD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7.1.5</w:t>
      </w:r>
      <w:r>
        <w:rPr>
          <w:rFonts w:ascii="宋体" w:hAnsi="Times New Roman" w:eastAsia="宋体" w:cs="Times New Roman"/>
          <w:snapToGrid/>
          <w:color w:val="000000"/>
          <w:kern w:val="2"/>
          <w:sz w:val="24"/>
          <w:szCs w:val="24"/>
          <w:highlight w:val="none"/>
        </w:rPr>
        <w:t xml:space="preserve">定标方法可采用下列方法或者下列方法的组合： </w:t>
      </w:r>
    </w:p>
    <w:p w14:paraId="3F10EC69">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（1）票决法。由定标委员会以直接票决或者逐轮票决的方式确定中标人。 </w:t>
      </w:r>
    </w:p>
    <w:p w14:paraId="6193560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31675AD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（3）投标须知前附表规定的其他定标办法</w:t>
      </w:r>
      <w:r>
        <w:rPr>
          <w:rFonts w:hint="eastAsia" w:ascii="宋体" w:hAnsi="Times New Roman" w:eastAsia="宋体" w:cs="Times New Roman"/>
          <w:snapToGrid/>
          <w:color w:val="000000"/>
          <w:kern w:val="2"/>
          <w:sz w:val="24"/>
          <w:szCs w:val="24"/>
          <w:highlight w:val="none"/>
        </w:rPr>
        <w:t>。</w:t>
      </w:r>
    </w:p>
    <w:p w14:paraId="26E2975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7.1.6中标人</w:t>
      </w:r>
      <w:r>
        <w:rPr>
          <w:rFonts w:ascii="宋体" w:hAnsi="Times New Roman" w:eastAsia="宋体" w:cs="Times New Roman"/>
          <w:snapToGrid/>
          <w:color w:val="000000"/>
          <w:kern w:val="2"/>
          <w:sz w:val="24"/>
          <w:szCs w:val="24"/>
          <w:highlight w:val="none"/>
        </w:rPr>
        <w:t>公</w:t>
      </w:r>
      <w:r>
        <w:rPr>
          <w:rFonts w:hint="eastAsia" w:ascii="宋体" w:hAnsi="Times New Roman" w:eastAsia="宋体" w:cs="Times New Roman"/>
          <w:snapToGrid/>
          <w:color w:val="000000"/>
          <w:kern w:val="2"/>
          <w:sz w:val="24"/>
          <w:szCs w:val="24"/>
          <w:highlight w:val="none"/>
        </w:rPr>
        <w:t>告</w:t>
      </w:r>
      <w:r>
        <w:rPr>
          <w:rFonts w:ascii="宋体" w:hAnsi="Times New Roman" w:eastAsia="宋体" w:cs="Times New Roman"/>
          <w:snapToGrid/>
          <w:color w:val="000000"/>
          <w:kern w:val="2"/>
          <w:sz w:val="24"/>
          <w:szCs w:val="24"/>
          <w:highlight w:val="none"/>
        </w:rPr>
        <w:t>媒介及期限</w:t>
      </w:r>
    </w:p>
    <w:p w14:paraId="629819E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招标人应当将中标结果情况在投标须知前附表规定的媒介上公告不少于3日。</w:t>
      </w:r>
    </w:p>
    <w:p w14:paraId="2819659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1.7</w:t>
      </w:r>
      <w:r>
        <w:rPr>
          <w:rFonts w:ascii="宋体" w:hAnsi="Times New Roman" w:eastAsia="宋体" w:cs="Times New Roman"/>
          <w:snapToGrid/>
          <w:color w:val="000000"/>
          <w:kern w:val="2"/>
          <w:sz w:val="24"/>
          <w:szCs w:val="24"/>
          <w:highlight w:val="none"/>
        </w:rPr>
        <w:t>定标后有下列情形之一的，招标人可以组织原定标委员会从其他中标候选人中按原定标方法确定中标人：</w:t>
      </w:r>
    </w:p>
    <w:p w14:paraId="5FD75F3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（1）中标人放弃中标资格或者拒不签订合同的； </w:t>
      </w:r>
    </w:p>
    <w:p w14:paraId="4918649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（2）中标人被查实存在违法行为影响中标结果的； </w:t>
      </w:r>
    </w:p>
    <w:p w14:paraId="1D0E74B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（3）投标须知前附表规定的其他情形。 </w:t>
      </w:r>
    </w:p>
    <w:p w14:paraId="79434A1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1.8</w:t>
      </w:r>
      <w:r>
        <w:rPr>
          <w:rFonts w:ascii="宋体" w:hAnsi="Times New Roman" w:eastAsia="宋体" w:cs="Times New Roman"/>
          <w:snapToGrid/>
          <w:color w:val="000000"/>
          <w:kern w:val="2"/>
          <w:sz w:val="24"/>
          <w:szCs w:val="24"/>
          <w:highlight w:val="none"/>
        </w:rPr>
        <w:t xml:space="preserve">定标后有下列情形之一的，应重新定标： </w:t>
      </w:r>
    </w:p>
    <w:p w14:paraId="3ECDEEAD">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（1）查实定标委员会未按定标办法公正履职的； </w:t>
      </w:r>
    </w:p>
    <w:p w14:paraId="30CD7B51">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（2）有定标委员会成员与中标候选人有利害关系且未申请回避的； </w:t>
      </w:r>
    </w:p>
    <w:p w14:paraId="76FA0AF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（3）投标须知前附表规定的其他情形</w:t>
      </w:r>
      <w:r>
        <w:rPr>
          <w:rFonts w:hint="eastAsia" w:ascii="宋体" w:hAnsi="Times New Roman" w:eastAsia="宋体" w:cs="Times New Roman"/>
          <w:snapToGrid/>
          <w:color w:val="000000"/>
          <w:kern w:val="2"/>
          <w:sz w:val="24"/>
          <w:szCs w:val="24"/>
          <w:highlight w:val="none"/>
        </w:rPr>
        <w:t>。</w:t>
      </w:r>
    </w:p>
    <w:p w14:paraId="38B687B2">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7.2 合同授予</w:t>
      </w:r>
      <w:bookmarkEnd w:id="35"/>
    </w:p>
    <w:p w14:paraId="7CDE9BB3">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7.2.1</w:t>
      </w:r>
      <w:r>
        <w:rPr>
          <w:rFonts w:ascii="宋体" w:hAnsi="Times New Roman" w:eastAsia="宋体" w:cs="Times New Roman"/>
          <w:snapToGrid/>
          <w:color w:val="000000"/>
          <w:kern w:val="2"/>
          <w:sz w:val="24"/>
          <w:szCs w:val="24"/>
          <w:highlight w:val="none"/>
        </w:rPr>
        <w:t>中标候选人公示媒介及期限见投标人须知前附表。</w:t>
      </w:r>
    </w:p>
    <w:p w14:paraId="203A38C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7.2.2本招标项目的合同将授予按本章第7.1条款所确定的中标人。</w:t>
      </w:r>
    </w:p>
    <w:p w14:paraId="4D86D633">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36" w:name="_Toc193449949"/>
      <w:r>
        <w:rPr>
          <w:rFonts w:hint="eastAsia" w:ascii="宋体" w:hAnsi="Times New Roman" w:eastAsia="宋体" w:cs="Times New Roman"/>
          <w:b/>
          <w:snapToGrid/>
          <w:color w:val="000000"/>
          <w:kern w:val="2"/>
          <w:sz w:val="24"/>
          <w:szCs w:val="24"/>
          <w:highlight w:val="none"/>
        </w:rPr>
        <w:t>7.3 中标通知书</w:t>
      </w:r>
      <w:bookmarkEnd w:id="36"/>
    </w:p>
    <w:p w14:paraId="5B59D83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7.3.1招标人将于中标人确定后15日内向中标人发出中标通知书并向招投标监管机构提交招标情况书面报告。</w:t>
      </w:r>
    </w:p>
    <w:p w14:paraId="0E363DF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7.3.2 中标通知书为合同的组成部分。</w:t>
      </w:r>
    </w:p>
    <w:p w14:paraId="414A227C">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7.4</w:t>
      </w:r>
      <w:bookmarkStart w:id="37" w:name="_Toc193449950"/>
      <w:r>
        <w:rPr>
          <w:rFonts w:hint="eastAsia" w:ascii="宋体" w:hAnsi="Times New Roman" w:eastAsia="宋体" w:cs="Times New Roman"/>
          <w:b/>
          <w:snapToGrid/>
          <w:color w:val="000000"/>
          <w:kern w:val="2"/>
          <w:sz w:val="24"/>
          <w:szCs w:val="24"/>
          <w:highlight w:val="none"/>
        </w:rPr>
        <w:t xml:space="preserve"> 履约</w:t>
      </w:r>
      <w:bookmarkEnd w:id="37"/>
      <w:r>
        <w:rPr>
          <w:rFonts w:hint="eastAsia" w:ascii="宋体" w:hAnsi="Times New Roman" w:eastAsia="宋体" w:cs="Times New Roman"/>
          <w:b/>
          <w:snapToGrid/>
          <w:color w:val="000000"/>
          <w:kern w:val="2"/>
          <w:sz w:val="24"/>
          <w:szCs w:val="24"/>
          <w:highlight w:val="none"/>
        </w:rPr>
        <w:t>保证金</w:t>
      </w:r>
    </w:p>
    <w:p w14:paraId="297D115A">
      <w:pPr>
        <w:widowControl w:val="0"/>
        <w:tabs>
          <w:tab w:val="left" w:pos="540"/>
        </w:tabs>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08E4BF0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1DBAE71D">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38" w:name="_Toc193449952"/>
      <w:r>
        <w:rPr>
          <w:rFonts w:hint="eastAsia" w:ascii="宋体" w:hAnsi="Times New Roman" w:eastAsia="宋体" w:cs="Times New Roman"/>
          <w:b/>
          <w:snapToGrid/>
          <w:color w:val="000000"/>
          <w:kern w:val="2"/>
          <w:sz w:val="24"/>
          <w:szCs w:val="24"/>
          <w:highlight w:val="none"/>
        </w:rPr>
        <w:t xml:space="preserve">7.5 </w:t>
      </w:r>
      <w:bookmarkEnd w:id="38"/>
      <w:r>
        <w:rPr>
          <w:rFonts w:hint="eastAsia" w:ascii="宋体" w:hAnsi="Times New Roman" w:eastAsia="宋体" w:cs="Times New Roman"/>
          <w:b/>
          <w:snapToGrid/>
          <w:color w:val="000000"/>
          <w:kern w:val="2"/>
          <w:sz w:val="24"/>
          <w:szCs w:val="24"/>
          <w:highlight w:val="none"/>
        </w:rPr>
        <w:t>签订合同</w:t>
      </w:r>
    </w:p>
    <w:p w14:paraId="5118DC0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66959F59">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6497914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291BE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7.5.4 中标人应当按照合同约定履行义务，完成中标项目的设计工作，不得将中标项目的设计工作转委托给他人。</w:t>
      </w:r>
      <w:r>
        <w:rPr>
          <w:rFonts w:hint="eastAsia" w:ascii="Times New Roman" w:hAnsi="Times New Roman" w:eastAsia="宋体" w:cs="Times New Roman"/>
          <w:snapToGrid/>
          <w:color w:val="000000"/>
          <w:kern w:val="2"/>
          <w:sz w:val="24"/>
          <w:szCs w:val="24"/>
          <w:highlight w:val="none"/>
        </w:rPr>
        <w:t xml:space="preserve"> </w:t>
      </w:r>
    </w:p>
    <w:p w14:paraId="6351C4ED">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8.</w:t>
      </w:r>
      <w:r>
        <w:rPr>
          <w:rFonts w:ascii="宋体" w:hAnsi="宋体" w:eastAsia="宋体" w:cs="宋体"/>
          <w:color w:val="000000"/>
          <w:sz w:val="24"/>
          <w:szCs w:val="24"/>
          <w:highlight w:val="none"/>
        </w:rPr>
        <w:t>重新招标和不再招标</w:t>
      </w:r>
    </w:p>
    <w:p w14:paraId="6B375999">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8.1</w:t>
      </w:r>
      <w:r>
        <w:rPr>
          <w:rFonts w:ascii="宋体" w:hAnsi="宋体" w:eastAsia="宋体" w:cs="宋体"/>
          <w:color w:val="000000"/>
          <w:sz w:val="24"/>
          <w:szCs w:val="24"/>
          <w:highlight w:val="none"/>
        </w:rPr>
        <w:t>重新招标</w:t>
      </w:r>
    </w:p>
    <w:p w14:paraId="0387F435">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有下列情形之一的，招标人将重新招标：</w:t>
      </w:r>
    </w:p>
    <w:p w14:paraId="719DEF9D">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(1)投标截止时间止，投标人少于3个的；</w:t>
      </w:r>
    </w:p>
    <w:p w14:paraId="2C46941D">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(2)经评标委员会评审后否决所有投标的；</w:t>
      </w:r>
    </w:p>
    <w:p w14:paraId="69D3ED10">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8.2</w:t>
      </w:r>
      <w:r>
        <w:rPr>
          <w:rFonts w:ascii="宋体" w:hAnsi="宋体" w:eastAsia="宋体" w:cs="宋体"/>
          <w:color w:val="000000"/>
          <w:sz w:val="24"/>
          <w:szCs w:val="24"/>
          <w:highlight w:val="none"/>
        </w:rPr>
        <w:t>不再招标</w:t>
      </w:r>
    </w:p>
    <w:p w14:paraId="55A242B9">
      <w:pPr>
        <w:keepNext w:val="0"/>
        <w:keepLines w:val="0"/>
        <w:pageBreakBefore w:val="0"/>
        <w:wordWrap/>
        <w:overflowPunct/>
        <w:topLinePunct w:val="0"/>
        <w:bidi w:val="0"/>
        <w:adjustRightInd/>
        <w:snapToGrid/>
        <w:spacing w:line="360" w:lineRule="auto"/>
        <w:ind w:firstLine="360" w:firstLineChars="15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重新招标后投标人仍少于3个的，经原审批或核准部门批准后不再进行招标。</w:t>
      </w:r>
    </w:p>
    <w:p w14:paraId="26E62573">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9.</w:t>
      </w:r>
      <w:r>
        <w:rPr>
          <w:rFonts w:ascii="宋体" w:hAnsi="宋体" w:eastAsia="宋体" w:cs="宋体"/>
          <w:color w:val="000000"/>
          <w:sz w:val="24"/>
          <w:szCs w:val="24"/>
          <w:highlight w:val="none"/>
        </w:rPr>
        <w:t>纪律和监督</w:t>
      </w:r>
    </w:p>
    <w:p w14:paraId="45F8C71A">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9.1</w:t>
      </w:r>
      <w:r>
        <w:rPr>
          <w:rFonts w:ascii="宋体" w:hAnsi="宋体" w:eastAsia="宋体" w:cs="宋体"/>
          <w:color w:val="000000"/>
          <w:sz w:val="24"/>
          <w:szCs w:val="24"/>
          <w:highlight w:val="none"/>
        </w:rPr>
        <w:t>对招标人的纪律要求</w:t>
      </w:r>
    </w:p>
    <w:p w14:paraId="610E1F14">
      <w:pPr>
        <w:keepNext w:val="0"/>
        <w:keepLines w:val="0"/>
        <w:pageBreakBefore w:val="0"/>
        <w:wordWrap/>
        <w:overflowPunct/>
        <w:topLinePunct w:val="0"/>
        <w:bidi w:val="0"/>
        <w:adjustRightInd/>
        <w:snapToGrid/>
        <w:spacing w:line="360" w:lineRule="auto"/>
        <w:ind w:firstLine="476"/>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招标人不得泄漏招标投标活动中应当保密的情况和资料，不得与投标人串通损害国家利益、社会公共利益或者他人合法权益</w:t>
      </w:r>
      <w:r>
        <w:rPr>
          <w:rFonts w:ascii="宋体" w:hAnsi="宋体" w:eastAsia="宋体" w:cs="宋体"/>
          <w:color w:val="000000"/>
          <w:sz w:val="24"/>
          <w:szCs w:val="24"/>
          <w:highlight w:val="none"/>
        </w:rPr>
        <w:t>。</w:t>
      </w:r>
    </w:p>
    <w:p w14:paraId="3D948AAB">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9.2</w:t>
      </w:r>
      <w:r>
        <w:rPr>
          <w:rFonts w:ascii="宋体" w:hAnsi="宋体" w:eastAsia="宋体" w:cs="宋体"/>
          <w:color w:val="000000"/>
          <w:sz w:val="24"/>
          <w:szCs w:val="24"/>
          <w:highlight w:val="none"/>
        </w:rPr>
        <w:t>对投标人的纪律要求</w:t>
      </w:r>
    </w:p>
    <w:p w14:paraId="4BE330A1">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AED1EB2">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9.3</w:t>
      </w:r>
      <w:r>
        <w:rPr>
          <w:rFonts w:ascii="宋体" w:hAnsi="宋体" w:eastAsia="宋体" w:cs="宋体"/>
          <w:color w:val="000000"/>
          <w:sz w:val="24"/>
          <w:szCs w:val="24"/>
          <w:highlight w:val="none"/>
        </w:rPr>
        <w:t>对评标委员会成员的纪律要求</w:t>
      </w:r>
    </w:p>
    <w:p w14:paraId="74232BE1">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评标委员会成员不得收受他人的财物或者其他好处，不得向他人透</w:t>
      </w:r>
      <w:r>
        <w:rPr>
          <w:rFonts w:hint="eastAsia" w:ascii="宋体" w:hAnsi="宋体" w:eastAsia="宋体" w:cs="宋体"/>
          <w:color w:val="000000"/>
          <w:position w:val="1"/>
          <w:sz w:val="24"/>
          <w:szCs w:val="24"/>
          <w:highlight w:val="none"/>
        </w:rPr>
        <w:t>露</w:t>
      </w:r>
      <w:r>
        <w:rPr>
          <w:rFonts w:ascii="宋体" w:hAnsi="宋体" w:eastAsia="宋体" w:cs="宋体"/>
          <w:color w:val="000000"/>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7BFC8A23">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9.4</w:t>
      </w:r>
      <w:r>
        <w:rPr>
          <w:rFonts w:ascii="宋体" w:hAnsi="宋体" w:eastAsia="宋体" w:cs="宋体"/>
          <w:color w:val="000000"/>
          <w:sz w:val="24"/>
          <w:szCs w:val="24"/>
          <w:highlight w:val="none"/>
        </w:rPr>
        <w:t>对与评标活动有关的工作人员的纪律要求</w:t>
      </w:r>
    </w:p>
    <w:p w14:paraId="62797F25">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998D8B9">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9.5</w:t>
      </w:r>
      <w:r>
        <w:rPr>
          <w:rFonts w:ascii="宋体" w:hAnsi="宋体" w:eastAsia="宋体" w:cs="宋体"/>
          <w:color w:val="000000"/>
          <w:sz w:val="24"/>
          <w:szCs w:val="24"/>
          <w:highlight w:val="none"/>
        </w:rPr>
        <w:t>异议与投诉</w:t>
      </w:r>
    </w:p>
    <w:p w14:paraId="724856FE">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投标人及其他利害关系人有提出异议与投诉的权利，但应遵守国家相关法律</w:t>
      </w:r>
      <w:r>
        <w:rPr>
          <w:rFonts w:hint="eastAsia" w:ascii="宋体" w:hAnsi="宋体" w:eastAsia="宋体" w:cs="宋体"/>
          <w:color w:val="000000"/>
          <w:position w:val="1"/>
          <w:sz w:val="24"/>
          <w:szCs w:val="24"/>
          <w:highlight w:val="none"/>
        </w:rPr>
        <w:t>法规，具体要求见投标人须知前附表。</w:t>
      </w:r>
    </w:p>
    <w:p w14:paraId="2EE3BA8F">
      <w:pPr>
        <w:keepNext w:val="0"/>
        <w:keepLines w:val="0"/>
        <w:pageBreakBefore w:val="0"/>
        <w:wordWrap/>
        <w:overflowPunct/>
        <w:topLinePunct w:val="0"/>
        <w:bidi w:val="0"/>
        <w:adjustRightInd/>
        <w:snapToGrid/>
        <w:spacing w:line="360" w:lineRule="auto"/>
        <w:jc w:val="both"/>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10.</w:t>
      </w:r>
      <w:r>
        <w:rPr>
          <w:rFonts w:ascii="宋体" w:hAnsi="宋体" w:eastAsia="宋体" w:cs="宋体"/>
          <w:color w:val="000000"/>
          <w:sz w:val="24"/>
          <w:szCs w:val="24"/>
          <w:highlight w:val="none"/>
        </w:rPr>
        <w:t>需要补充的其他内容</w:t>
      </w:r>
    </w:p>
    <w:p w14:paraId="09854390">
      <w:pPr>
        <w:keepNext w:val="0"/>
        <w:keepLines w:val="0"/>
        <w:pageBreakBefore w:val="0"/>
        <w:wordWrap/>
        <w:overflowPunct/>
        <w:topLinePunct w:val="0"/>
        <w:bidi w:val="0"/>
        <w:adjustRightInd/>
        <w:snapToGrid/>
        <w:spacing w:line="360" w:lineRule="auto"/>
        <w:ind w:firstLine="480" w:firstLineChars="200"/>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需要补充的其他内容：见投标人须知前附表。</w:t>
      </w:r>
    </w:p>
    <w:p w14:paraId="03E61FA5">
      <w:pPr>
        <w:spacing w:line="347" w:lineRule="auto"/>
        <w:jc w:val="both"/>
        <w:rPr>
          <w:rFonts w:ascii="宋体" w:hAnsi="宋体" w:eastAsia="宋体" w:cs="宋体"/>
          <w:color w:val="000000"/>
          <w:position w:val="1"/>
          <w:sz w:val="24"/>
          <w:szCs w:val="24"/>
          <w:highlight w:val="none"/>
        </w:rPr>
      </w:pPr>
    </w:p>
    <w:p w14:paraId="2D8A4CE2">
      <w:pPr>
        <w:spacing w:line="347" w:lineRule="auto"/>
        <w:jc w:val="both"/>
        <w:rPr>
          <w:rFonts w:ascii="宋体" w:hAnsi="宋体" w:eastAsia="宋体" w:cs="宋体"/>
          <w:color w:val="000000"/>
          <w:position w:val="1"/>
          <w:sz w:val="24"/>
          <w:szCs w:val="24"/>
          <w:highlight w:val="none"/>
        </w:rPr>
      </w:pPr>
    </w:p>
    <w:p w14:paraId="64A645AB">
      <w:pPr>
        <w:spacing w:line="347" w:lineRule="auto"/>
        <w:jc w:val="both"/>
        <w:rPr>
          <w:rFonts w:ascii="宋体" w:hAnsi="宋体" w:eastAsia="宋体" w:cs="宋体"/>
          <w:color w:val="000000"/>
          <w:position w:val="1"/>
          <w:sz w:val="24"/>
          <w:szCs w:val="24"/>
          <w:highlight w:val="none"/>
        </w:rPr>
      </w:pPr>
    </w:p>
    <w:p w14:paraId="3EA229F8">
      <w:pPr>
        <w:spacing w:line="347" w:lineRule="auto"/>
        <w:jc w:val="both"/>
        <w:rPr>
          <w:rFonts w:ascii="宋体" w:hAnsi="宋体" w:eastAsia="宋体" w:cs="宋体"/>
          <w:color w:val="000000"/>
          <w:position w:val="1"/>
          <w:sz w:val="24"/>
          <w:szCs w:val="24"/>
          <w:highlight w:val="none"/>
        </w:rPr>
      </w:pPr>
    </w:p>
    <w:p w14:paraId="779599A6">
      <w:pPr>
        <w:spacing w:line="347" w:lineRule="auto"/>
        <w:jc w:val="both"/>
        <w:rPr>
          <w:rFonts w:ascii="宋体" w:hAnsi="宋体" w:eastAsia="宋体" w:cs="宋体"/>
          <w:color w:val="000000"/>
          <w:position w:val="1"/>
          <w:sz w:val="24"/>
          <w:szCs w:val="24"/>
          <w:highlight w:val="none"/>
        </w:rPr>
      </w:pPr>
    </w:p>
    <w:p w14:paraId="7A6965A1">
      <w:pPr>
        <w:spacing w:line="347" w:lineRule="auto"/>
        <w:jc w:val="both"/>
        <w:rPr>
          <w:color w:val="000000"/>
          <w:highlight w:val="none"/>
        </w:rPr>
      </w:pPr>
    </w:p>
    <w:p w14:paraId="5855E573">
      <w:pPr>
        <w:pageBreakBefore/>
        <w:widowControl w:val="0"/>
        <w:spacing w:before="91" w:line="221" w:lineRule="auto"/>
        <w:ind w:left="130"/>
        <w:jc w:val="both"/>
        <w:outlineLvl w:val="1"/>
        <w:rPr>
          <w:rFonts w:ascii="宋体" w:hAnsi="宋体" w:eastAsia="宋体" w:cs="宋体"/>
          <w:color w:val="000000"/>
          <w:sz w:val="28"/>
          <w:szCs w:val="28"/>
          <w:highlight w:val="none"/>
        </w:rPr>
      </w:pPr>
      <w:bookmarkStart w:id="39" w:name="_bookmark5"/>
      <w:bookmarkEnd w:id="39"/>
      <w:r>
        <w:rPr>
          <w:rFonts w:ascii="宋体" w:hAnsi="宋体" w:eastAsia="宋体" w:cs="宋体"/>
          <w:color w:val="000000"/>
          <w:sz w:val="28"/>
          <w:szCs w:val="28"/>
          <w:highlight w:val="none"/>
        </w:rPr>
        <w:t>附表一：开标记录表</w:t>
      </w:r>
    </w:p>
    <w:p w14:paraId="577CBFFB">
      <w:pPr>
        <w:tabs>
          <w:tab w:val="left" w:pos="3317"/>
        </w:tabs>
        <w:spacing w:before="234" w:line="229" w:lineRule="auto"/>
        <w:ind w:left="126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ab/>
      </w:r>
      <w:r>
        <w:rPr>
          <w:rFonts w:ascii="宋体" w:hAnsi="宋体" w:eastAsia="宋体" w:cs="宋体"/>
          <w:color w:val="000000"/>
          <w:sz w:val="23"/>
          <w:szCs w:val="23"/>
          <w:highlight w:val="none"/>
        </w:rPr>
        <w:t>(项目名称)标段开标记录表</w:t>
      </w:r>
    </w:p>
    <w:p w14:paraId="0DDA72DD">
      <w:pPr>
        <w:spacing w:line="286" w:lineRule="auto"/>
        <w:jc w:val="both"/>
        <w:rPr>
          <w:color w:val="000000"/>
          <w:highlight w:val="none"/>
        </w:rPr>
      </w:pPr>
    </w:p>
    <w:p w14:paraId="33FC10A5">
      <w:pPr>
        <w:spacing w:line="286" w:lineRule="auto"/>
        <w:jc w:val="both"/>
        <w:rPr>
          <w:color w:val="000000"/>
          <w:highlight w:val="none"/>
        </w:rPr>
      </w:pPr>
    </w:p>
    <w:p w14:paraId="01702872">
      <w:pPr>
        <w:spacing w:before="75" w:line="229" w:lineRule="auto"/>
        <w:ind w:left="7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开标地点：</w:t>
      </w:r>
    </w:p>
    <w:p w14:paraId="441812A5">
      <w:pPr>
        <w:spacing w:before="183" w:line="228" w:lineRule="auto"/>
        <w:ind w:left="7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开标时间：</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年</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月</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日</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时</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分</w:t>
      </w:r>
    </w:p>
    <w:p w14:paraId="2AA65E65">
      <w:pPr>
        <w:jc w:val="both"/>
        <w:rPr>
          <w:color w:val="000000"/>
          <w:highlight w:val="none"/>
        </w:rPr>
      </w:pPr>
    </w:p>
    <w:p w14:paraId="710CB2DB">
      <w:pPr>
        <w:jc w:val="both"/>
        <w:rPr>
          <w:color w:val="000000"/>
          <w:highlight w:val="none"/>
        </w:rPr>
      </w:pPr>
    </w:p>
    <w:p w14:paraId="44E651A2">
      <w:pPr>
        <w:spacing w:line="54" w:lineRule="exact"/>
        <w:jc w:val="both"/>
        <w:rPr>
          <w:color w:val="000000"/>
          <w:highlight w:val="none"/>
        </w:rPr>
      </w:pPr>
    </w:p>
    <w:tbl>
      <w:tblPr>
        <w:tblStyle w:val="55"/>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7DE46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710" w:type="dxa"/>
            <w:noWrap w:val="0"/>
            <w:vAlign w:val="top"/>
          </w:tcPr>
          <w:p w14:paraId="2619DA4A">
            <w:pPr>
              <w:spacing w:line="254" w:lineRule="auto"/>
              <w:jc w:val="both"/>
              <w:rPr>
                <w:color w:val="000000"/>
                <w:highlight w:val="none"/>
              </w:rPr>
            </w:pPr>
          </w:p>
          <w:p w14:paraId="10560E9E">
            <w:pPr>
              <w:spacing w:line="254" w:lineRule="auto"/>
              <w:jc w:val="both"/>
              <w:rPr>
                <w:color w:val="000000"/>
                <w:highlight w:val="none"/>
              </w:rPr>
            </w:pPr>
          </w:p>
          <w:p w14:paraId="40DDB359">
            <w:pPr>
              <w:spacing w:before="75" w:line="230" w:lineRule="auto"/>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序号</w:t>
            </w:r>
          </w:p>
        </w:tc>
        <w:tc>
          <w:tcPr>
            <w:tcW w:w="992" w:type="dxa"/>
            <w:noWrap w:val="0"/>
            <w:vAlign w:val="top"/>
          </w:tcPr>
          <w:p w14:paraId="2B6616B2">
            <w:pPr>
              <w:spacing w:line="254" w:lineRule="auto"/>
              <w:jc w:val="both"/>
              <w:rPr>
                <w:color w:val="000000"/>
                <w:highlight w:val="none"/>
              </w:rPr>
            </w:pPr>
          </w:p>
          <w:p w14:paraId="7EF94848">
            <w:pPr>
              <w:spacing w:line="255" w:lineRule="auto"/>
              <w:jc w:val="both"/>
              <w:rPr>
                <w:color w:val="000000"/>
                <w:highlight w:val="none"/>
              </w:rPr>
            </w:pPr>
          </w:p>
          <w:p w14:paraId="347B117B">
            <w:pPr>
              <w:spacing w:before="74" w:line="229" w:lineRule="auto"/>
              <w:ind w:left="17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w:t>
            </w:r>
          </w:p>
        </w:tc>
        <w:tc>
          <w:tcPr>
            <w:tcW w:w="1134" w:type="dxa"/>
            <w:noWrap w:val="0"/>
            <w:vAlign w:val="top"/>
          </w:tcPr>
          <w:p w14:paraId="6EDAA8D9">
            <w:pPr>
              <w:spacing w:line="278" w:lineRule="auto"/>
              <w:jc w:val="both"/>
              <w:rPr>
                <w:color w:val="000000"/>
                <w:highlight w:val="none"/>
              </w:rPr>
            </w:pPr>
          </w:p>
          <w:p w14:paraId="313F1D13">
            <w:pPr>
              <w:spacing w:before="75" w:line="383" w:lineRule="auto"/>
              <w:ind w:left="115" w:right="6" w:firstLine="5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投标报价</w:t>
            </w:r>
          </w:p>
          <w:p w14:paraId="50E8E711">
            <w:pPr>
              <w:spacing w:before="75" w:line="383" w:lineRule="auto"/>
              <w:ind w:left="115" w:right="6" w:firstLine="5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(元)</w:t>
            </w:r>
          </w:p>
        </w:tc>
        <w:tc>
          <w:tcPr>
            <w:tcW w:w="1345" w:type="dxa"/>
            <w:noWrap w:val="0"/>
            <w:vAlign w:val="top"/>
          </w:tcPr>
          <w:p w14:paraId="60D2BE1B">
            <w:pPr>
              <w:spacing w:line="277" w:lineRule="auto"/>
              <w:jc w:val="both"/>
              <w:rPr>
                <w:color w:val="000000"/>
                <w:highlight w:val="none"/>
              </w:rPr>
            </w:pPr>
          </w:p>
          <w:p w14:paraId="25D942C3">
            <w:pPr>
              <w:spacing w:before="75" w:line="384" w:lineRule="auto"/>
              <w:ind w:left="410" w:right="-77" w:hanging="238"/>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投标品牌</w:t>
            </w:r>
          </w:p>
        </w:tc>
        <w:tc>
          <w:tcPr>
            <w:tcW w:w="1045" w:type="dxa"/>
            <w:noWrap w:val="0"/>
            <w:vAlign w:val="top"/>
          </w:tcPr>
          <w:p w14:paraId="730456A9">
            <w:pPr>
              <w:spacing w:line="255" w:lineRule="auto"/>
              <w:jc w:val="both"/>
              <w:rPr>
                <w:rFonts w:eastAsia="宋体"/>
                <w:color w:val="000000"/>
                <w:highlight w:val="none"/>
              </w:rPr>
            </w:pPr>
          </w:p>
          <w:p w14:paraId="4D268844">
            <w:pPr>
              <w:spacing w:before="75" w:line="227" w:lineRule="auto"/>
              <w:ind w:left="17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交货期</w:t>
            </w:r>
          </w:p>
        </w:tc>
        <w:tc>
          <w:tcPr>
            <w:tcW w:w="1045" w:type="dxa"/>
            <w:noWrap w:val="0"/>
            <w:vAlign w:val="top"/>
          </w:tcPr>
          <w:p w14:paraId="465A7E11">
            <w:pPr>
              <w:spacing w:before="118" w:line="376" w:lineRule="auto"/>
              <w:ind w:left="168" w:right="160" w:firstLine="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投标保证金缴</w:t>
            </w:r>
          </w:p>
          <w:p w14:paraId="1FC68C74">
            <w:pPr>
              <w:spacing w:before="1" w:line="228" w:lineRule="auto"/>
              <w:ind w:left="17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纳情况</w:t>
            </w:r>
          </w:p>
        </w:tc>
        <w:tc>
          <w:tcPr>
            <w:tcW w:w="1952" w:type="dxa"/>
            <w:noWrap w:val="0"/>
            <w:vAlign w:val="top"/>
          </w:tcPr>
          <w:p w14:paraId="3643D140">
            <w:pPr>
              <w:spacing w:line="278" w:lineRule="auto"/>
              <w:jc w:val="both"/>
              <w:rPr>
                <w:color w:val="000000"/>
                <w:highlight w:val="none"/>
              </w:rPr>
            </w:pPr>
          </w:p>
          <w:p w14:paraId="1F11FE7B">
            <w:pPr>
              <w:spacing w:before="75" w:line="384" w:lineRule="auto"/>
              <w:ind w:left="290" w:right="158" w:hanging="11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投标人确认</w:t>
            </w:r>
          </w:p>
        </w:tc>
        <w:tc>
          <w:tcPr>
            <w:tcW w:w="850" w:type="dxa"/>
            <w:noWrap w:val="0"/>
            <w:vAlign w:val="top"/>
          </w:tcPr>
          <w:p w14:paraId="4991D6F5">
            <w:pPr>
              <w:spacing w:line="254" w:lineRule="auto"/>
              <w:jc w:val="both"/>
              <w:rPr>
                <w:color w:val="000000"/>
                <w:highlight w:val="none"/>
              </w:rPr>
            </w:pPr>
          </w:p>
          <w:p w14:paraId="531FF3B2">
            <w:pPr>
              <w:spacing w:line="254" w:lineRule="auto"/>
              <w:jc w:val="both"/>
              <w:rPr>
                <w:color w:val="000000"/>
                <w:highlight w:val="none"/>
              </w:rPr>
            </w:pPr>
          </w:p>
          <w:p w14:paraId="1DCF49CC">
            <w:pPr>
              <w:spacing w:before="75" w:line="230" w:lineRule="auto"/>
              <w:ind w:left="29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备注</w:t>
            </w:r>
          </w:p>
        </w:tc>
      </w:tr>
      <w:tr w14:paraId="59D37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690B87B4">
            <w:pPr>
              <w:jc w:val="both"/>
              <w:rPr>
                <w:color w:val="000000"/>
                <w:highlight w:val="none"/>
              </w:rPr>
            </w:pPr>
          </w:p>
        </w:tc>
        <w:tc>
          <w:tcPr>
            <w:tcW w:w="992" w:type="dxa"/>
            <w:noWrap w:val="0"/>
            <w:vAlign w:val="top"/>
          </w:tcPr>
          <w:p w14:paraId="7BA8C891">
            <w:pPr>
              <w:jc w:val="both"/>
              <w:rPr>
                <w:color w:val="000000"/>
                <w:highlight w:val="none"/>
              </w:rPr>
            </w:pPr>
          </w:p>
        </w:tc>
        <w:tc>
          <w:tcPr>
            <w:tcW w:w="1134" w:type="dxa"/>
            <w:noWrap w:val="0"/>
            <w:vAlign w:val="top"/>
          </w:tcPr>
          <w:p w14:paraId="36097D89">
            <w:pPr>
              <w:jc w:val="both"/>
              <w:rPr>
                <w:color w:val="000000"/>
                <w:highlight w:val="none"/>
              </w:rPr>
            </w:pPr>
          </w:p>
        </w:tc>
        <w:tc>
          <w:tcPr>
            <w:tcW w:w="1345" w:type="dxa"/>
            <w:noWrap w:val="0"/>
            <w:vAlign w:val="top"/>
          </w:tcPr>
          <w:p w14:paraId="22442C1A">
            <w:pPr>
              <w:jc w:val="both"/>
              <w:rPr>
                <w:color w:val="000000"/>
                <w:highlight w:val="none"/>
              </w:rPr>
            </w:pPr>
          </w:p>
        </w:tc>
        <w:tc>
          <w:tcPr>
            <w:tcW w:w="1045" w:type="dxa"/>
            <w:noWrap w:val="0"/>
            <w:vAlign w:val="top"/>
          </w:tcPr>
          <w:p w14:paraId="0161338C">
            <w:pPr>
              <w:jc w:val="both"/>
              <w:rPr>
                <w:color w:val="000000"/>
                <w:highlight w:val="none"/>
              </w:rPr>
            </w:pPr>
          </w:p>
        </w:tc>
        <w:tc>
          <w:tcPr>
            <w:tcW w:w="1045" w:type="dxa"/>
            <w:noWrap w:val="0"/>
            <w:vAlign w:val="top"/>
          </w:tcPr>
          <w:p w14:paraId="2CEFBC03">
            <w:pPr>
              <w:jc w:val="both"/>
              <w:rPr>
                <w:color w:val="000000"/>
                <w:highlight w:val="none"/>
              </w:rPr>
            </w:pPr>
          </w:p>
        </w:tc>
        <w:tc>
          <w:tcPr>
            <w:tcW w:w="1952" w:type="dxa"/>
            <w:noWrap w:val="0"/>
            <w:vAlign w:val="top"/>
          </w:tcPr>
          <w:p w14:paraId="0650C23D">
            <w:pPr>
              <w:jc w:val="both"/>
              <w:rPr>
                <w:color w:val="000000"/>
                <w:highlight w:val="none"/>
              </w:rPr>
            </w:pPr>
          </w:p>
        </w:tc>
        <w:tc>
          <w:tcPr>
            <w:tcW w:w="850" w:type="dxa"/>
            <w:noWrap w:val="0"/>
            <w:vAlign w:val="top"/>
          </w:tcPr>
          <w:p w14:paraId="701D32FF">
            <w:pPr>
              <w:jc w:val="both"/>
              <w:rPr>
                <w:color w:val="000000"/>
                <w:highlight w:val="none"/>
              </w:rPr>
            </w:pPr>
          </w:p>
        </w:tc>
      </w:tr>
      <w:tr w14:paraId="0E243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534FBADD">
            <w:pPr>
              <w:jc w:val="both"/>
              <w:rPr>
                <w:color w:val="000000"/>
                <w:highlight w:val="none"/>
              </w:rPr>
            </w:pPr>
          </w:p>
        </w:tc>
        <w:tc>
          <w:tcPr>
            <w:tcW w:w="992" w:type="dxa"/>
            <w:noWrap w:val="0"/>
            <w:vAlign w:val="top"/>
          </w:tcPr>
          <w:p w14:paraId="76742E7A">
            <w:pPr>
              <w:jc w:val="both"/>
              <w:rPr>
                <w:color w:val="000000"/>
                <w:highlight w:val="none"/>
              </w:rPr>
            </w:pPr>
          </w:p>
        </w:tc>
        <w:tc>
          <w:tcPr>
            <w:tcW w:w="1134" w:type="dxa"/>
            <w:noWrap w:val="0"/>
            <w:vAlign w:val="top"/>
          </w:tcPr>
          <w:p w14:paraId="363D6B46">
            <w:pPr>
              <w:jc w:val="both"/>
              <w:rPr>
                <w:color w:val="000000"/>
                <w:highlight w:val="none"/>
              </w:rPr>
            </w:pPr>
          </w:p>
        </w:tc>
        <w:tc>
          <w:tcPr>
            <w:tcW w:w="1345" w:type="dxa"/>
            <w:noWrap w:val="0"/>
            <w:vAlign w:val="top"/>
          </w:tcPr>
          <w:p w14:paraId="12F95C99">
            <w:pPr>
              <w:jc w:val="both"/>
              <w:rPr>
                <w:color w:val="000000"/>
                <w:highlight w:val="none"/>
              </w:rPr>
            </w:pPr>
          </w:p>
        </w:tc>
        <w:tc>
          <w:tcPr>
            <w:tcW w:w="1045" w:type="dxa"/>
            <w:noWrap w:val="0"/>
            <w:vAlign w:val="top"/>
          </w:tcPr>
          <w:p w14:paraId="08A7A518">
            <w:pPr>
              <w:jc w:val="both"/>
              <w:rPr>
                <w:color w:val="000000"/>
                <w:highlight w:val="none"/>
              </w:rPr>
            </w:pPr>
          </w:p>
        </w:tc>
        <w:tc>
          <w:tcPr>
            <w:tcW w:w="1045" w:type="dxa"/>
            <w:noWrap w:val="0"/>
            <w:vAlign w:val="top"/>
          </w:tcPr>
          <w:p w14:paraId="5926CD61">
            <w:pPr>
              <w:jc w:val="both"/>
              <w:rPr>
                <w:color w:val="000000"/>
                <w:highlight w:val="none"/>
              </w:rPr>
            </w:pPr>
          </w:p>
        </w:tc>
        <w:tc>
          <w:tcPr>
            <w:tcW w:w="1952" w:type="dxa"/>
            <w:noWrap w:val="0"/>
            <w:vAlign w:val="top"/>
          </w:tcPr>
          <w:p w14:paraId="6F9ACA02">
            <w:pPr>
              <w:jc w:val="both"/>
              <w:rPr>
                <w:color w:val="000000"/>
                <w:highlight w:val="none"/>
              </w:rPr>
            </w:pPr>
          </w:p>
        </w:tc>
        <w:tc>
          <w:tcPr>
            <w:tcW w:w="850" w:type="dxa"/>
            <w:noWrap w:val="0"/>
            <w:vAlign w:val="top"/>
          </w:tcPr>
          <w:p w14:paraId="052A1288">
            <w:pPr>
              <w:jc w:val="both"/>
              <w:rPr>
                <w:color w:val="000000"/>
                <w:highlight w:val="none"/>
              </w:rPr>
            </w:pPr>
          </w:p>
        </w:tc>
      </w:tr>
      <w:tr w14:paraId="39343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3809A01F">
            <w:pPr>
              <w:jc w:val="both"/>
              <w:rPr>
                <w:color w:val="000000"/>
                <w:highlight w:val="none"/>
              </w:rPr>
            </w:pPr>
          </w:p>
        </w:tc>
        <w:tc>
          <w:tcPr>
            <w:tcW w:w="992" w:type="dxa"/>
            <w:noWrap w:val="0"/>
            <w:vAlign w:val="top"/>
          </w:tcPr>
          <w:p w14:paraId="57141751">
            <w:pPr>
              <w:jc w:val="both"/>
              <w:rPr>
                <w:color w:val="000000"/>
                <w:highlight w:val="none"/>
              </w:rPr>
            </w:pPr>
          </w:p>
        </w:tc>
        <w:tc>
          <w:tcPr>
            <w:tcW w:w="1134" w:type="dxa"/>
            <w:noWrap w:val="0"/>
            <w:vAlign w:val="top"/>
          </w:tcPr>
          <w:p w14:paraId="5166378B">
            <w:pPr>
              <w:jc w:val="both"/>
              <w:rPr>
                <w:color w:val="000000"/>
                <w:highlight w:val="none"/>
              </w:rPr>
            </w:pPr>
          </w:p>
        </w:tc>
        <w:tc>
          <w:tcPr>
            <w:tcW w:w="1345" w:type="dxa"/>
            <w:noWrap w:val="0"/>
            <w:vAlign w:val="top"/>
          </w:tcPr>
          <w:p w14:paraId="45EFFA75">
            <w:pPr>
              <w:jc w:val="both"/>
              <w:rPr>
                <w:color w:val="000000"/>
                <w:highlight w:val="none"/>
              </w:rPr>
            </w:pPr>
          </w:p>
        </w:tc>
        <w:tc>
          <w:tcPr>
            <w:tcW w:w="1045" w:type="dxa"/>
            <w:noWrap w:val="0"/>
            <w:vAlign w:val="top"/>
          </w:tcPr>
          <w:p w14:paraId="2FBDB97F">
            <w:pPr>
              <w:jc w:val="both"/>
              <w:rPr>
                <w:color w:val="000000"/>
                <w:highlight w:val="none"/>
              </w:rPr>
            </w:pPr>
          </w:p>
        </w:tc>
        <w:tc>
          <w:tcPr>
            <w:tcW w:w="1045" w:type="dxa"/>
            <w:noWrap w:val="0"/>
            <w:vAlign w:val="top"/>
          </w:tcPr>
          <w:p w14:paraId="5386BCE2">
            <w:pPr>
              <w:jc w:val="both"/>
              <w:rPr>
                <w:color w:val="000000"/>
                <w:highlight w:val="none"/>
              </w:rPr>
            </w:pPr>
          </w:p>
        </w:tc>
        <w:tc>
          <w:tcPr>
            <w:tcW w:w="1952" w:type="dxa"/>
            <w:noWrap w:val="0"/>
            <w:vAlign w:val="top"/>
          </w:tcPr>
          <w:p w14:paraId="2580322B">
            <w:pPr>
              <w:jc w:val="both"/>
              <w:rPr>
                <w:color w:val="000000"/>
                <w:highlight w:val="none"/>
              </w:rPr>
            </w:pPr>
          </w:p>
        </w:tc>
        <w:tc>
          <w:tcPr>
            <w:tcW w:w="850" w:type="dxa"/>
            <w:noWrap w:val="0"/>
            <w:vAlign w:val="top"/>
          </w:tcPr>
          <w:p w14:paraId="70267A08">
            <w:pPr>
              <w:jc w:val="both"/>
              <w:rPr>
                <w:color w:val="000000"/>
                <w:highlight w:val="none"/>
              </w:rPr>
            </w:pPr>
          </w:p>
        </w:tc>
      </w:tr>
      <w:tr w14:paraId="77B4F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20180040">
            <w:pPr>
              <w:jc w:val="both"/>
              <w:rPr>
                <w:color w:val="000000"/>
                <w:highlight w:val="none"/>
              </w:rPr>
            </w:pPr>
          </w:p>
        </w:tc>
        <w:tc>
          <w:tcPr>
            <w:tcW w:w="992" w:type="dxa"/>
            <w:noWrap w:val="0"/>
            <w:vAlign w:val="top"/>
          </w:tcPr>
          <w:p w14:paraId="4F26F5D9">
            <w:pPr>
              <w:jc w:val="both"/>
              <w:rPr>
                <w:color w:val="000000"/>
                <w:highlight w:val="none"/>
              </w:rPr>
            </w:pPr>
          </w:p>
        </w:tc>
        <w:tc>
          <w:tcPr>
            <w:tcW w:w="1134" w:type="dxa"/>
            <w:noWrap w:val="0"/>
            <w:vAlign w:val="top"/>
          </w:tcPr>
          <w:p w14:paraId="3E9F52B3">
            <w:pPr>
              <w:jc w:val="both"/>
              <w:rPr>
                <w:color w:val="000000"/>
                <w:highlight w:val="none"/>
              </w:rPr>
            </w:pPr>
          </w:p>
        </w:tc>
        <w:tc>
          <w:tcPr>
            <w:tcW w:w="1345" w:type="dxa"/>
            <w:noWrap w:val="0"/>
            <w:vAlign w:val="top"/>
          </w:tcPr>
          <w:p w14:paraId="4C5B2A1A">
            <w:pPr>
              <w:jc w:val="both"/>
              <w:rPr>
                <w:color w:val="000000"/>
                <w:highlight w:val="none"/>
              </w:rPr>
            </w:pPr>
          </w:p>
        </w:tc>
        <w:tc>
          <w:tcPr>
            <w:tcW w:w="1045" w:type="dxa"/>
            <w:noWrap w:val="0"/>
            <w:vAlign w:val="top"/>
          </w:tcPr>
          <w:p w14:paraId="57C18787">
            <w:pPr>
              <w:jc w:val="both"/>
              <w:rPr>
                <w:color w:val="000000"/>
                <w:highlight w:val="none"/>
              </w:rPr>
            </w:pPr>
          </w:p>
        </w:tc>
        <w:tc>
          <w:tcPr>
            <w:tcW w:w="1045" w:type="dxa"/>
            <w:noWrap w:val="0"/>
            <w:vAlign w:val="top"/>
          </w:tcPr>
          <w:p w14:paraId="0C570BD2">
            <w:pPr>
              <w:jc w:val="both"/>
              <w:rPr>
                <w:color w:val="000000"/>
                <w:highlight w:val="none"/>
              </w:rPr>
            </w:pPr>
          </w:p>
        </w:tc>
        <w:tc>
          <w:tcPr>
            <w:tcW w:w="1952" w:type="dxa"/>
            <w:noWrap w:val="0"/>
            <w:vAlign w:val="top"/>
          </w:tcPr>
          <w:p w14:paraId="0A856C39">
            <w:pPr>
              <w:jc w:val="both"/>
              <w:rPr>
                <w:color w:val="000000"/>
                <w:highlight w:val="none"/>
              </w:rPr>
            </w:pPr>
          </w:p>
        </w:tc>
        <w:tc>
          <w:tcPr>
            <w:tcW w:w="850" w:type="dxa"/>
            <w:noWrap w:val="0"/>
            <w:vAlign w:val="top"/>
          </w:tcPr>
          <w:p w14:paraId="1D2B277C">
            <w:pPr>
              <w:jc w:val="both"/>
              <w:rPr>
                <w:color w:val="000000"/>
                <w:highlight w:val="none"/>
              </w:rPr>
            </w:pPr>
          </w:p>
        </w:tc>
      </w:tr>
      <w:tr w14:paraId="0EAD6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34EDB761">
            <w:pPr>
              <w:jc w:val="both"/>
              <w:rPr>
                <w:color w:val="000000"/>
                <w:highlight w:val="none"/>
              </w:rPr>
            </w:pPr>
          </w:p>
        </w:tc>
        <w:tc>
          <w:tcPr>
            <w:tcW w:w="992" w:type="dxa"/>
            <w:noWrap w:val="0"/>
            <w:vAlign w:val="top"/>
          </w:tcPr>
          <w:p w14:paraId="3712E4B3">
            <w:pPr>
              <w:jc w:val="both"/>
              <w:rPr>
                <w:color w:val="000000"/>
                <w:highlight w:val="none"/>
              </w:rPr>
            </w:pPr>
          </w:p>
        </w:tc>
        <w:tc>
          <w:tcPr>
            <w:tcW w:w="1134" w:type="dxa"/>
            <w:noWrap w:val="0"/>
            <w:vAlign w:val="top"/>
          </w:tcPr>
          <w:p w14:paraId="3467CC8E">
            <w:pPr>
              <w:jc w:val="both"/>
              <w:rPr>
                <w:color w:val="000000"/>
                <w:highlight w:val="none"/>
              </w:rPr>
            </w:pPr>
          </w:p>
        </w:tc>
        <w:tc>
          <w:tcPr>
            <w:tcW w:w="1345" w:type="dxa"/>
            <w:noWrap w:val="0"/>
            <w:vAlign w:val="top"/>
          </w:tcPr>
          <w:p w14:paraId="7F66BB20">
            <w:pPr>
              <w:jc w:val="both"/>
              <w:rPr>
                <w:color w:val="000000"/>
                <w:highlight w:val="none"/>
              </w:rPr>
            </w:pPr>
          </w:p>
        </w:tc>
        <w:tc>
          <w:tcPr>
            <w:tcW w:w="1045" w:type="dxa"/>
            <w:noWrap w:val="0"/>
            <w:vAlign w:val="top"/>
          </w:tcPr>
          <w:p w14:paraId="4ED901D6">
            <w:pPr>
              <w:jc w:val="both"/>
              <w:rPr>
                <w:color w:val="000000"/>
                <w:highlight w:val="none"/>
              </w:rPr>
            </w:pPr>
          </w:p>
        </w:tc>
        <w:tc>
          <w:tcPr>
            <w:tcW w:w="1045" w:type="dxa"/>
            <w:noWrap w:val="0"/>
            <w:vAlign w:val="top"/>
          </w:tcPr>
          <w:p w14:paraId="37389961">
            <w:pPr>
              <w:jc w:val="both"/>
              <w:rPr>
                <w:color w:val="000000"/>
                <w:highlight w:val="none"/>
              </w:rPr>
            </w:pPr>
          </w:p>
        </w:tc>
        <w:tc>
          <w:tcPr>
            <w:tcW w:w="1952" w:type="dxa"/>
            <w:noWrap w:val="0"/>
            <w:vAlign w:val="top"/>
          </w:tcPr>
          <w:p w14:paraId="315A3855">
            <w:pPr>
              <w:jc w:val="both"/>
              <w:rPr>
                <w:color w:val="000000"/>
                <w:highlight w:val="none"/>
              </w:rPr>
            </w:pPr>
          </w:p>
        </w:tc>
        <w:tc>
          <w:tcPr>
            <w:tcW w:w="850" w:type="dxa"/>
            <w:noWrap w:val="0"/>
            <w:vAlign w:val="top"/>
          </w:tcPr>
          <w:p w14:paraId="70B93AD0">
            <w:pPr>
              <w:jc w:val="both"/>
              <w:rPr>
                <w:color w:val="000000"/>
                <w:highlight w:val="none"/>
              </w:rPr>
            </w:pPr>
          </w:p>
        </w:tc>
      </w:tr>
      <w:tr w14:paraId="6E785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41A859BC">
            <w:pPr>
              <w:jc w:val="both"/>
              <w:rPr>
                <w:color w:val="000000"/>
                <w:highlight w:val="none"/>
              </w:rPr>
            </w:pPr>
          </w:p>
        </w:tc>
        <w:tc>
          <w:tcPr>
            <w:tcW w:w="992" w:type="dxa"/>
            <w:noWrap w:val="0"/>
            <w:vAlign w:val="top"/>
          </w:tcPr>
          <w:p w14:paraId="1272565F">
            <w:pPr>
              <w:jc w:val="both"/>
              <w:rPr>
                <w:color w:val="000000"/>
                <w:highlight w:val="none"/>
              </w:rPr>
            </w:pPr>
          </w:p>
        </w:tc>
        <w:tc>
          <w:tcPr>
            <w:tcW w:w="1134" w:type="dxa"/>
            <w:noWrap w:val="0"/>
            <w:vAlign w:val="top"/>
          </w:tcPr>
          <w:p w14:paraId="2C18366F">
            <w:pPr>
              <w:jc w:val="both"/>
              <w:rPr>
                <w:color w:val="000000"/>
                <w:highlight w:val="none"/>
              </w:rPr>
            </w:pPr>
          </w:p>
        </w:tc>
        <w:tc>
          <w:tcPr>
            <w:tcW w:w="1345" w:type="dxa"/>
            <w:noWrap w:val="0"/>
            <w:vAlign w:val="top"/>
          </w:tcPr>
          <w:p w14:paraId="12610736">
            <w:pPr>
              <w:jc w:val="both"/>
              <w:rPr>
                <w:color w:val="000000"/>
                <w:highlight w:val="none"/>
              </w:rPr>
            </w:pPr>
          </w:p>
        </w:tc>
        <w:tc>
          <w:tcPr>
            <w:tcW w:w="1045" w:type="dxa"/>
            <w:noWrap w:val="0"/>
            <w:vAlign w:val="top"/>
          </w:tcPr>
          <w:p w14:paraId="3D2A314A">
            <w:pPr>
              <w:jc w:val="both"/>
              <w:rPr>
                <w:color w:val="000000"/>
                <w:highlight w:val="none"/>
              </w:rPr>
            </w:pPr>
          </w:p>
        </w:tc>
        <w:tc>
          <w:tcPr>
            <w:tcW w:w="1045" w:type="dxa"/>
            <w:noWrap w:val="0"/>
            <w:vAlign w:val="top"/>
          </w:tcPr>
          <w:p w14:paraId="18DB2F08">
            <w:pPr>
              <w:jc w:val="both"/>
              <w:rPr>
                <w:color w:val="000000"/>
                <w:highlight w:val="none"/>
              </w:rPr>
            </w:pPr>
          </w:p>
        </w:tc>
        <w:tc>
          <w:tcPr>
            <w:tcW w:w="1952" w:type="dxa"/>
            <w:noWrap w:val="0"/>
            <w:vAlign w:val="top"/>
          </w:tcPr>
          <w:p w14:paraId="67DD55B1">
            <w:pPr>
              <w:jc w:val="both"/>
              <w:rPr>
                <w:color w:val="000000"/>
                <w:highlight w:val="none"/>
              </w:rPr>
            </w:pPr>
          </w:p>
        </w:tc>
        <w:tc>
          <w:tcPr>
            <w:tcW w:w="850" w:type="dxa"/>
            <w:noWrap w:val="0"/>
            <w:vAlign w:val="top"/>
          </w:tcPr>
          <w:p w14:paraId="3DDAD0B1">
            <w:pPr>
              <w:jc w:val="both"/>
              <w:rPr>
                <w:color w:val="000000"/>
                <w:highlight w:val="none"/>
              </w:rPr>
            </w:pPr>
          </w:p>
        </w:tc>
      </w:tr>
      <w:tr w14:paraId="256BD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54F0B813">
            <w:pPr>
              <w:jc w:val="both"/>
              <w:rPr>
                <w:color w:val="000000"/>
                <w:highlight w:val="none"/>
              </w:rPr>
            </w:pPr>
          </w:p>
        </w:tc>
        <w:tc>
          <w:tcPr>
            <w:tcW w:w="992" w:type="dxa"/>
            <w:noWrap w:val="0"/>
            <w:vAlign w:val="top"/>
          </w:tcPr>
          <w:p w14:paraId="250EB009">
            <w:pPr>
              <w:jc w:val="both"/>
              <w:rPr>
                <w:color w:val="000000"/>
                <w:highlight w:val="none"/>
              </w:rPr>
            </w:pPr>
          </w:p>
        </w:tc>
        <w:tc>
          <w:tcPr>
            <w:tcW w:w="1134" w:type="dxa"/>
            <w:noWrap w:val="0"/>
            <w:vAlign w:val="top"/>
          </w:tcPr>
          <w:p w14:paraId="1C121C62">
            <w:pPr>
              <w:jc w:val="both"/>
              <w:rPr>
                <w:color w:val="000000"/>
                <w:highlight w:val="none"/>
              </w:rPr>
            </w:pPr>
          </w:p>
        </w:tc>
        <w:tc>
          <w:tcPr>
            <w:tcW w:w="1345" w:type="dxa"/>
            <w:noWrap w:val="0"/>
            <w:vAlign w:val="top"/>
          </w:tcPr>
          <w:p w14:paraId="1260E520">
            <w:pPr>
              <w:jc w:val="both"/>
              <w:rPr>
                <w:color w:val="000000"/>
                <w:highlight w:val="none"/>
              </w:rPr>
            </w:pPr>
          </w:p>
        </w:tc>
        <w:tc>
          <w:tcPr>
            <w:tcW w:w="1045" w:type="dxa"/>
            <w:noWrap w:val="0"/>
            <w:vAlign w:val="top"/>
          </w:tcPr>
          <w:p w14:paraId="07112AAE">
            <w:pPr>
              <w:jc w:val="both"/>
              <w:rPr>
                <w:color w:val="000000"/>
                <w:highlight w:val="none"/>
              </w:rPr>
            </w:pPr>
          </w:p>
        </w:tc>
        <w:tc>
          <w:tcPr>
            <w:tcW w:w="1045" w:type="dxa"/>
            <w:noWrap w:val="0"/>
            <w:vAlign w:val="top"/>
          </w:tcPr>
          <w:p w14:paraId="6835E015">
            <w:pPr>
              <w:jc w:val="both"/>
              <w:rPr>
                <w:color w:val="000000"/>
                <w:highlight w:val="none"/>
              </w:rPr>
            </w:pPr>
          </w:p>
        </w:tc>
        <w:tc>
          <w:tcPr>
            <w:tcW w:w="1952" w:type="dxa"/>
            <w:noWrap w:val="0"/>
            <w:vAlign w:val="top"/>
          </w:tcPr>
          <w:p w14:paraId="2A795B4F">
            <w:pPr>
              <w:jc w:val="both"/>
              <w:rPr>
                <w:color w:val="000000"/>
                <w:highlight w:val="none"/>
              </w:rPr>
            </w:pPr>
          </w:p>
        </w:tc>
        <w:tc>
          <w:tcPr>
            <w:tcW w:w="850" w:type="dxa"/>
            <w:noWrap w:val="0"/>
            <w:vAlign w:val="top"/>
          </w:tcPr>
          <w:p w14:paraId="017E41FD">
            <w:pPr>
              <w:jc w:val="both"/>
              <w:rPr>
                <w:color w:val="000000"/>
                <w:highlight w:val="none"/>
              </w:rPr>
            </w:pPr>
          </w:p>
        </w:tc>
      </w:tr>
      <w:tr w14:paraId="76705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248DA820">
            <w:pPr>
              <w:jc w:val="both"/>
              <w:rPr>
                <w:color w:val="000000"/>
                <w:highlight w:val="none"/>
              </w:rPr>
            </w:pPr>
          </w:p>
        </w:tc>
        <w:tc>
          <w:tcPr>
            <w:tcW w:w="992" w:type="dxa"/>
            <w:noWrap w:val="0"/>
            <w:vAlign w:val="top"/>
          </w:tcPr>
          <w:p w14:paraId="1B21AF5C">
            <w:pPr>
              <w:jc w:val="both"/>
              <w:rPr>
                <w:color w:val="000000"/>
                <w:highlight w:val="none"/>
              </w:rPr>
            </w:pPr>
          </w:p>
        </w:tc>
        <w:tc>
          <w:tcPr>
            <w:tcW w:w="1134" w:type="dxa"/>
            <w:noWrap w:val="0"/>
            <w:vAlign w:val="top"/>
          </w:tcPr>
          <w:p w14:paraId="75C6E02F">
            <w:pPr>
              <w:jc w:val="both"/>
              <w:rPr>
                <w:color w:val="000000"/>
                <w:highlight w:val="none"/>
              </w:rPr>
            </w:pPr>
          </w:p>
        </w:tc>
        <w:tc>
          <w:tcPr>
            <w:tcW w:w="1345" w:type="dxa"/>
            <w:noWrap w:val="0"/>
            <w:vAlign w:val="top"/>
          </w:tcPr>
          <w:p w14:paraId="768BF63E">
            <w:pPr>
              <w:jc w:val="both"/>
              <w:rPr>
                <w:color w:val="000000"/>
                <w:highlight w:val="none"/>
              </w:rPr>
            </w:pPr>
          </w:p>
        </w:tc>
        <w:tc>
          <w:tcPr>
            <w:tcW w:w="1045" w:type="dxa"/>
            <w:noWrap w:val="0"/>
            <w:vAlign w:val="top"/>
          </w:tcPr>
          <w:p w14:paraId="6F9681B0">
            <w:pPr>
              <w:jc w:val="both"/>
              <w:rPr>
                <w:color w:val="000000"/>
                <w:highlight w:val="none"/>
              </w:rPr>
            </w:pPr>
          </w:p>
        </w:tc>
        <w:tc>
          <w:tcPr>
            <w:tcW w:w="1045" w:type="dxa"/>
            <w:noWrap w:val="0"/>
            <w:vAlign w:val="top"/>
          </w:tcPr>
          <w:p w14:paraId="1BF4125D">
            <w:pPr>
              <w:jc w:val="both"/>
              <w:rPr>
                <w:color w:val="000000"/>
                <w:highlight w:val="none"/>
              </w:rPr>
            </w:pPr>
          </w:p>
        </w:tc>
        <w:tc>
          <w:tcPr>
            <w:tcW w:w="1952" w:type="dxa"/>
            <w:noWrap w:val="0"/>
            <w:vAlign w:val="top"/>
          </w:tcPr>
          <w:p w14:paraId="61F895A3">
            <w:pPr>
              <w:jc w:val="both"/>
              <w:rPr>
                <w:color w:val="000000"/>
                <w:highlight w:val="none"/>
              </w:rPr>
            </w:pPr>
          </w:p>
        </w:tc>
        <w:tc>
          <w:tcPr>
            <w:tcW w:w="850" w:type="dxa"/>
            <w:noWrap w:val="0"/>
            <w:vAlign w:val="top"/>
          </w:tcPr>
          <w:p w14:paraId="5CC5B61A">
            <w:pPr>
              <w:jc w:val="both"/>
              <w:rPr>
                <w:color w:val="000000"/>
                <w:highlight w:val="none"/>
              </w:rPr>
            </w:pPr>
          </w:p>
        </w:tc>
      </w:tr>
      <w:tr w14:paraId="598E1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618D2ECA">
            <w:pPr>
              <w:jc w:val="both"/>
              <w:rPr>
                <w:color w:val="000000"/>
                <w:highlight w:val="none"/>
              </w:rPr>
            </w:pPr>
          </w:p>
        </w:tc>
        <w:tc>
          <w:tcPr>
            <w:tcW w:w="992" w:type="dxa"/>
            <w:noWrap w:val="0"/>
            <w:vAlign w:val="top"/>
          </w:tcPr>
          <w:p w14:paraId="205A689B">
            <w:pPr>
              <w:jc w:val="both"/>
              <w:rPr>
                <w:color w:val="000000"/>
                <w:highlight w:val="none"/>
              </w:rPr>
            </w:pPr>
          </w:p>
        </w:tc>
        <w:tc>
          <w:tcPr>
            <w:tcW w:w="1134" w:type="dxa"/>
            <w:noWrap w:val="0"/>
            <w:vAlign w:val="top"/>
          </w:tcPr>
          <w:p w14:paraId="0E117DA2">
            <w:pPr>
              <w:jc w:val="both"/>
              <w:rPr>
                <w:color w:val="000000"/>
                <w:highlight w:val="none"/>
              </w:rPr>
            </w:pPr>
          </w:p>
        </w:tc>
        <w:tc>
          <w:tcPr>
            <w:tcW w:w="1345" w:type="dxa"/>
            <w:noWrap w:val="0"/>
            <w:vAlign w:val="top"/>
          </w:tcPr>
          <w:p w14:paraId="68232282">
            <w:pPr>
              <w:jc w:val="both"/>
              <w:rPr>
                <w:color w:val="000000"/>
                <w:highlight w:val="none"/>
              </w:rPr>
            </w:pPr>
          </w:p>
        </w:tc>
        <w:tc>
          <w:tcPr>
            <w:tcW w:w="1045" w:type="dxa"/>
            <w:noWrap w:val="0"/>
            <w:vAlign w:val="top"/>
          </w:tcPr>
          <w:p w14:paraId="1D65A34D">
            <w:pPr>
              <w:jc w:val="both"/>
              <w:rPr>
                <w:color w:val="000000"/>
                <w:highlight w:val="none"/>
              </w:rPr>
            </w:pPr>
          </w:p>
        </w:tc>
        <w:tc>
          <w:tcPr>
            <w:tcW w:w="1045" w:type="dxa"/>
            <w:noWrap w:val="0"/>
            <w:vAlign w:val="top"/>
          </w:tcPr>
          <w:p w14:paraId="6CF0E9E1">
            <w:pPr>
              <w:jc w:val="both"/>
              <w:rPr>
                <w:color w:val="000000"/>
                <w:highlight w:val="none"/>
              </w:rPr>
            </w:pPr>
          </w:p>
        </w:tc>
        <w:tc>
          <w:tcPr>
            <w:tcW w:w="1952" w:type="dxa"/>
            <w:noWrap w:val="0"/>
            <w:vAlign w:val="top"/>
          </w:tcPr>
          <w:p w14:paraId="5804E40A">
            <w:pPr>
              <w:jc w:val="both"/>
              <w:rPr>
                <w:color w:val="000000"/>
                <w:highlight w:val="none"/>
              </w:rPr>
            </w:pPr>
          </w:p>
        </w:tc>
        <w:tc>
          <w:tcPr>
            <w:tcW w:w="850" w:type="dxa"/>
            <w:noWrap w:val="0"/>
            <w:vAlign w:val="top"/>
          </w:tcPr>
          <w:p w14:paraId="3FD03F10">
            <w:pPr>
              <w:jc w:val="both"/>
              <w:rPr>
                <w:color w:val="000000"/>
                <w:highlight w:val="none"/>
              </w:rPr>
            </w:pPr>
          </w:p>
        </w:tc>
      </w:tr>
      <w:tr w14:paraId="4BC69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07A94F90">
            <w:pPr>
              <w:jc w:val="both"/>
              <w:rPr>
                <w:color w:val="000000"/>
                <w:highlight w:val="none"/>
              </w:rPr>
            </w:pPr>
          </w:p>
        </w:tc>
        <w:tc>
          <w:tcPr>
            <w:tcW w:w="992" w:type="dxa"/>
            <w:noWrap w:val="0"/>
            <w:vAlign w:val="top"/>
          </w:tcPr>
          <w:p w14:paraId="3DF2D3A4">
            <w:pPr>
              <w:jc w:val="both"/>
              <w:rPr>
                <w:color w:val="000000"/>
                <w:highlight w:val="none"/>
              </w:rPr>
            </w:pPr>
          </w:p>
        </w:tc>
        <w:tc>
          <w:tcPr>
            <w:tcW w:w="1134" w:type="dxa"/>
            <w:noWrap w:val="0"/>
            <w:vAlign w:val="top"/>
          </w:tcPr>
          <w:p w14:paraId="558915A9">
            <w:pPr>
              <w:jc w:val="both"/>
              <w:rPr>
                <w:color w:val="000000"/>
                <w:highlight w:val="none"/>
              </w:rPr>
            </w:pPr>
          </w:p>
        </w:tc>
        <w:tc>
          <w:tcPr>
            <w:tcW w:w="1345" w:type="dxa"/>
            <w:noWrap w:val="0"/>
            <w:vAlign w:val="top"/>
          </w:tcPr>
          <w:p w14:paraId="2AADBF6E">
            <w:pPr>
              <w:jc w:val="both"/>
              <w:rPr>
                <w:color w:val="000000"/>
                <w:highlight w:val="none"/>
              </w:rPr>
            </w:pPr>
          </w:p>
        </w:tc>
        <w:tc>
          <w:tcPr>
            <w:tcW w:w="1045" w:type="dxa"/>
            <w:noWrap w:val="0"/>
            <w:vAlign w:val="top"/>
          </w:tcPr>
          <w:p w14:paraId="0C34ED17">
            <w:pPr>
              <w:jc w:val="both"/>
              <w:rPr>
                <w:color w:val="000000"/>
                <w:highlight w:val="none"/>
              </w:rPr>
            </w:pPr>
          </w:p>
        </w:tc>
        <w:tc>
          <w:tcPr>
            <w:tcW w:w="1045" w:type="dxa"/>
            <w:noWrap w:val="0"/>
            <w:vAlign w:val="top"/>
          </w:tcPr>
          <w:p w14:paraId="1A84CA70">
            <w:pPr>
              <w:jc w:val="both"/>
              <w:rPr>
                <w:color w:val="000000"/>
                <w:highlight w:val="none"/>
              </w:rPr>
            </w:pPr>
          </w:p>
        </w:tc>
        <w:tc>
          <w:tcPr>
            <w:tcW w:w="1952" w:type="dxa"/>
            <w:noWrap w:val="0"/>
            <w:vAlign w:val="top"/>
          </w:tcPr>
          <w:p w14:paraId="5AFA531E">
            <w:pPr>
              <w:jc w:val="both"/>
              <w:rPr>
                <w:color w:val="000000"/>
                <w:highlight w:val="none"/>
              </w:rPr>
            </w:pPr>
          </w:p>
        </w:tc>
        <w:tc>
          <w:tcPr>
            <w:tcW w:w="850" w:type="dxa"/>
            <w:noWrap w:val="0"/>
            <w:vAlign w:val="top"/>
          </w:tcPr>
          <w:p w14:paraId="10E54E37">
            <w:pPr>
              <w:jc w:val="both"/>
              <w:rPr>
                <w:color w:val="000000"/>
                <w:highlight w:val="none"/>
              </w:rPr>
            </w:pPr>
          </w:p>
        </w:tc>
      </w:tr>
      <w:tr w14:paraId="0620F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5BC3D269">
            <w:pPr>
              <w:jc w:val="both"/>
              <w:rPr>
                <w:color w:val="000000"/>
                <w:highlight w:val="none"/>
              </w:rPr>
            </w:pPr>
          </w:p>
        </w:tc>
        <w:tc>
          <w:tcPr>
            <w:tcW w:w="992" w:type="dxa"/>
            <w:noWrap w:val="0"/>
            <w:vAlign w:val="top"/>
          </w:tcPr>
          <w:p w14:paraId="2B4A9F2E">
            <w:pPr>
              <w:jc w:val="both"/>
              <w:rPr>
                <w:color w:val="000000"/>
                <w:highlight w:val="none"/>
              </w:rPr>
            </w:pPr>
          </w:p>
        </w:tc>
        <w:tc>
          <w:tcPr>
            <w:tcW w:w="1134" w:type="dxa"/>
            <w:noWrap w:val="0"/>
            <w:vAlign w:val="top"/>
          </w:tcPr>
          <w:p w14:paraId="76C3809C">
            <w:pPr>
              <w:jc w:val="both"/>
              <w:rPr>
                <w:color w:val="000000"/>
                <w:highlight w:val="none"/>
              </w:rPr>
            </w:pPr>
          </w:p>
        </w:tc>
        <w:tc>
          <w:tcPr>
            <w:tcW w:w="1345" w:type="dxa"/>
            <w:noWrap w:val="0"/>
            <w:vAlign w:val="top"/>
          </w:tcPr>
          <w:p w14:paraId="76578C85">
            <w:pPr>
              <w:jc w:val="both"/>
              <w:rPr>
                <w:color w:val="000000"/>
                <w:highlight w:val="none"/>
              </w:rPr>
            </w:pPr>
          </w:p>
        </w:tc>
        <w:tc>
          <w:tcPr>
            <w:tcW w:w="1045" w:type="dxa"/>
            <w:noWrap w:val="0"/>
            <w:vAlign w:val="top"/>
          </w:tcPr>
          <w:p w14:paraId="51ED3CF8">
            <w:pPr>
              <w:jc w:val="both"/>
              <w:rPr>
                <w:color w:val="000000"/>
                <w:highlight w:val="none"/>
              </w:rPr>
            </w:pPr>
          </w:p>
        </w:tc>
        <w:tc>
          <w:tcPr>
            <w:tcW w:w="1045" w:type="dxa"/>
            <w:noWrap w:val="0"/>
            <w:vAlign w:val="top"/>
          </w:tcPr>
          <w:p w14:paraId="13C0AC65">
            <w:pPr>
              <w:jc w:val="both"/>
              <w:rPr>
                <w:color w:val="000000"/>
                <w:highlight w:val="none"/>
              </w:rPr>
            </w:pPr>
          </w:p>
        </w:tc>
        <w:tc>
          <w:tcPr>
            <w:tcW w:w="1952" w:type="dxa"/>
            <w:noWrap w:val="0"/>
            <w:vAlign w:val="top"/>
          </w:tcPr>
          <w:p w14:paraId="0FDBC5DD">
            <w:pPr>
              <w:jc w:val="both"/>
              <w:rPr>
                <w:color w:val="000000"/>
                <w:highlight w:val="none"/>
              </w:rPr>
            </w:pPr>
          </w:p>
        </w:tc>
        <w:tc>
          <w:tcPr>
            <w:tcW w:w="850" w:type="dxa"/>
            <w:noWrap w:val="0"/>
            <w:vAlign w:val="top"/>
          </w:tcPr>
          <w:p w14:paraId="3378DC43">
            <w:pPr>
              <w:jc w:val="both"/>
              <w:rPr>
                <w:color w:val="000000"/>
                <w:highlight w:val="none"/>
              </w:rPr>
            </w:pPr>
          </w:p>
        </w:tc>
      </w:tr>
      <w:tr w14:paraId="73296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999CDD3">
            <w:pPr>
              <w:jc w:val="both"/>
              <w:rPr>
                <w:color w:val="000000"/>
                <w:highlight w:val="none"/>
              </w:rPr>
            </w:pPr>
          </w:p>
        </w:tc>
        <w:tc>
          <w:tcPr>
            <w:tcW w:w="992" w:type="dxa"/>
            <w:noWrap w:val="0"/>
            <w:vAlign w:val="top"/>
          </w:tcPr>
          <w:p w14:paraId="7BD477F8">
            <w:pPr>
              <w:jc w:val="both"/>
              <w:rPr>
                <w:color w:val="000000"/>
                <w:highlight w:val="none"/>
              </w:rPr>
            </w:pPr>
          </w:p>
        </w:tc>
        <w:tc>
          <w:tcPr>
            <w:tcW w:w="1134" w:type="dxa"/>
            <w:noWrap w:val="0"/>
            <w:vAlign w:val="top"/>
          </w:tcPr>
          <w:p w14:paraId="4CE3C1E6">
            <w:pPr>
              <w:jc w:val="both"/>
              <w:rPr>
                <w:color w:val="000000"/>
                <w:highlight w:val="none"/>
              </w:rPr>
            </w:pPr>
          </w:p>
        </w:tc>
        <w:tc>
          <w:tcPr>
            <w:tcW w:w="1345" w:type="dxa"/>
            <w:noWrap w:val="0"/>
            <w:vAlign w:val="top"/>
          </w:tcPr>
          <w:p w14:paraId="5DBCA8FF">
            <w:pPr>
              <w:jc w:val="both"/>
              <w:rPr>
                <w:color w:val="000000"/>
                <w:highlight w:val="none"/>
              </w:rPr>
            </w:pPr>
          </w:p>
        </w:tc>
        <w:tc>
          <w:tcPr>
            <w:tcW w:w="1045" w:type="dxa"/>
            <w:noWrap w:val="0"/>
            <w:vAlign w:val="top"/>
          </w:tcPr>
          <w:p w14:paraId="5035D7D0">
            <w:pPr>
              <w:jc w:val="both"/>
              <w:rPr>
                <w:color w:val="000000"/>
                <w:highlight w:val="none"/>
              </w:rPr>
            </w:pPr>
          </w:p>
        </w:tc>
        <w:tc>
          <w:tcPr>
            <w:tcW w:w="1045" w:type="dxa"/>
            <w:noWrap w:val="0"/>
            <w:vAlign w:val="top"/>
          </w:tcPr>
          <w:p w14:paraId="2CD3803A">
            <w:pPr>
              <w:jc w:val="both"/>
              <w:rPr>
                <w:color w:val="000000"/>
                <w:highlight w:val="none"/>
              </w:rPr>
            </w:pPr>
          </w:p>
        </w:tc>
        <w:tc>
          <w:tcPr>
            <w:tcW w:w="1952" w:type="dxa"/>
            <w:noWrap w:val="0"/>
            <w:vAlign w:val="top"/>
          </w:tcPr>
          <w:p w14:paraId="2DD90759">
            <w:pPr>
              <w:jc w:val="both"/>
              <w:rPr>
                <w:color w:val="000000"/>
                <w:highlight w:val="none"/>
              </w:rPr>
            </w:pPr>
          </w:p>
        </w:tc>
        <w:tc>
          <w:tcPr>
            <w:tcW w:w="850" w:type="dxa"/>
            <w:noWrap w:val="0"/>
            <w:vAlign w:val="top"/>
          </w:tcPr>
          <w:p w14:paraId="29BEA2A2">
            <w:pPr>
              <w:jc w:val="both"/>
              <w:rPr>
                <w:color w:val="000000"/>
                <w:highlight w:val="none"/>
              </w:rPr>
            </w:pPr>
          </w:p>
        </w:tc>
      </w:tr>
    </w:tbl>
    <w:p w14:paraId="3A293D0A">
      <w:pPr>
        <w:spacing w:line="291" w:lineRule="auto"/>
        <w:jc w:val="both"/>
        <w:rPr>
          <w:color w:val="000000"/>
          <w:highlight w:val="none"/>
        </w:rPr>
      </w:pPr>
    </w:p>
    <w:p w14:paraId="702DB2D4">
      <w:pPr>
        <w:spacing w:line="292" w:lineRule="auto"/>
        <w:jc w:val="both"/>
        <w:rPr>
          <w:color w:val="000000"/>
          <w:highlight w:val="none"/>
        </w:rPr>
      </w:pPr>
    </w:p>
    <w:p w14:paraId="7958E5B7">
      <w:pPr>
        <w:tabs>
          <w:tab w:val="left" w:pos="6520"/>
        </w:tabs>
        <w:spacing w:before="75" w:line="503" w:lineRule="auto"/>
        <w:ind w:left="5429" w:hanging="535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招标人代表：</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记录人：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监标人：</w:t>
      </w:r>
      <w:r>
        <w:rPr>
          <w:rFonts w:ascii="宋体" w:hAnsi="宋体" w:eastAsia="宋体" w:cs="宋体"/>
          <w:color w:val="000000"/>
          <w:sz w:val="23"/>
          <w:szCs w:val="23"/>
          <w:highlight w:val="none"/>
          <w:u w:val="single"/>
        </w:rPr>
        <w:t xml:space="preserve">   </w:t>
      </w:r>
    </w:p>
    <w:p w14:paraId="042502D5">
      <w:pPr>
        <w:tabs>
          <w:tab w:val="left" w:pos="6520"/>
        </w:tabs>
        <w:spacing w:before="75" w:line="503" w:lineRule="auto"/>
        <w:ind w:left="5429" w:hanging="5357"/>
        <w:jc w:val="right"/>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15CD2663">
      <w:pPr>
        <w:pStyle w:val="20"/>
        <w:rPr>
          <w:rFonts w:ascii="宋体" w:hAnsi="宋体" w:eastAsia="宋体" w:cs="宋体"/>
          <w:color w:val="000000"/>
          <w:sz w:val="23"/>
          <w:szCs w:val="23"/>
          <w:highlight w:val="none"/>
        </w:rPr>
      </w:pPr>
    </w:p>
    <w:p w14:paraId="51545E3E">
      <w:pPr>
        <w:pStyle w:val="20"/>
        <w:rPr>
          <w:highlight w:val="none"/>
        </w:rPr>
        <w:sectPr>
          <w:footerReference r:id="rId7" w:type="default"/>
          <w:pgSz w:w="11906" w:h="16839"/>
          <w:pgMar w:top="1418" w:right="1559" w:bottom="1418" w:left="1474" w:header="0" w:footer="1035" w:gutter="0"/>
          <w:pgNumType w:fmt="decimal"/>
          <w:cols w:space="720" w:num="1"/>
        </w:sectPr>
      </w:pPr>
    </w:p>
    <w:p w14:paraId="1D0029D9">
      <w:pPr>
        <w:spacing w:before="91" w:line="220" w:lineRule="auto"/>
        <w:jc w:val="both"/>
        <w:outlineLvl w:val="1"/>
        <w:rPr>
          <w:rFonts w:ascii="宋体" w:hAnsi="宋体" w:eastAsia="宋体" w:cs="宋体"/>
          <w:color w:val="000000"/>
          <w:sz w:val="28"/>
          <w:szCs w:val="28"/>
          <w:highlight w:val="none"/>
        </w:rPr>
      </w:pPr>
      <w:bookmarkStart w:id="40" w:name="_bookmark6"/>
      <w:bookmarkEnd w:id="40"/>
      <w:r>
        <w:rPr>
          <w:rFonts w:ascii="宋体" w:hAnsi="宋体" w:eastAsia="宋体" w:cs="宋体"/>
          <w:color w:val="000000"/>
          <w:sz w:val="28"/>
          <w:szCs w:val="28"/>
          <w:highlight w:val="none"/>
        </w:rPr>
        <w:t>附表二：问题澄清通知</w:t>
      </w:r>
    </w:p>
    <w:p w14:paraId="79402766">
      <w:pPr>
        <w:spacing w:line="331" w:lineRule="auto"/>
        <w:jc w:val="both"/>
        <w:rPr>
          <w:color w:val="000000"/>
          <w:highlight w:val="none"/>
        </w:rPr>
      </w:pPr>
    </w:p>
    <w:p w14:paraId="2157A72B">
      <w:pPr>
        <w:spacing w:line="332" w:lineRule="auto"/>
        <w:jc w:val="both"/>
        <w:rPr>
          <w:color w:val="000000"/>
          <w:highlight w:val="none"/>
        </w:rPr>
      </w:pPr>
    </w:p>
    <w:p w14:paraId="188BAF17">
      <w:pPr>
        <w:spacing w:before="91" w:line="221" w:lineRule="auto"/>
        <w:ind w:left="3845"/>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问题澄清通知</w:t>
      </w:r>
    </w:p>
    <w:p w14:paraId="07E861B6">
      <w:pPr>
        <w:spacing w:before="287" w:line="221" w:lineRule="auto"/>
        <w:ind w:left="3957"/>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编号：</w:t>
      </w:r>
    </w:p>
    <w:p w14:paraId="2008EE39">
      <w:pPr>
        <w:spacing w:line="349" w:lineRule="auto"/>
        <w:jc w:val="both"/>
        <w:rPr>
          <w:color w:val="000000"/>
          <w:highlight w:val="none"/>
        </w:rPr>
      </w:pPr>
    </w:p>
    <w:p w14:paraId="764CEA51">
      <w:pPr>
        <w:spacing w:line="349" w:lineRule="auto"/>
        <w:jc w:val="both"/>
        <w:rPr>
          <w:color w:val="000000"/>
          <w:highlight w:val="none"/>
        </w:rPr>
      </w:pPr>
    </w:p>
    <w:p w14:paraId="60060A02">
      <w:pPr>
        <w:tabs>
          <w:tab w:val="left" w:pos="1978"/>
        </w:tabs>
        <w:spacing w:before="91" w:line="221" w:lineRule="auto"/>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(投标人名称):</w:t>
      </w:r>
    </w:p>
    <w:p w14:paraId="43BBD769">
      <w:pPr>
        <w:tabs>
          <w:tab w:val="left" w:pos="1558"/>
        </w:tabs>
        <w:spacing w:before="226" w:line="377" w:lineRule="auto"/>
        <w:ind w:left="10" w:right="72" w:firstLine="549"/>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(项目名称)标段招标的评标委员会，对你方的投标文件进行了仔细的审查，现需你方对下列问题以书面形式予以澄清：</w:t>
      </w:r>
    </w:p>
    <w:p w14:paraId="2827BF39">
      <w:pPr>
        <w:spacing w:before="18" w:line="563" w:lineRule="exact"/>
        <w:ind w:left="591"/>
        <w:jc w:val="both"/>
        <w:rPr>
          <w:rFonts w:ascii="宋体" w:hAnsi="宋体" w:eastAsia="宋体" w:cs="宋体"/>
          <w:color w:val="000000"/>
          <w:sz w:val="24"/>
          <w:szCs w:val="24"/>
          <w:highlight w:val="none"/>
        </w:rPr>
      </w:pPr>
      <w:r>
        <w:rPr>
          <w:rFonts w:ascii="宋体" w:hAnsi="宋体" w:eastAsia="宋体" w:cs="宋体"/>
          <w:color w:val="000000"/>
          <w:position w:val="25"/>
          <w:sz w:val="24"/>
          <w:szCs w:val="24"/>
          <w:highlight w:val="none"/>
        </w:rPr>
        <w:t>1.</w:t>
      </w:r>
    </w:p>
    <w:p w14:paraId="6B6002EF">
      <w:pPr>
        <w:spacing w:line="186" w:lineRule="auto"/>
        <w:ind w:left="574"/>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w:t>
      </w:r>
    </w:p>
    <w:p w14:paraId="59639274">
      <w:pPr>
        <w:spacing w:before="232" w:line="443" w:lineRule="exact"/>
        <w:ind w:left="588"/>
        <w:jc w:val="both"/>
        <w:rPr>
          <w:rFonts w:ascii="宋体" w:hAnsi="宋体" w:eastAsia="宋体" w:cs="宋体"/>
          <w:color w:val="000000"/>
          <w:sz w:val="24"/>
          <w:szCs w:val="24"/>
          <w:highlight w:val="none"/>
        </w:rPr>
      </w:pPr>
      <w:r>
        <w:rPr>
          <w:rFonts w:ascii="宋体" w:hAnsi="宋体" w:eastAsia="宋体" w:cs="宋体"/>
          <w:color w:val="000000"/>
          <w:position w:val="3"/>
          <w:sz w:val="24"/>
          <w:szCs w:val="24"/>
          <w:highlight w:val="none"/>
        </w:rPr>
        <w:t>……</w:t>
      </w:r>
    </w:p>
    <w:p w14:paraId="7E398CB0">
      <w:pPr>
        <w:spacing w:before="116" w:line="379" w:lineRule="auto"/>
        <w:ind w:left="12" w:right="72" w:firstLine="55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请将上述问题的澄清于年月日时前反馈。</w:t>
      </w:r>
    </w:p>
    <w:p w14:paraId="746B5392">
      <w:pPr>
        <w:spacing w:line="248" w:lineRule="auto"/>
        <w:jc w:val="both"/>
        <w:rPr>
          <w:color w:val="000000"/>
          <w:sz w:val="24"/>
          <w:szCs w:val="24"/>
          <w:highlight w:val="none"/>
        </w:rPr>
      </w:pPr>
    </w:p>
    <w:p w14:paraId="3756B589">
      <w:pPr>
        <w:spacing w:line="249" w:lineRule="auto"/>
        <w:jc w:val="both"/>
        <w:rPr>
          <w:color w:val="000000"/>
          <w:sz w:val="24"/>
          <w:szCs w:val="24"/>
          <w:highlight w:val="none"/>
        </w:rPr>
      </w:pPr>
    </w:p>
    <w:p w14:paraId="6B35625E">
      <w:pPr>
        <w:spacing w:line="249" w:lineRule="auto"/>
        <w:jc w:val="both"/>
        <w:rPr>
          <w:color w:val="000000"/>
          <w:sz w:val="24"/>
          <w:szCs w:val="24"/>
          <w:highlight w:val="none"/>
        </w:rPr>
      </w:pPr>
    </w:p>
    <w:p w14:paraId="119E09DE">
      <w:pPr>
        <w:spacing w:line="249" w:lineRule="auto"/>
        <w:jc w:val="both"/>
        <w:rPr>
          <w:color w:val="000000"/>
          <w:sz w:val="24"/>
          <w:szCs w:val="24"/>
          <w:highlight w:val="none"/>
        </w:rPr>
      </w:pPr>
    </w:p>
    <w:p w14:paraId="1040407F">
      <w:pPr>
        <w:tabs>
          <w:tab w:val="left" w:pos="6922"/>
        </w:tabs>
        <w:spacing w:before="91" w:line="377" w:lineRule="auto"/>
        <w:ind w:left="6489" w:hanging="29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评标委员会负责人：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(签字或盖章)</w:t>
      </w:r>
    </w:p>
    <w:p w14:paraId="31B741CC">
      <w:pPr>
        <w:tabs>
          <w:tab w:val="left" w:pos="6922"/>
        </w:tabs>
        <w:spacing w:before="91" w:line="377" w:lineRule="auto"/>
        <w:ind w:left="105" w:leftChars="50" w:firstLine="115" w:firstLineChars="50"/>
        <w:jc w:val="right"/>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08BEEF13">
      <w:pPr>
        <w:jc w:val="both"/>
        <w:rPr>
          <w:color w:val="000000"/>
          <w:highlight w:val="none"/>
        </w:rPr>
        <w:sectPr>
          <w:footerReference r:id="rId8" w:type="default"/>
          <w:pgSz w:w="11906" w:h="16839"/>
          <w:pgMar w:top="1418" w:right="1559" w:bottom="1418" w:left="1474" w:header="0" w:footer="1035" w:gutter="0"/>
          <w:pgNumType w:fmt="decimal"/>
          <w:cols w:space="720" w:num="1"/>
        </w:sectPr>
      </w:pPr>
    </w:p>
    <w:p w14:paraId="23FDF565">
      <w:pPr>
        <w:spacing w:before="157" w:line="220" w:lineRule="auto"/>
        <w:jc w:val="both"/>
        <w:outlineLvl w:val="1"/>
        <w:rPr>
          <w:rFonts w:ascii="宋体" w:hAnsi="宋体" w:eastAsia="宋体" w:cs="宋体"/>
          <w:color w:val="000000"/>
          <w:sz w:val="28"/>
          <w:szCs w:val="28"/>
          <w:highlight w:val="none"/>
        </w:rPr>
      </w:pPr>
      <w:bookmarkStart w:id="41" w:name="_bookmark7"/>
      <w:bookmarkEnd w:id="41"/>
      <w:r>
        <w:rPr>
          <w:rFonts w:ascii="宋体" w:hAnsi="宋体" w:eastAsia="宋体" w:cs="宋体"/>
          <w:color w:val="000000"/>
          <w:sz w:val="28"/>
          <w:szCs w:val="28"/>
          <w:highlight w:val="none"/>
        </w:rPr>
        <w:t>附表三：问题的澄清</w:t>
      </w:r>
    </w:p>
    <w:p w14:paraId="5917974B">
      <w:pPr>
        <w:spacing w:line="264" w:lineRule="auto"/>
        <w:jc w:val="both"/>
        <w:rPr>
          <w:color w:val="000000"/>
          <w:highlight w:val="none"/>
        </w:rPr>
      </w:pPr>
    </w:p>
    <w:p w14:paraId="39D8B791">
      <w:pPr>
        <w:spacing w:line="264" w:lineRule="auto"/>
        <w:jc w:val="both"/>
        <w:rPr>
          <w:color w:val="000000"/>
          <w:highlight w:val="none"/>
        </w:rPr>
      </w:pPr>
    </w:p>
    <w:p w14:paraId="3DE2921B">
      <w:pPr>
        <w:spacing w:line="264" w:lineRule="auto"/>
        <w:jc w:val="both"/>
        <w:rPr>
          <w:color w:val="000000"/>
          <w:highlight w:val="none"/>
        </w:rPr>
      </w:pPr>
    </w:p>
    <w:p w14:paraId="7A646304">
      <w:pPr>
        <w:spacing w:before="91" w:line="221" w:lineRule="auto"/>
        <w:ind w:firstLine="3220" w:firstLineChars="1150"/>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问题的澄清</w:t>
      </w:r>
    </w:p>
    <w:p w14:paraId="7C2511F3">
      <w:pPr>
        <w:spacing w:before="222" w:line="221" w:lineRule="auto"/>
        <w:ind w:left="4413"/>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编号：</w:t>
      </w:r>
    </w:p>
    <w:p w14:paraId="5066040C">
      <w:pPr>
        <w:tabs>
          <w:tab w:val="left" w:pos="761"/>
        </w:tabs>
        <w:spacing w:line="360" w:lineRule="auto"/>
        <w:ind w:firstLine="120" w:firstLineChars="50"/>
        <w:jc w:val="both"/>
        <w:rPr>
          <w:rFonts w:ascii="宋体" w:hAnsi="宋体" w:eastAsia="宋体" w:cs="宋体"/>
          <w:color w:val="000000"/>
          <w:sz w:val="24"/>
          <w:szCs w:val="24"/>
          <w:highlight w:val="none"/>
          <w:u w:val="single"/>
        </w:rPr>
      </w:pPr>
    </w:p>
    <w:p w14:paraId="7690ED98">
      <w:pPr>
        <w:tabs>
          <w:tab w:val="left" w:pos="761"/>
        </w:tabs>
        <w:spacing w:line="360" w:lineRule="auto"/>
        <w:ind w:firstLine="120" w:firstLineChars="5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(项目名称)标段招标评标委员会：</w:t>
      </w:r>
    </w:p>
    <w:p w14:paraId="4E7E40DF">
      <w:pPr>
        <w:spacing w:line="360" w:lineRule="auto"/>
        <w:ind w:left="60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问题澄清通知(编号：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)已收悉，现澄清如下：</w:t>
      </w:r>
    </w:p>
    <w:p w14:paraId="12C3C98D">
      <w:pPr>
        <w:spacing w:line="360" w:lineRule="auto"/>
        <w:ind w:left="1135"/>
        <w:jc w:val="both"/>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w:t>
      </w:r>
    </w:p>
    <w:p w14:paraId="5C380BEC">
      <w:pPr>
        <w:spacing w:line="360" w:lineRule="auto"/>
        <w:ind w:left="113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 xml:space="preserve">                                 </w:t>
      </w:r>
    </w:p>
    <w:p w14:paraId="45BC67C9">
      <w:pPr>
        <w:spacing w:before="234" w:line="443" w:lineRule="exact"/>
        <w:ind w:left="1150"/>
        <w:jc w:val="both"/>
        <w:rPr>
          <w:rFonts w:ascii="宋体" w:hAnsi="宋体" w:eastAsia="宋体" w:cs="宋体"/>
          <w:color w:val="000000"/>
          <w:sz w:val="24"/>
          <w:szCs w:val="24"/>
          <w:highlight w:val="none"/>
        </w:rPr>
      </w:pPr>
      <w:r>
        <w:rPr>
          <w:rFonts w:ascii="宋体" w:hAnsi="宋体" w:eastAsia="宋体" w:cs="宋体"/>
          <w:color w:val="000000"/>
          <w:position w:val="3"/>
          <w:sz w:val="24"/>
          <w:szCs w:val="24"/>
          <w:highlight w:val="none"/>
        </w:rPr>
        <w:t>……</w:t>
      </w:r>
    </w:p>
    <w:p w14:paraId="31C25ADF">
      <w:pPr>
        <w:spacing w:line="250" w:lineRule="auto"/>
        <w:jc w:val="both"/>
        <w:rPr>
          <w:color w:val="000000"/>
          <w:sz w:val="24"/>
          <w:szCs w:val="24"/>
          <w:highlight w:val="none"/>
        </w:rPr>
      </w:pPr>
    </w:p>
    <w:p w14:paraId="606D6512">
      <w:pPr>
        <w:spacing w:line="250" w:lineRule="auto"/>
        <w:jc w:val="both"/>
        <w:rPr>
          <w:color w:val="000000"/>
          <w:sz w:val="24"/>
          <w:szCs w:val="24"/>
          <w:highlight w:val="none"/>
        </w:rPr>
      </w:pPr>
    </w:p>
    <w:p w14:paraId="0E0452E3">
      <w:pPr>
        <w:spacing w:line="250" w:lineRule="auto"/>
        <w:jc w:val="both"/>
        <w:rPr>
          <w:color w:val="000000"/>
          <w:sz w:val="24"/>
          <w:szCs w:val="24"/>
          <w:highlight w:val="none"/>
        </w:rPr>
      </w:pPr>
    </w:p>
    <w:p w14:paraId="7F6253E7">
      <w:pPr>
        <w:spacing w:line="250" w:lineRule="auto"/>
        <w:jc w:val="both"/>
        <w:rPr>
          <w:color w:val="000000"/>
          <w:sz w:val="24"/>
          <w:szCs w:val="24"/>
          <w:highlight w:val="none"/>
        </w:rPr>
      </w:pPr>
    </w:p>
    <w:p w14:paraId="74D62248">
      <w:pPr>
        <w:spacing w:line="250" w:lineRule="auto"/>
        <w:jc w:val="both"/>
        <w:rPr>
          <w:color w:val="000000"/>
          <w:sz w:val="24"/>
          <w:szCs w:val="24"/>
          <w:highlight w:val="none"/>
        </w:rPr>
      </w:pPr>
    </w:p>
    <w:p w14:paraId="62A24090">
      <w:pPr>
        <w:spacing w:line="250" w:lineRule="auto"/>
        <w:jc w:val="both"/>
        <w:rPr>
          <w:color w:val="000000"/>
          <w:sz w:val="24"/>
          <w:szCs w:val="24"/>
          <w:highlight w:val="none"/>
        </w:rPr>
      </w:pPr>
    </w:p>
    <w:p w14:paraId="1B02AEA6">
      <w:pPr>
        <w:spacing w:line="250" w:lineRule="auto"/>
        <w:jc w:val="both"/>
        <w:rPr>
          <w:color w:val="000000"/>
          <w:sz w:val="24"/>
          <w:szCs w:val="24"/>
          <w:highlight w:val="none"/>
        </w:rPr>
      </w:pPr>
    </w:p>
    <w:p w14:paraId="63EAEA8D">
      <w:pPr>
        <w:spacing w:line="250" w:lineRule="auto"/>
        <w:jc w:val="both"/>
        <w:rPr>
          <w:color w:val="000000"/>
          <w:sz w:val="24"/>
          <w:szCs w:val="24"/>
          <w:highlight w:val="none"/>
        </w:rPr>
      </w:pPr>
    </w:p>
    <w:p w14:paraId="67711CD9">
      <w:pPr>
        <w:spacing w:line="251" w:lineRule="auto"/>
        <w:jc w:val="both"/>
        <w:rPr>
          <w:color w:val="000000"/>
          <w:sz w:val="24"/>
          <w:szCs w:val="24"/>
          <w:highlight w:val="none"/>
        </w:rPr>
      </w:pPr>
    </w:p>
    <w:p w14:paraId="4AE0DC56">
      <w:pPr>
        <w:spacing w:before="92" w:line="369" w:lineRule="auto"/>
        <w:ind w:left="2792" w:right="19"/>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(盖章)</w:t>
      </w:r>
    </w:p>
    <w:p w14:paraId="2115AF6B">
      <w:pPr>
        <w:spacing w:before="92" w:line="369" w:lineRule="auto"/>
        <w:ind w:left="120" w:right="19" w:hanging="120" w:hangingChars="50"/>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t>法定代表人或委托代理人：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(签字或盖章)</w:t>
      </w:r>
    </w:p>
    <w:p w14:paraId="38F25D54">
      <w:pPr>
        <w:spacing w:before="92" w:line="369" w:lineRule="auto"/>
        <w:ind w:left="115" w:right="19" w:hanging="115" w:hangingChars="50"/>
        <w:jc w:val="right"/>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2D1D9A57">
      <w:pPr>
        <w:jc w:val="both"/>
        <w:rPr>
          <w:color w:val="000000"/>
          <w:highlight w:val="none"/>
        </w:rPr>
        <w:sectPr>
          <w:footerReference r:id="rId9" w:type="default"/>
          <w:pgSz w:w="11906" w:h="16839"/>
          <w:pgMar w:top="1418" w:right="1559" w:bottom="1418" w:left="1474" w:header="0" w:footer="1035" w:gutter="0"/>
          <w:pgNumType w:fmt="decimal"/>
          <w:cols w:space="720" w:num="1"/>
        </w:sectPr>
      </w:pPr>
    </w:p>
    <w:p w14:paraId="72FB1BF9">
      <w:pPr>
        <w:spacing w:before="91" w:line="220" w:lineRule="auto"/>
        <w:jc w:val="both"/>
        <w:outlineLvl w:val="1"/>
        <w:rPr>
          <w:rFonts w:ascii="宋体" w:hAnsi="宋体" w:eastAsia="宋体" w:cs="宋体"/>
          <w:color w:val="000000"/>
          <w:sz w:val="28"/>
          <w:szCs w:val="28"/>
          <w:highlight w:val="none"/>
        </w:rPr>
      </w:pPr>
      <w:bookmarkStart w:id="42" w:name="_bookmark8"/>
      <w:bookmarkEnd w:id="42"/>
      <w:r>
        <w:rPr>
          <w:rFonts w:ascii="宋体" w:hAnsi="宋体" w:eastAsia="宋体" w:cs="宋体"/>
          <w:color w:val="000000"/>
          <w:sz w:val="28"/>
          <w:szCs w:val="28"/>
          <w:highlight w:val="none"/>
        </w:rPr>
        <w:t>附表四：中标通知书</w:t>
      </w:r>
    </w:p>
    <w:p w14:paraId="307D2E3F">
      <w:pPr>
        <w:spacing w:before="266" w:line="227" w:lineRule="auto"/>
        <w:ind w:left="4424"/>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中标通知书</w:t>
      </w:r>
    </w:p>
    <w:p w14:paraId="030E4F91">
      <w:pPr>
        <w:spacing w:before="157" w:line="358" w:lineRule="auto"/>
        <w:ind w:left="398" w:right="389"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5C51A490">
      <w:pPr>
        <w:jc w:val="both"/>
        <w:rPr>
          <w:color w:val="000000"/>
          <w:highlight w:val="none"/>
        </w:rPr>
      </w:pPr>
    </w:p>
    <w:p w14:paraId="03E27691">
      <w:pPr>
        <w:spacing w:line="27" w:lineRule="exact"/>
        <w:jc w:val="both"/>
        <w:rPr>
          <w:color w:val="000000"/>
          <w:highlight w:val="none"/>
        </w:rPr>
      </w:pPr>
    </w:p>
    <w:tbl>
      <w:tblPr>
        <w:tblStyle w:val="55"/>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0BDD5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26056966">
            <w:pPr>
              <w:spacing w:before="200"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招标项目名称</w:t>
            </w:r>
          </w:p>
        </w:tc>
        <w:tc>
          <w:tcPr>
            <w:tcW w:w="7088" w:type="dxa"/>
            <w:noWrap w:val="0"/>
            <w:vAlign w:val="top"/>
          </w:tcPr>
          <w:p w14:paraId="416BE1F1">
            <w:pPr>
              <w:jc w:val="both"/>
              <w:rPr>
                <w:color w:val="000000"/>
                <w:highlight w:val="none"/>
              </w:rPr>
            </w:pPr>
          </w:p>
        </w:tc>
      </w:tr>
      <w:tr w14:paraId="19A4B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5ED9E81B">
            <w:pPr>
              <w:spacing w:before="138"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招标人名称</w:t>
            </w:r>
          </w:p>
        </w:tc>
        <w:tc>
          <w:tcPr>
            <w:tcW w:w="7088" w:type="dxa"/>
            <w:noWrap w:val="0"/>
            <w:vAlign w:val="top"/>
          </w:tcPr>
          <w:p w14:paraId="20AE8488">
            <w:pPr>
              <w:jc w:val="both"/>
              <w:rPr>
                <w:color w:val="000000"/>
                <w:highlight w:val="none"/>
              </w:rPr>
            </w:pPr>
          </w:p>
        </w:tc>
      </w:tr>
      <w:tr w14:paraId="10EB5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19E0C223">
            <w:pPr>
              <w:spacing w:before="159"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中标人名称</w:t>
            </w:r>
          </w:p>
        </w:tc>
        <w:tc>
          <w:tcPr>
            <w:tcW w:w="7088" w:type="dxa"/>
            <w:noWrap w:val="0"/>
            <w:vAlign w:val="top"/>
          </w:tcPr>
          <w:p w14:paraId="6C0423F1">
            <w:pPr>
              <w:jc w:val="both"/>
              <w:rPr>
                <w:color w:val="000000"/>
                <w:highlight w:val="none"/>
              </w:rPr>
            </w:pPr>
          </w:p>
        </w:tc>
      </w:tr>
      <w:tr w14:paraId="0C555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3566EB62">
            <w:pPr>
              <w:spacing w:before="116"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项目负责人</w:t>
            </w:r>
          </w:p>
        </w:tc>
        <w:tc>
          <w:tcPr>
            <w:tcW w:w="7088" w:type="dxa"/>
            <w:noWrap w:val="0"/>
            <w:vAlign w:val="top"/>
          </w:tcPr>
          <w:p w14:paraId="62A55E28">
            <w:pPr>
              <w:jc w:val="both"/>
              <w:rPr>
                <w:color w:val="000000"/>
                <w:highlight w:val="none"/>
              </w:rPr>
            </w:pPr>
          </w:p>
        </w:tc>
      </w:tr>
      <w:tr w14:paraId="26B4E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0FA06AF3">
            <w:pPr>
              <w:spacing w:before="267"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中标金额</w:t>
            </w:r>
          </w:p>
        </w:tc>
        <w:tc>
          <w:tcPr>
            <w:tcW w:w="7088" w:type="dxa"/>
            <w:noWrap w:val="0"/>
            <w:vAlign w:val="top"/>
          </w:tcPr>
          <w:p w14:paraId="191F50EC">
            <w:pPr>
              <w:spacing w:before="267" w:line="229" w:lineRule="auto"/>
              <w:ind w:left="12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(大写)：</w:t>
            </w:r>
          </w:p>
          <w:p w14:paraId="2C5CA08F">
            <w:pPr>
              <w:spacing w:before="267" w:line="229" w:lineRule="auto"/>
              <w:ind w:left="12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(小写)：</w:t>
            </w:r>
          </w:p>
        </w:tc>
      </w:tr>
      <w:tr w14:paraId="6FB11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5B7330D2">
            <w:pPr>
              <w:spacing w:before="178"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中标内容范围</w:t>
            </w:r>
          </w:p>
        </w:tc>
        <w:tc>
          <w:tcPr>
            <w:tcW w:w="7088" w:type="dxa"/>
            <w:noWrap w:val="0"/>
            <w:vAlign w:val="top"/>
          </w:tcPr>
          <w:p w14:paraId="4D6FBA82">
            <w:pPr>
              <w:jc w:val="both"/>
              <w:rPr>
                <w:color w:val="000000"/>
                <w:highlight w:val="none"/>
              </w:rPr>
            </w:pPr>
          </w:p>
        </w:tc>
      </w:tr>
      <w:tr w14:paraId="1FDA2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383FCFC6">
            <w:pPr>
              <w:spacing w:before="116" w:line="468" w:lineRule="exact"/>
              <w:ind w:left="1" w:firstLine="2" w:firstLineChars="1"/>
              <w:jc w:val="both"/>
              <w:rPr>
                <w:rFonts w:ascii="宋体" w:hAnsi="宋体" w:eastAsia="宋体" w:cs="宋体"/>
                <w:color w:val="000000"/>
                <w:sz w:val="23"/>
                <w:szCs w:val="23"/>
                <w:highlight w:val="none"/>
              </w:rPr>
            </w:pPr>
            <w:r>
              <w:rPr>
                <w:rFonts w:ascii="宋体" w:hAnsi="宋体" w:eastAsia="宋体" w:cs="宋体"/>
                <w:color w:val="000000"/>
                <w:position w:val="17"/>
                <w:sz w:val="23"/>
                <w:szCs w:val="23"/>
                <w:highlight w:val="none"/>
              </w:rPr>
              <w:t>中标人与招标人签订</w:t>
            </w:r>
          </w:p>
          <w:p w14:paraId="7CC21AC4">
            <w:pPr>
              <w:spacing w:before="1"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中标合同期限</w:t>
            </w:r>
          </w:p>
        </w:tc>
        <w:tc>
          <w:tcPr>
            <w:tcW w:w="7088" w:type="dxa"/>
            <w:noWrap w:val="0"/>
            <w:vAlign w:val="top"/>
          </w:tcPr>
          <w:p w14:paraId="4C4DB05C">
            <w:pPr>
              <w:jc w:val="both"/>
              <w:rPr>
                <w:color w:val="000000"/>
                <w:highlight w:val="none"/>
              </w:rPr>
            </w:pPr>
          </w:p>
        </w:tc>
      </w:tr>
      <w:tr w14:paraId="56635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05A110E8">
            <w:pPr>
              <w:spacing w:before="196"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签订中标合同地址</w:t>
            </w:r>
          </w:p>
        </w:tc>
        <w:tc>
          <w:tcPr>
            <w:tcW w:w="7088" w:type="dxa"/>
            <w:noWrap w:val="0"/>
            <w:vAlign w:val="top"/>
          </w:tcPr>
          <w:p w14:paraId="4BE5D196">
            <w:pPr>
              <w:jc w:val="both"/>
              <w:rPr>
                <w:color w:val="000000"/>
                <w:highlight w:val="none"/>
              </w:rPr>
            </w:pPr>
          </w:p>
        </w:tc>
      </w:tr>
      <w:tr w14:paraId="2C44F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691F49C5">
            <w:pPr>
              <w:spacing w:before="159"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其他需说明内容</w:t>
            </w:r>
          </w:p>
        </w:tc>
        <w:tc>
          <w:tcPr>
            <w:tcW w:w="7088" w:type="dxa"/>
            <w:noWrap w:val="0"/>
            <w:vAlign w:val="top"/>
          </w:tcPr>
          <w:p w14:paraId="130CC509">
            <w:pPr>
              <w:jc w:val="both"/>
              <w:rPr>
                <w:color w:val="000000"/>
                <w:highlight w:val="none"/>
              </w:rPr>
            </w:pPr>
          </w:p>
        </w:tc>
      </w:tr>
    </w:tbl>
    <w:p w14:paraId="1B675D59">
      <w:pPr>
        <w:spacing w:line="245" w:lineRule="auto"/>
        <w:jc w:val="both"/>
        <w:rPr>
          <w:color w:val="000000"/>
          <w:highlight w:val="none"/>
        </w:rPr>
      </w:pPr>
    </w:p>
    <w:p w14:paraId="7C24107A">
      <w:pPr>
        <w:spacing w:line="246" w:lineRule="auto"/>
        <w:jc w:val="both"/>
        <w:rPr>
          <w:color w:val="000000"/>
          <w:highlight w:val="none"/>
        </w:rPr>
      </w:pPr>
    </w:p>
    <w:p w14:paraId="6342682C">
      <w:pPr>
        <w:spacing w:line="246" w:lineRule="auto"/>
        <w:jc w:val="both"/>
        <w:rPr>
          <w:color w:val="000000"/>
          <w:highlight w:val="none"/>
        </w:rPr>
      </w:pPr>
    </w:p>
    <w:p w14:paraId="10A31DCF">
      <w:pPr>
        <w:spacing w:before="75" w:line="501" w:lineRule="auto"/>
        <w:ind w:left="6280" w:right="410"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 xml:space="preserve"> (盖章)</w:t>
      </w:r>
    </w:p>
    <w:p w14:paraId="19C3848F">
      <w:pPr>
        <w:spacing w:before="75" w:line="501" w:lineRule="auto"/>
        <w:ind w:left="6280" w:right="410"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经办人：</w:t>
      </w:r>
      <w:r>
        <w:rPr>
          <w:rFonts w:ascii="宋体" w:hAnsi="宋体" w:eastAsia="宋体" w:cs="宋体"/>
          <w:color w:val="000000"/>
          <w:sz w:val="23"/>
          <w:szCs w:val="23"/>
          <w:highlight w:val="none"/>
          <w:u w:val="single"/>
        </w:rPr>
        <w:t xml:space="preserve">      </w:t>
      </w:r>
    </w:p>
    <w:p w14:paraId="4A5C7294">
      <w:pPr>
        <w:spacing w:before="2" w:line="500" w:lineRule="auto"/>
        <w:ind w:left="6277" w:right="1078"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电话：</w:t>
      </w:r>
      <w:r>
        <w:rPr>
          <w:rFonts w:ascii="宋体" w:hAnsi="宋体" w:eastAsia="宋体" w:cs="宋体"/>
          <w:color w:val="000000"/>
          <w:sz w:val="23"/>
          <w:szCs w:val="23"/>
          <w:highlight w:val="none"/>
          <w:u w:val="single"/>
        </w:rPr>
        <w:t xml:space="preserve">       </w:t>
      </w:r>
    </w:p>
    <w:p w14:paraId="2DC0A17F">
      <w:pPr>
        <w:spacing w:before="2" w:line="500" w:lineRule="auto"/>
        <w:ind w:left="6277" w:right="1078"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传真：</w:t>
      </w:r>
      <w:r>
        <w:rPr>
          <w:rFonts w:ascii="宋体" w:hAnsi="宋体" w:eastAsia="宋体" w:cs="宋体"/>
          <w:color w:val="000000"/>
          <w:sz w:val="23"/>
          <w:szCs w:val="23"/>
          <w:highlight w:val="none"/>
          <w:u w:val="single"/>
        </w:rPr>
        <w:t xml:space="preserve">       </w:t>
      </w:r>
    </w:p>
    <w:p w14:paraId="62045DA1">
      <w:pPr>
        <w:tabs>
          <w:tab w:val="left" w:pos="7447"/>
        </w:tabs>
        <w:spacing w:line="228" w:lineRule="auto"/>
        <w:ind w:left="6837" w:hanging="1035"/>
        <w:jc w:val="both"/>
        <w:outlineLvl w:val="1"/>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08D20A6D">
      <w:pPr>
        <w:jc w:val="both"/>
        <w:rPr>
          <w:color w:val="000000"/>
          <w:highlight w:val="none"/>
        </w:rPr>
        <w:sectPr>
          <w:footerReference r:id="rId10" w:type="default"/>
          <w:pgSz w:w="11906" w:h="16839"/>
          <w:pgMar w:top="1418" w:right="1559" w:bottom="1418" w:left="1474" w:header="0" w:footer="1035" w:gutter="0"/>
          <w:pgNumType w:fmt="decimal"/>
          <w:cols w:space="720" w:num="1"/>
        </w:sectPr>
      </w:pPr>
    </w:p>
    <w:p w14:paraId="71388E25">
      <w:pPr>
        <w:spacing w:before="91" w:line="220" w:lineRule="auto"/>
        <w:jc w:val="both"/>
        <w:outlineLvl w:val="1"/>
        <w:rPr>
          <w:rFonts w:ascii="宋体" w:hAnsi="宋体" w:eastAsia="宋体" w:cs="宋体"/>
          <w:color w:val="000000"/>
          <w:sz w:val="28"/>
          <w:szCs w:val="28"/>
          <w:highlight w:val="none"/>
        </w:rPr>
      </w:pPr>
      <w:bookmarkStart w:id="43" w:name="_bookmark10"/>
      <w:bookmarkEnd w:id="43"/>
      <w:r>
        <w:rPr>
          <w:rFonts w:ascii="宋体" w:hAnsi="宋体" w:eastAsia="宋体" w:cs="宋体"/>
          <w:color w:val="000000"/>
          <w:sz w:val="28"/>
          <w:szCs w:val="28"/>
          <w:highlight w:val="none"/>
        </w:rPr>
        <w:t>附表</w:t>
      </w:r>
      <w:r>
        <w:rPr>
          <w:rFonts w:hint="eastAsia" w:ascii="宋体" w:hAnsi="宋体" w:eastAsia="宋体" w:cs="宋体"/>
          <w:color w:val="000000"/>
          <w:sz w:val="28"/>
          <w:szCs w:val="28"/>
          <w:highlight w:val="none"/>
        </w:rPr>
        <w:t>五</w:t>
      </w:r>
      <w:r>
        <w:rPr>
          <w:rFonts w:ascii="宋体" w:hAnsi="宋体" w:eastAsia="宋体" w:cs="宋体"/>
          <w:color w:val="000000"/>
          <w:sz w:val="28"/>
          <w:szCs w:val="28"/>
          <w:highlight w:val="none"/>
        </w:rPr>
        <w:t>：确认通知</w:t>
      </w:r>
    </w:p>
    <w:p w14:paraId="4D664AF2">
      <w:pPr>
        <w:spacing w:line="349" w:lineRule="auto"/>
        <w:jc w:val="both"/>
        <w:rPr>
          <w:color w:val="000000"/>
          <w:highlight w:val="none"/>
        </w:rPr>
      </w:pPr>
    </w:p>
    <w:p w14:paraId="53595CE9">
      <w:pPr>
        <w:spacing w:line="350" w:lineRule="auto"/>
        <w:jc w:val="both"/>
        <w:rPr>
          <w:color w:val="000000"/>
          <w:highlight w:val="none"/>
        </w:rPr>
      </w:pPr>
    </w:p>
    <w:p w14:paraId="39A19128">
      <w:pPr>
        <w:spacing w:before="91" w:line="221" w:lineRule="auto"/>
        <w:ind w:left="4094"/>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确认通知</w:t>
      </w:r>
    </w:p>
    <w:p w14:paraId="470DB677">
      <w:pPr>
        <w:spacing w:line="345" w:lineRule="auto"/>
        <w:jc w:val="both"/>
        <w:rPr>
          <w:color w:val="000000"/>
          <w:highlight w:val="none"/>
        </w:rPr>
      </w:pPr>
    </w:p>
    <w:p w14:paraId="69776C0B">
      <w:pPr>
        <w:spacing w:line="345" w:lineRule="auto"/>
        <w:jc w:val="both"/>
        <w:rPr>
          <w:color w:val="000000"/>
          <w:highlight w:val="none"/>
        </w:rPr>
      </w:pPr>
    </w:p>
    <w:p w14:paraId="734337C1">
      <w:pPr>
        <w:tabs>
          <w:tab w:val="left" w:pos="1838"/>
        </w:tabs>
        <w:spacing w:before="91" w:line="221" w:lineRule="auto"/>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(招标人名称):</w:t>
      </w:r>
    </w:p>
    <w:p w14:paraId="46CB6EDC">
      <w:pPr>
        <w:spacing w:before="223" w:line="375" w:lineRule="auto"/>
        <w:ind w:left="10" w:right="72" w:firstLine="562"/>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我方已接到你方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日发出的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标段招标关于中标结果的通知，我方已于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日收到。</w:t>
      </w:r>
    </w:p>
    <w:p w14:paraId="08F7A357">
      <w:pPr>
        <w:spacing w:line="441" w:lineRule="auto"/>
        <w:jc w:val="both"/>
        <w:rPr>
          <w:color w:val="000000"/>
          <w:sz w:val="24"/>
          <w:szCs w:val="24"/>
          <w:highlight w:val="none"/>
        </w:rPr>
      </w:pPr>
    </w:p>
    <w:p w14:paraId="0DB20825">
      <w:pPr>
        <w:spacing w:before="91" w:line="221" w:lineRule="auto"/>
        <w:ind w:left="57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特此确认。</w:t>
      </w:r>
    </w:p>
    <w:p w14:paraId="4D1EFB3F">
      <w:pPr>
        <w:spacing w:line="249" w:lineRule="auto"/>
        <w:jc w:val="both"/>
        <w:rPr>
          <w:color w:val="000000"/>
          <w:sz w:val="24"/>
          <w:szCs w:val="24"/>
          <w:highlight w:val="none"/>
        </w:rPr>
      </w:pPr>
    </w:p>
    <w:p w14:paraId="14C655F0">
      <w:pPr>
        <w:spacing w:line="249" w:lineRule="auto"/>
        <w:jc w:val="both"/>
        <w:rPr>
          <w:color w:val="000000"/>
          <w:sz w:val="24"/>
          <w:szCs w:val="24"/>
          <w:highlight w:val="none"/>
        </w:rPr>
      </w:pPr>
    </w:p>
    <w:p w14:paraId="35446166">
      <w:pPr>
        <w:spacing w:line="249" w:lineRule="auto"/>
        <w:jc w:val="both"/>
        <w:rPr>
          <w:color w:val="000000"/>
          <w:sz w:val="24"/>
          <w:szCs w:val="24"/>
          <w:highlight w:val="none"/>
        </w:rPr>
      </w:pPr>
    </w:p>
    <w:p w14:paraId="656E1A74">
      <w:pPr>
        <w:spacing w:line="249" w:lineRule="auto"/>
        <w:jc w:val="both"/>
        <w:rPr>
          <w:color w:val="000000"/>
          <w:sz w:val="24"/>
          <w:szCs w:val="24"/>
          <w:highlight w:val="none"/>
        </w:rPr>
      </w:pPr>
    </w:p>
    <w:p w14:paraId="3FB742D5">
      <w:pPr>
        <w:spacing w:line="250" w:lineRule="auto"/>
        <w:jc w:val="both"/>
        <w:rPr>
          <w:color w:val="000000"/>
          <w:sz w:val="24"/>
          <w:szCs w:val="24"/>
          <w:highlight w:val="none"/>
        </w:rPr>
      </w:pPr>
    </w:p>
    <w:p w14:paraId="52918F59">
      <w:pPr>
        <w:tabs>
          <w:tab w:val="left" w:pos="7060"/>
        </w:tabs>
        <w:spacing w:before="91" w:line="377" w:lineRule="auto"/>
        <w:ind w:left="6628" w:hanging="1993"/>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(盖单位公章)</w:t>
      </w:r>
    </w:p>
    <w:p w14:paraId="4060964B">
      <w:pPr>
        <w:tabs>
          <w:tab w:val="left" w:pos="7060"/>
        </w:tabs>
        <w:spacing w:before="91" w:line="377" w:lineRule="auto"/>
        <w:ind w:left="6628" w:hanging="1993"/>
        <w:jc w:val="both"/>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74ED0166">
      <w:pPr>
        <w:jc w:val="both"/>
        <w:rPr>
          <w:color w:val="000000"/>
          <w:highlight w:val="none"/>
        </w:rPr>
        <w:sectPr>
          <w:footerReference r:id="rId11" w:type="default"/>
          <w:pgSz w:w="11906" w:h="16839"/>
          <w:pgMar w:top="1418" w:right="1559" w:bottom="1418" w:left="1474" w:header="0" w:footer="1035" w:gutter="0"/>
          <w:pgNumType w:fmt="decimal"/>
          <w:cols w:space="720" w:num="1"/>
        </w:sectPr>
      </w:pPr>
    </w:p>
    <w:p w14:paraId="18117710">
      <w:pPr>
        <w:pStyle w:val="2"/>
        <w:jc w:val="center"/>
        <w:rPr>
          <w:rFonts w:ascii="Times New Roman" w:hAnsi="Times New Roman" w:eastAsia="宋体" w:cs="Times New Roman"/>
          <w:snapToGrid/>
          <w:color w:val="000000"/>
          <w:sz w:val="36"/>
          <w:szCs w:val="36"/>
          <w:highlight w:val="none"/>
        </w:rPr>
      </w:pPr>
      <w:bookmarkStart w:id="44" w:name="_bookmark11"/>
      <w:bookmarkEnd w:id="44"/>
      <w:r>
        <w:rPr>
          <w:rFonts w:ascii="宋体" w:hAnsi="宋体" w:eastAsia="宋体" w:cs="宋体"/>
          <w:color w:val="000000"/>
          <w:sz w:val="31"/>
          <w:szCs w:val="31"/>
          <w:highlight w:val="none"/>
        </w:rPr>
        <w:t>第三章</w:t>
      </w:r>
      <w:r>
        <w:rPr>
          <w:rFonts w:hint="eastAsia" w:ascii="Times New Roman" w:hAnsi="Times New Roman" w:eastAsia="宋体" w:cs="Times New Roman"/>
          <w:snapToGrid/>
          <w:color w:val="000000"/>
          <w:sz w:val="36"/>
          <w:szCs w:val="36"/>
          <w:highlight w:val="none"/>
        </w:rPr>
        <w:t>评标定标办法</w:t>
      </w:r>
    </w:p>
    <w:p w14:paraId="050F6A55">
      <w:pPr>
        <w:widowControl w:val="0"/>
        <w:kinsoku/>
        <w:autoSpaceDE/>
        <w:autoSpaceDN/>
        <w:adjustRightInd/>
        <w:snapToGrid/>
        <w:jc w:val="both"/>
        <w:textAlignment w:val="auto"/>
        <w:rPr>
          <w:rFonts w:ascii="Times New Roman" w:hAnsi="Times New Roman" w:eastAsia="宋体" w:cs="Times New Roman"/>
          <w:snapToGrid/>
          <w:color w:val="000000"/>
          <w:kern w:val="2"/>
          <w:szCs w:val="24"/>
          <w:highlight w:val="none"/>
        </w:rPr>
      </w:pPr>
    </w:p>
    <w:p w14:paraId="708E60AC">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rPr>
        <w:t>一、评标办法：</w:t>
      </w:r>
    </w:p>
    <w:p w14:paraId="096040CF">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rPr>
        <w:t>□</w:t>
      </w:r>
      <w:r>
        <w:rPr>
          <w:rFonts w:hint="eastAsia" w:ascii="宋体" w:hAnsi="宋体" w:eastAsia="宋体" w:cs="宋体"/>
          <w:color w:val="000000"/>
          <w:highlight w:val="none"/>
        </w:rPr>
        <w:t>经评审的最低投标价法</w:t>
      </w:r>
    </w:p>
    <w:p w14:paraId="65196735">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lang w:eastAsia="zh-CN"/>
        </w:rPr>
        <w:t>☑</w:t>
      </w:r>
      <w:r>
        <w:rPr>
          <w:color w:val="000000"/>
          <w:highlight w:val="none"/>
        </w:rPr>
        <w:fldChar w:fldCharType="begin"/>
      </w:r>
      <w:r>
        <w:rPr>
          <w:color w:val="000000"/>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000000"/>
          <w:highlight w:val="none"/>
        </w:rPr>
        <w:fldChar w:fldCharType="separate"/>
      </w:r>
      <w:r>
        <w:rPr>
          <w:rFonts w:hint="eastAsia" w:ascii="Times New Roman" w:hAnsi="Times New Roman" w:eastAsia="宋体" w:cs="Times New Roman"/>
          <w:snapToGrid/>
          <w:color w:val="000000"/>
          <w:kern w:val="2"/>
          <w:highlight w:val="none"/>
        </w:rPr>
        <w:t>综合评估法</w:t>
      </w:r>
      <w:r>
        <w:rPr>
          <w:rFonts w:hint="eastAsia" w:ascii="Times New Roman" w:hAnsi="Times New Roman" w:eastAsia="宋体" w:cs="Times New Roman"/>
          <w:snapToGrid/>
          <w:color w:val="000000"/>
          <w:kern w:val="2"/>
          <w:highlight w:val="none"/>
        </w:rPr>
        <w:fldChar w:fldCharType="end"/>
      </w:r>
      <w:r>
        <w:rPr>
          <w:rFonts w:hint="eastAsia" w:ascii="Times New Roman" w:hAnsi="Times New Roman" w:eastAsia="宋体" w:cs="Times New Roman"/>
          <w:snapToGrid/>
          <w:color w:val="000000"/>
          <w:kern w:val="2"/>
          <w:highlight w:val="none"/>
        </w:rPr>
        <w:t>（设技术标）</w:t>
      </w:r>
    </w:p>
    <w:p w14:paraId="08D2954C">
      <w:pPr>
        <w:widowControl w:val="0"/>
        <w:kinsoku/>
        <w:autoSpaceDE/>
        <w:autoSpaceDN/>
        <w:adjustRightInd/>
        <w:snapToGrid/>
        <w:spacing w:after="120"/>
        <w:jc w:val="both"/>
        <w:textAlignment w:val="auto"/>
        <w:rPr>
          <w:rFonts w:ascii="Times New Roman" w:hAnsi="Times New Roman" w:eastAsia="宋体" w:cs="Times New Roman"/>
          <w:snapToGrid/>
          <w:color w:val="000000"/>
          <w:kern w:val="2"/>
          <w:szCs w:val="24"/>
          <w:highlight w:val="none"/>
        </w:rPr>
      </w:pPr>
    </w:p>
    <w:p w14:paraId="324A2672">
      <w:pPr>
        <w:widowControl w:val="0"/>
        <w:kinsoku/>
        <w:autoSpaceDE/>
        <w:autoSpaceDN/>
        <w:adjustRightInd/>
        <w:snapToGrid/>
        <w:ind w:left="420" w:leftChars="200"/>
        <w:jc w:val="both"/>
        <w:textAlignment w:val="auto"/>
        <w:rPr>
          <w:rFonts w:ascii="Times New Roman" w:hAnsi="Times New Roman" w:eastAsia="宋体" w:cs="Times New Roman"/>
          <w:snapToGrid/>
          <w:color w:val="000000"/>
          <w:kern w:val="2"/>
          <w:szCs w:val="24"/>
          <w:highlight w:val="none"/>
        </w:rPr>
      </w:pPr>
      <w:r>
        <w:rPr>
          <w:rFonts w:hint="eastAsia" w:ascii="Times New Roman" w:hAnsi="Times New Roman" w:eastAsia="宋体" w:cs="Times New Roman"/>
          <w:snapToGrid/>
          <w:color w:val="000000"/>
          <w:kern w:val="2"/>
          <w:szCs w:val="24"/>
          <w:highlight w:val="none"/>
        </w:rPr>
        <w:t>二、定标办法：</w:t>
      </w:r>
    </w:p>
    <w:p w14:paraId="47B43CBC">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kern w:val="2"/>
          <w:highlight w:val="none"/>
        </w:rPr>
      </w:pPr>
      <w:r>
        <w:rPr>
          <w:rFonts w:hint="eastAsia" w:ascii="宋体" w:hAnsi="宋体" w:eastAsia="宋体" w:cs="宋体"/>
          <w:snapToGrid/>
          <w:color w:val="000000"/>
          <w:kern w:val="2"/>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18B780F5">
      <w:pPr>
        <w:widowControl w:val="0"/>
        <w:kinsoku/>
        <w:wordWrap w:val="0"/>
        <w:topLinePunct/>
        <w:autoSpaceDE/>
        <w:autoSpaceDN/>
        <w:spacing w:line="400" w:lineRule="exact"/>
        <w:ind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lang w:eastAsia="zh-CN"/>
        </w:rPr>
        <w:t>□</w:t>
      </w:r>
      <w:r>
        <w:rPr>
          <w:rFonts w:hint="eastAsia" w:ascii="宋体" w:hAnsi="宋体" w:eastAsia="宋体" w:cs="宋体"/>
          <w:snapToGrid/>
          <w:color w:val="000000"/>
          <w:kern w:val="2"/>
          <w:highlight w:val="none"/>
        </w:rPr>
        <w:t>票决法：由定标委员会以直接票决或者逐轮票决的方式确定中标人。</w:t>
      </w:r>
    </w:p>
    <w:p w14:paraId="60205C73">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kern w:val="2"/>
          <w:highlight w:val="none"/>
        </w:rPr>
      </w:pPr>
      <w:r>
        <w:rPr>
          <w:rFonts w:ascii="宋体" w:hAnsi="宋体" w:eastAsia="宋体" w:cs="宋体"/>
          <w:snapToGrid/>
          <w:color w:val="000000"/>
          <w:kern w:val="2"/>
          <w:highlight w:val="none"/>
        </w:rPr>
        <w:t>□</w:t>
      </w:r>
      <w:r>
        <w:rPr>
          <w:rFonts w:hint="eastAsia" w:ascii="宋体" w:hAnsi="宋体" w:eastAsia="宋体" w:cs="宋体"/>
          <w:snapToGrid/>
          <w:color w:val="000000"/>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0CF8515A">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napToGrid/>
          <w:color w:val="000000"/>
          <w:kern w:val="2"/>
          <w:highlight w:val="none"/>
        </w:rPr>
      </w:pPr>
      <w:r>
        <w:rPr>
          <w:rFonts w:ascii="宋体" w:hAnsi="宋体" w:eastAsia="宋体" w:cs="宋体"/>
          <w:snapToGrid/>
          <w:color w:val="000000"/>
          <w:kern w:val="2"/>
          <w:highlight w:val="none"/>
        </w:rPr>
        <w:t>□</w:t>
      </w:r>
      <w:r>
        <w:rPr>
          <w:rFonts w:hint="eastAsia" w:ascii="宋体" w:hAnsi="宋体" w:eastAsia="宋体" w:cs="宋体"/>
          <w:snapToGrid/>
          <w:color w:val="000000"/>
          <w:kern w:val="2"/>
          <w:highlight w:val="none"/>
        </w:rPr>
        <w:t>其他：</w:t>
      </w:r>
      <w:r>
        <w:rPr>
          <w:rFonts w:hint="eastAsia" w:ascii="Times New Roman" w:hAnsi="Times New Roman" w:eastAsia="宋体" w:cs="宋体"/>
          <w:snapToGrid/>
          <w:color w:val="000000"/>
          <w:kern w:val="2"/>
          <w:highlight w:val="none"/>
          <w:u w:val="single"/>
        </w:rPr>
        <w:t xml:space="preserve">                                                    。</w:t>
      </w:r>
    </w:p>
    <w:p w14:paraId="7FAD503F">
      <w:pPr>
        <w:widowControl w:val="0"/>
        <w:kinsoku/>
        <w:autoSpaceDE/>
        <w:autoSpaceDN/>
        <w:adjustRightInd/>
        <w:snapToGrid/>
        <w:jc w:val="both"/>
        <w:textAlignment w:val="auto"/>
        <w:rPr>
          <w:rFonts w:ascii="Times New Roman" w:hAnsi="Times New Roman" w:eastAsia="宋体" w:cs="Times New Roman"/>
          <w:snapToGrid/>
          <w:color w:val="000000"/>
          <w:kern w:val="2"/>
          <w:szCs w:val="24"/>
          <w:highlight w:val="none"/>
        </w:rPr>
      </w:pPr>
    </w:p>
    <w:p w14:paraId="451E2462">
      <w:pPr>
        <w:spacing w:before="101" w:line="225" w:lineRule="auto"/>
        <w:ind w:left="3188"/>
        <w:jc w:val="both"/>
        <w:outlineLvl w:val="0"/>
        <w:rPr>
          <w:color w:val="000000"/>
          <w:highlight w:val="none"/>
        </w:rPr>
        <w:sectPr>
          <w:footerReference r:id="rId12" w:type="default"/>
          <w:pgSz w:w="11907" w:h="16840"/>
          <w:pgMar w:top="1418" w:right="1559" w:bottom="1418" w:left="1474" w:header="0" w:footer="723" w:gutter="0"/>
          <w:pgNumType w:fmt="decimal"/>
          <w:cols w:space="720" w:num="1"/>
        </w:sectPr>
      </w:pPr>
    </w:p>
    <w:p w14:paraId="789442E5">
      <w:pPr>
        <w:spacing w:before="64" w:line="224" w:lineRule="auto"/>
        <w:jc w:val="center"/>
        <w:rPr>
          <w:rFonts w:ascii="宋体" w:hAnsi="宋体" w:eastAsia="宋体" w:cs="宋体"/>
          <w:color w:val="000000"/>
          <w:sz w:val="31"/>
          <w:szCs w:val="31"/>
          <w:highlight w:val="none"/>
        </w:rPr>
      </w:pPr>
      <w:r>
        <w:rPr>
          <w:rFonts w:ascii="宋体" w:hAnsi="宋体" w:eastAsia="宋体" w:cs="宋体"/>
          <w:color w:val="000000"/>
          <w:sz w:val="31"/>
          <w:szCs w:val="31"/>
          <w:highlight w:val="none"/>
        </w:rPr>
        <w:t>综合评估法</w:t>
      </w:r>
    </w:p>
    <w:p w14:paraId="45101476">
      <w:pPr>
        <w:spacing w:line="247" w:lineRule="auto"/>
        <w:jc w:val="both"/>
        <w:rPr>
          <w:color w:val="000000"/>
          <w:highlight w:val="none"/>
        </w:rPr>
      </w:pPr>
    </w:p>
    <w:p w14:paraId="3380EE2D">
      <w:pPr>
        <w:spacing w:line="248" w:lineRule="auto"/>
        <w:jc w:val="both"/>
        <w:rPr>
          <w:color w:val="000000"/>
          <w:highlight w:val="none"/>
        </w:rPr>
      </w:pPr>
    </w:p>
    <w:p w14:paraId="43287A62">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根据《中华人民共和国招标投标法》、《中华人民共和国招标投标法实施条例》、</w:t>
      </w:r>
      <w:r>
        <w:rPr>
          <w:rFonts w:hint="eastAsia" w:ascii="宋体" w:hAnsi="宋体" w:eastAsia="宋体" w:cs="宋体"/>
          <w:strike/>
          <w:dstrike w:val="0"/>
          <w:color w:val="000000"/>
          <w:sz w:val="23"/>
          <w:szCs w:val="23"/>
          <w:highlight w:val="none"/>
        </w:rPr>
        <w:t>《浙江省招标投标条例》</w:t>
      </w:r>
      <w:r>
        <w:rPr>
          <w:rFonts w:hint="eastAsia" w:ascii="宋体" w:hAnsi="宋体" w:eastAsia="宋体" w:cs="宋体"/>
          <w:color w:val="000000"/>
          <w:sz w:val="23"/>
          <w:szCs w:val="23"/>
          <w:highlight w:val="none"/>
        </w:rPr>
        <w:t>、《评标委员会和评标办法暂行规定》、《浙江省综合性评标专家库管理办法实施细则》等有关规定，制定本办法。</w:t>
      </w:r>
    </w:p>
    <w:p w14:paraId="1289947F">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position w:val="2"/>
          <w:sz w:val="23"/>
          <w:szCs w:val="23"/>
          <w:highlight w:val="none"/>
        </w:rPr>
        <w:t>一、评标原则</w:t>
      </w:r>
    </w:p>
    <w:p w14:paraId="562363C6">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评标应遵循公平、公正、科学、择优的原则。</w:t>
      </w:r>
    </w:p>
    <w:p w14:paraId="61A26579">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二、评标组织</w:t>
      </w:r>
    </w:p>
    <w:p w14:paraId="04FA3A60">
      <w:pPr>
        <w:keepNext w:val="0"/>
        <w:keepLines w:val="0"/>
        <w:pageBreakBefore w:val="0"/>
        <w:widowControl/>
        <w:wordWrap/>
        <w:overflowPunct/>
        <w:topLinePunct w:val="0"/>
        <w:bidi w:val="0"/>
        <w:adjustRightInd/>
        <w:snapToGrid/>
        <w:spacing w:line="360" w:lineRule="auto"/>
        <w:ind w:left="3" w:firstLine="47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评标工作由招标人依法组建的评标委员会负责。评标委员会的组建见投标人须知前附表，成员为不少于5人的单数。</w:t>
      </w:r>
    </w:p>
    <w:p w14:paraId="38F6AD1A">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FF9AF7E">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评标委员会应当按照招标文件确定的评标标准和方法，客观、公正对投标文件进行评审和比较，招标文件没有规定的评标标准和方法不得作为评标的依据。</w:t>
      </w:r>
    </w:p>
    <w:p w14:paraId="23F80BCA">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评标委员会对投标文件作出的评审结论，应当符合有关法律、法规、规章和招标文件的规定。</w:t>
      </w:r>
    </w:p>
    <w:p w14:paraId="39705EB7">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三、评标程序和内容</w:t>
      </w:r>
    </w:p>
    <w:p w14:paraId="096B2EC8">
      <w:pPr>
        <w:keepNext w:val="0"/>
        <w:keepLines w:val="0"/>
        <w:pageBreakBefore w:val="0"/>
        <w:widowControl/>
        <w:wordWrap/>
        <w:overflowPunct/>
        <w:topLinePunct w:val="0"/>
        <w:bidi w:val="0"/>
        <w:adjustRightInd/>
        <w:snapToGrid/>
        <w:spacing w:line="360" w:lineRule="auto"/>
        <w:ind w:left="499"/>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1.熟悉招标文件和评标办法；</w:t>
      </w:r>
    </w:p>
    <w:p w14:paraId="3AE5CCA4">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2.投标文件的符合性评审；</w:t>
      </w:r>
    </w:p>
    <w:p w14:paraId="6F92FC37">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3.投标文件的资信、业绩评审；</w:t>
      </w:r>
    </w:p>
    <w:p w14:paraId="60B3E40E">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4.投标文件的技术标评审；</w:t>
      </w:r>
    </w:p>
    <w:p w14:paraId="7C050891">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5.投标文件的商务标评审；</w:t>
      </w:r>
    </w:p>
    <w:p w14:paraId="43BF13C9">
      <w:pPr>
        <w:keepNext w:val="0"/>
        <w:keepLines w:val="0"/>
        <w:pageBreakBefore w:val="0"/>
        <w:widowControl/>
        <w:wordWrap/>
        <w:overflowPunct/>
        <w:topLinePunct w:val="0"/>
        <w:bidi w:val="0"/>
        <w:adjustRightInd/>
        <w:snapToGrid/>
        <w:spacing w:line="360" w:lineRule="auto"/>
        <w:ind w:left="21" w:right="63" w:firstLine="462"/>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6.必要时对投标文件中的问题进行询标，包括拟作出否决投标决定前对相关投标人进行的询问核实；</w:t>
      </w:r>
    </w:p>
    <w:p w14:paraId="3E0F0B96">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7.根据评标办法和标准对投标文件进行综合评分、排序；</w:t>
      </w:r>
    </w:p>
    <w:p w14:paraId="06182FD6">
      <w:pPr>
        <w:keepNext w:val="0"/>
        <w:keepLines w:val="0"/>
        <w:pageBreakBefore w:val="0"/>
        <w:widowControl/>
        <w:wordWrap/>
        <w:overflowPunct/>
        <w:topLinePunct w:val="0"/>
        <w:bidi w:val="0"/>
        <w:adjustRightInd/>
        <w:snapToGrid/>
        <w:spacing w:line="360" w:lineRule="auto"/>
        <w:ind w:left="482"/>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8.完成评标报告，推荐中标候选人。</w:t>
      </w:r>
    </w:p>
    <w:p w14:paraId="221CF15E">
      <w:pPr>
        <w:keepNext w:val="0"/>
        <w:keepLines w:val="0"/>
        <w:pageBreakBefore w:val="0"/>
        <w:widowControl/>
        <w:wordWrap/>
        <w:overflowPunct/>
        <w:topLinePunct w:val="0"/>
        <w:bidi w:val="0"/>
        <w:adjustRightInd/>
        <w:snapToGrid/>
        <w:spacing w:line="360" w:lineRule="auto"/>
        <w:ind w:left="504"/>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四、评审细则</w:t>
      </w:r>
    </w:p>
    <w:p w14:paraId="20193190">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(一)投标文件的符合性评审</w:t>
      </w:r>
    </w:p>
    <w:p w14:paraId="4E8E4D40">
      <w:pPr>
        <w:keepNext w:val="0"/>
        <w:keepLines w:val="0"/>
        <w:pageBreakBefore w:val="0"/>
        <w:widowControl/>
        <w:wordWrap/>
        <w:overflowPunct/>
        <w:topLinePunct w:val="0"/>
        <w:bidi w:val="0"/>
        <w:adjustRightInd/>
        <w:snapToGrid/>
        <w:spacing w:line="360" w:lineRule="auto"/>
        <w:ind w:firstLine="49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1.评标委员会应依照招标文件的要求和规定，首先对投标人的投标资格和投标文件进行符合性评审。</w:t>
      </w:r>
    </w:p>
    <w:p w14:paraId="277E7E59">
      <w:pPr>
        <w:keepNext w:val="0"/>
        <w:keepLines w:val="0"/>
        <w:pageBreakBefore w:val="0"/>
        <w:widowControl/>
        <w:wordWrap/>
        <w:overflowPunct/>
        <w:topLinePunct w:val="0"/>
        <w:bidi w:val="0"/>
        <w:adjustRightInd/>
        <w:snapToGrid/>
        <w:spacing w:line="360" w:lineRule="auto"/>
        <w:ind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如评标委员会发现投标文件存在招标文件投标人须知前附表10.1“否决投标的情形”第二款(一)符合性内容、(二)</w:t>
      </w:r>
      <w:r>
        <w:rPr>
          <w:rFonts w:hint="eastAsia" w:ascii="宋体" w:hAnsi="宋体" w:eastAsia="宋体" w:cs="宋体"/>
          <w:color w:val="000000"/>
          <w:sz w:val="23"/>
          <w:szCs w:val="23"/>
          <w:highlight w:val="none"/>
          <w:lang w:eastAsia="zh-CN"/>
        </w:rPr>
        <w:t>技术标</w:t>
      </w:r>
      <w:r>
        <w:rPr>
          <w:rFonts w:hint="eastAsia" w:ascii="宋体" w:hAnsi="宋体" w:eastAsia="宋体" w:cs="宋体"/>
          <w:color w:val="000000"/>
          <w:sz w:val="23"/>
          <w:szCs w:val="23"/>
          <w:highlight w:val="none"/>
        </w:rPr>
        <w:t>内容、(三)商务标内容之一的，经询问核实并认定后，即可判定该投标文件符合性评审不通过应予以否决，不再进入后续的综合评分程序。</w:t>
      </w:r>
    </w:p>
    <w:p w14:paraId="41FC7C45">
      <w:pPr>
        <w:keepNext w:val="0"/>
        <w:keepLines w:val="0"/>
        <w:pageBreakBefore w:val="0"/>
        <w:widowControl/>
        <w:wordWrap/>
        <w:overflowPunct/>
        <w:topLinePunct w:val="0"/>
        <w:bidi w:val="0"/>
        <w:adjustRightInd/>
        <w:snapToGrid/>
        <w:spacing w:line="360" w:lineRule="auto"/>
        <w:ind w:firstLine="575" w:firstLineChars="25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2.询标</w:t>
      </w:r>
    </w:p>
    <w:p w14:paraId="70454F68">
      <w:pPr>
        <w:keepNext w:val="0"/>
        <w:keepLines w:val="0"/>
        <w:pageBreakBefore w:val="0"/>
        <w:widowControl/>
        <w:wordWrap/>
        <w:overflowPunct/>
        <w:topLinePunct w:val="0"/>
        <w:bidi w:val="0"/>
        <w:adjustRightInd/>
        <w:snapToGrid/>
        <w:spacing w:line="360" w:lineRule="auto"/>
        <w:ind w:firstLine="489"/>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(1)投标文件中有含义不明确的内容、明显文字或计算错误，评标委员会认为需要投标人作出必要澄清、说明的，应当组织询标。</w:t>
      </w:r>
    </w:p>
    <w:p w14:paraId="55DD742C">
      <w:pPr>
        <w:keepNext w:val="0"/>
        <w:keepLines w:val="0"/>
        <w:pageBreakBefore w:val="0"/>
        <w:widowControl/>
        <w:wordWrap/>
        <w:overflowPunct/>
        <w:topLinePunct w:val="0"/>
        <w:bidi w:val="0"/>
        <w:adjustRightInd/>
        <w:snapToGrid/>
        <w:spacing w:line="360" w:lineRule="auto"/>
        <w:ind w:firstLine="492"/>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59FC4CE">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(3)询标问题及投标人的澄清、说明应当采用书面形式，并不得超出投标文件的范围或者改变投标文件的实质性内容。</w:t>
      </w:r>
    </w:p>
    <w:p w14:paraId="392B892D">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(4)评标委员会不得暗示或者诱导投标人作出澄清、说明，不得接受投标人主动提出的澄清、说明。</w:t>
      </w:r>
    </w:p>
    <w:p w14:paraId="66040BB4">
      <w:pPr>
        <w:keepNext w:val="0"/>
        <w:keepLines w:val="0"/>
        <w:pageBreakBefore w:val="0"/>
        <w:widowControl/>
        <w:wordWrap/>
        <w:overflowPunct/>
        <w:topLinePunct w:val="0"/>
        <w:bidi w:val="0"/>
        <w:adjustRightInd/>
        <w:snapToGrid/>
        <w:spacing w:line="360" w:lineRule="auto"/>
        <w:ind w:firstLine="48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(5)投标人不得通过补充、修改或撤销投标文件中的内容使其成为实质性响应的投标，投标人在投标截止时间以后不得提交任何资料作为评标依据。</w:t>
      </w:r>
    </w:p>
    <w:p w14:paraId="4E723941">
      <w:pPr>
        <w:keepNext w:val="0"/>
        <w:keepLines w:val="0"/>
        <w:pageBreakBefore w:val="0"/>
        <w:widowControl/>
        <w:wordWrap/>
        <w:overflowPunct/>
        <w:topLinePunct w:val="0"/>
        <w:bidi w:val="0"/>
        <w:adjustRightInd/>
        <w:snapToGrid/>
        <w:spacing w:line="360" w:lineRule="auto"/>
        <w:ind w:firstLine="462" w:firstLineChars="200"/>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(二)资信、业绩评审</w:t>
      </w:r>
    </w:p>
    <w:p w14:paraId="49D6CDAD">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由评标委员会全体成员根据投标人提供的相关证明材料进行集体认定。</w:t>
      </w:r>
    </w:p>
    <w:p w14:paraId="4D5BF59F">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业绩评分(3分)</w:t>
      </w:r>
    </w:p>
    <w:p w14:paraId="19196DD2">
      <w:pPr>
        <w:keepNext w:val="0"/>
        <w:keepLines w:val="0"/>
        <w:pageBreakBefore w:val="0"/>
        <w:widowControl/>
        <w:wordWrap/>
        <w:overflowPunct/>
        <w:topLinePunct w:val="0"/>
        <w:bidi w:val="0"/>
        <w:adjustRightInd/>
        <w:snapToGrid/>
        <w:spacing w:line="360" w:lineRule="auto"/>
        <w:ind w:firstLine="519"/>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投标人自</w:t>
      </w:r>
      <w:r>
        <w:rPr>
          <w:rFonts w:hint="eastAsia" w:ascii="宋体" w:hAnsi="宋体" w:eastAsia="宋体" w:cs="宋体"/>
          <w:b/>
          <w:bCs/>
          <w:color w:val="000000"/>
          <w:sz w:val="23"/>
          <w:szCs w:val="23"/>
          <w:highlight w:val="none"/>
          <w:u w:val="single"/>
          <w:lang w:val="en-US" w:eastAsia="zh-CN"/>
        </w:rPr>
        <w:t>2020</w:t>
      </w:r>
      <w:r>
        <w:rPr>
          <w:rFonts w:hint="eastAsia" w:ascii="宋体" w:hAnsi="宋体" w:eastAsia="宋体" w:cs="宋体"/>
          <w:b/>
          <w:bCs/>
          <w:color w:val="000000"/>
          <w:sz w:val="23"/>
          <w:szCs w:val="23"/>
          <w:highlight w:val="none"/>
          <w:u w:val="single"/>
        </w:rPr>
        <w:t>年</w:t>
      </w:r>
      <w:r>
        <w:rPr>
          <w:rFonts w:hint="eastAsia" w:ascii="宋体" w:hAnsi="宋体" w:eastAsia="宋体" w:cs="宋体"/>
          <w:b/>
          <w:bCs/>
          <w:color w:val="000000"/>
          <w:sz w:val="23"/>
          <w:szCs w:val="23"/>
          <w:highlight w:val="none"/>
          <w:u w:val="single"/>
          <w:lang w:val="en-US" w:eastAsia="zh-CN"/>
        </w:rPr>
        <w:t>7</w:t>
      </w:r>
      <w:r>
        <w:rPr>
          <w:rFonts w:hint="eastAsia" w:ascii="宋体" w:hAnsi="宋体" w:eastAsia="宋体" w:cs="宋体"/>
          <w:b/>
          <w:bCs/>
          <w:color w:val="000000"/>
          <w:sz w:val="23"/>
          <w:szCs w:val="23"/>
          <w:highlight w:val="none"/>
          <w:u w:val="single"/>
        </w:rPr>
        <w:t>月</w:t>
      </w:r>
      <w:r>
        <w:rPr>
          <w:rFonts w:hint="eastAsia" w:ascii="宋体" w:hAnsi="宋体" w:eastAsia="宋体" w:cs="宋体"/>
          <w:b/>
          <w:bCs/>
          <w:color w:val="000000"/>
          <w:sz w:val="23"/>
          <w:szCs w:val="23"/>
          <w:highlight w:val="none"/>
          <w:u w:val="single"/>
          <w:lang w:val="en-US" w:eastAsia="zh-CN"/>
        </w:rPr>
        <w:t>1</w:t>
      </w:r>
      <w:r>
        <w:rPr>
          <w:rFonts w:hint="eastAsia" w:ascii="宋体" w:hAnsi="宋体" w:eastAsia="宋体" w:cs="宋体"/>
          <w:b/>
          <w:bCs/>
          <w:color w:val="000000"/>
          <w:sz w:val="23"/>
          <w:szCs w:val="23"/>
          <w:highlight w:val="none"/>
          <w:u w:val="single"/>
        </w:rPr>
        <w:t>日</w:t>
      </w:r>
      <w:r>
        <w:rPr>
          <w:rFonts w:hint="eastAsia" w:ascii="宋体" w:hAnsi="宋体" w:eastAsia="宋体" w:cs="宋体"/>
          <w:color w:val="000000"/>
          <w:sz w:val="23"/>
          <w:szCs w:val="23"/>
          <w:highlight w:val="none"/>
        </w:rPr>
        <w:t>以来【以合同签订时间为准】完成过单个合同金额</w:t>
      </w:r>
      <w:r>
        <w:rPr>
          <w:rFonts w:hint="eastAsia" w:ascii="宋体" w:hAnsi="宋体" w:eastAsia="宋体" w:cs="宋体"/>
          <w:b/>
          <w:bCs/>
          <w:color w:val="000000"/>
          <w:sz w:val="23"/>
          <w:szCs w:val="23"/>
          <w:highlight w:val="none"/>
          <w:u w:val="single"/>
          <w:lang w:val="en-US" w:eastAsia="zh-CN"/>
        </w:rPr>
        <w:t>600</w:t>
      </w:r>
      <w:r>
        <w:rPr>
          <w:rFonts w:hint="eastAsia" w:ascii="宋体" w:hAnsi="宋体" w:eastAsia="宋体" w:cs="宋体"/>
          <w:b/>
          <w:bCs/>
          <w:color w:val="000000"/>
          <w:sz w:val="23"/>
          <w:szCs w:val="23"/>
          <w:highlight w:val="none"/>
          <w:u w:val="single"/>
        </w:rPr>
        <w:t>万元</w:t>
      </w:r>
      <w:r>
        <w:rPr>
          <w:rFonts w:hint="eastAsia" w:ascii="宋体" w:hAnsi="宋体" w:eastAsia="宋体" w:cs="宋体"/>
          <w:color w:val="000000"/>
          <w:sz w:val="23"/>
          <w:szCs w:val="23"/>
          <w:highlight w:val="none"/>
        </w:rPr>
        <w:t>及以上公共建筑电梯销售（含安装）业绩，每个得1</w:t>
      </w:r>
      <w:r>
        <w:rPr>
          <w:rFonts w:hint="eastAsia" w:ascii="宋体" w:hAnsi="宋体" w:eastAsia="宋体" w:cs="宋体"/>
          <w:color w:val="000000"/>
          <w:sz w:val="23"/>
          <w:szCs w:val="23"/>
          <w:highlight w:val="none"/>
          <w:lang w:val="en-US" w:eastAsia="zh-CN"/>
        </w:rPr>
        <w:t>.5</w:t>
      </w:r>
      <w:r>
        <w:rPr>
          <w:rFonts w:hint="eastAsia" w:ascii="宋体" w:hAnsi="宋体" w:eastAsia="宋体" w:cs="宋体"/>
          <w:color w:val="000000"/>
          <w:sz w:val="23"/>
          <w:szCs w:val="23"/>
          <w:highlight w:val="none"/>
        </w:rPr>
        <w:t>分，最高得3分。</w:t>
      </w:r>
      <w:r>
        <w:rPr>
          <w:rFonts w:hint="eastAsia" w:ascii="宋体" w:hAnsi="宋体" w:eastAsia="宋体" w:cs="宋体"/>
          <w:b/>
          <w:bCs/>
          <w:color w:val="000000"/>
          <w:sz w:val="23"/>
          <w:szCs w:val="23"/>
          <w:highlight w:val="none"/>
        </w:rPr>
        <w:t>（如投标人为满足</w:t>
      </w:r>
      <w:r>
        <w:rPr>
          <w:rFonts w:hint="eastAsia" w:ascii="宋体" w:hAnsi="宋体" w:eastAsia="宋体" w:cs="宋体"/>
          <w:b/>
          <w:bCs/>
          <w:color w:val="000000"/>
          <w:sz w:val="23"/>
          <w:szCs w:val="23"/>
          <w:highlight w:val="none"/>
          <w:lang w:val="en-US" w:eastAsia="zh-CN"/>
        </w:rPr>
        <w:t>招标公告</w:t>
      </w:r>
      <w:r>
        <w:rPr>
          <w:rFonts w:hint="eastAsia" w:ascii="宋体" w:hAnsi="宋体" w:eastAsia="宋体" w:cs="宋体"/>
          <w:b/>
          <w:bCs/>
          <w:color w:val="000000"/>
          <w:sz w:val="23"/>
          <w:szCs w:val="23"/>
          <w:highlight w:val="none"/>
        </w:rPr>
        <w:t>5.1要求的电梯设备销售代理单位可提供所代理的投标品牌制造单位的业绩）</w:t>
      </w:r>
    </w:p>
    <w:p w14:paraId="2BB7443D">
      <w:pPr>
        <w:keepNext w:val="0"/>
        <w:keepLines w:val="0"/>
        <w:pageBreakBefore w:val="0"/>
        <w:widowControl/>
        <w:wordWrap/>
        <w:overflowPunct/>
        <w:topLinePunct w:val="0"/>
        <w:bidi w:val="0"/>
        <w:adjustRightInd/>
        <w:snapToGrid/>
        <w:spacing w:line="360" w:lineRule="auto"/>
        <w:ind w:firstLine="48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业绩证明材料：中标通知书、合同、特种设备使用登记证或特种设备监督检验部门出具的已盖公章（或检测专用章）的检验报告复制件，上述材料缺一不可。投标资格证明中的业绩</w:t>
      </w:r>
      <w:r>
        <w:rPr>
          <w:rFonts w:hint="eastAsia" w:ascii="宋体" w:hAnsi="宋体" w:eastAsia="宋体" w:cs="宋体"/>
          <w:b/>
          <w:bCs/>
          <w:color w:val="000000"/>
          <w:sz w:val="23"/>
          <w:szCs w:val="23"/>
          <w:highlight w:val="none"/>
          <w:u w:val="single"/>
        </w:rPr>
        <w:t>可以</w:t>
      </w:r>
      <w:r>
        <w:rPr>
          <w:rFonts w:hint="eastAsia" w:ascii="宋体" w:hAnsi="宋体" w:eastAsia="宋体" w:cs="宋体"/>
          <w:color w:val="000000"/>
          <w:sz w:val="23"/>
          <w:szCs w:val="23"/>
          <w:highlight w:val="none"/>
        </w:rPr>
        <w:t>作为本项计分业绩。</w:t>
      </w:r>
    </w:p>
    <w:p w14:paraId="5EAA186D">
      <w:pPr>
        <w:pStyle w:val="20"/>
        <w:keepNext w:val="0"/>
        <w:keepLines w:val="0"/>
        <w:pageBreakBefore w:val="0"/>
        <w:widowControl w:val="0"/>
        <w:kinsoku/>
        <w:wordWrap/>
        <w:overflowPunct/>
        <w:topLinePunct w:val="0"/>
        <w:autoSpaceDE/>
        <w:autoSpaceDN/>
        <w:bidi w:val="0"/>
        <w:adjustRightInd/>
        <w:snapToGrid/>
        <w:spacing w:after="0" w:line="360" w:lineRule="auto"/>
        <w:ind w:firstLine="460" w:firstLineChars="200"/>
        <w:textAlignment w:val="auto"/>
        <w:rPr>
          <w:rFonts w:hint="eastAsia" w:ascii="宋体" w:hAnsi="宋体" w:eastAsia="宋体" w:cs="宋体"/>
          <w:sz w:val="23"/>
          <w:szCs w:val="23"/>
          <w:highlight w:val="none"/>
        </w:rPr>
      </w:pPr>
      <w:r>
        <w:rPr>
          <w:rFonts w:hint="eastAsia" w:ascii="宋体" w:hAnsi="宋体" w:eastAsia="宋体" w:cs="宋体"/>
          <w:color w:val="auto"/>
          <w:sz w:val="23"/>
          <w:szCs w:val="23"/>
          <w:highlight w:val="none"/>
        </w:rPr>
        <w:t>注：公共建筑定义：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14:paraId="396E6E9E">
      <w:pPr>
        <w:keepNext w:val="0"/>
        <w:keepLines w:val="0"/>
        <w:pageBreakBefore w:val="0"/>
        <w:widowControl w:val="0"/>
        <w:wordWrap/>
        <w:overflowPunct/>
        <w:topLinePunct w:val="0"/>
        <w:bidi w:val="0"/>
        <w:adjustRightInd/>
        <w:snapToGrid/>
        <w:spacing w:line="360" w:lineRule="auto"/>
        <w:ind w:firstLine="462" w:firstLineChars="200"/>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(三)投标文件的技术标评审</w:t>
      </w:r>
    </w:p>
    <w:p w14:paraId="4BED631F">
      <w:pPr>
        <w:keepNext w:val="0"/>
        <w:keepLines w:val="0"/>
        <w:pageBreakBefore w:val="0"/>
        <w:widowControl w:val="0"/>
        <w:wordWrap/>
        <w:overflowPunct/>
        <w:topLinePunct w:val="0"/>
        <w:bidi w:val="0"/>
        <w:adjustRightInd/>
        <w:snapToGrid/>
        <w:spacing w:line="360" w:lineRule="auto"/>
        <w:ind w:firstLine="49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C33BA63">
      <w:pPr>
        <w:keepNext w:val="0"/>
        <w:keepLines w:val="0"/>
        <w:pageBreakBefore w:val="0"/>
        <w:widowControl w:val="0"/>
        <w:wordWrap/>
        <w:overflowPunct/>
        <w:topLinePunct w:val="0"/>
        <w:bidi w:val="0"/>
        <w:adjustRightInd/>
        <w:snapToGrid/>
        <w:spacing w:line="360" w:lineRule="auto"/>
        <w:ind w:firstLine="49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2.技术评分(</w:t>
      </w:r>
      <w:r>
        <w:rPr>
          <w:rFonts w:hint="eastAsia" w:ascii="宋体" w:hAnsi="宋体" w:eastAsia="宋体" w:cs="宋体"/>
          <w:color w:val="000000"/>
          <w:sz w:val="23"/>
          <w:szCs w:val="23"/>
          <w:highlight w:val="none"/>
          <w:lang w:val="en-US" w:eastAsia="zh-CN"/>
        </w:rPr>
        <w:t>60</w:t>
      </w:r>
      <w:r>
        <w:rPr>
          <w:rFonts w:hint="eastAsia" w:ascii="宋体" w:hAnsi="宋体" w:eastAsia="宋体" w:cs="宋体"/>
          <w:color w:val="000000"/>
          <w:sz w:val="23"/>
          <w:szCs w:val="23"/>
          <w:highlight w:val="none"/>
        </w:rPr>
        <w:t>分)：</w:t>
      </w:r>
    </w:p>
    <w:p w14:paraId="501DBFB3">
      <w:pPr>
        <w:keepNext w:val="0"/>
        <w:keepLines w:val="0"/>
        <w:pageBreakBefore w:val="0"/>
        <w:widowControl/>
        <w:wordWrap/>
        <w:overflowPunct/>
        <w:topLinePunct w:val="0"/>
        <w:bidi w:val="0"/>
        <w:adjustRightInd/>
        <w:snapToGrid/>
        <w:spacing w:line="360" w:lineRule="auto"/>
        <w:ind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096F6A4A">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加工能力、制造水平</w:t>
      </w:r>
    </w:p>
    <w:p w14:paraId="78932C66">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（1）产品信誉：根据投标电梯型号成熟度、电梯品牌市场评价口碑、电梯品牌市场占有率等情况，进行横向对比评分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697118CE">
      <w:pPr>
        <w:keepNext w:val="0"/>
        <w:keepLines w:val="0"/>
        <w:pageBreakBefore w:val="0"/>
        <w:widowControl/>
        <w:numPr>
          <w:ilvl w:val="0"/>
          <w:numId w:val="0"/>
        </w:numPr>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（2）投标电梯：根据投标电梯型号，对投标产品的节能性、安全可靠性、在品牌系列型号中的先进性等横向对比，针对投标人提供的内容进行评分[0.3-3分]。</w:t>
      </w:r>
    </w:p>
    <w:p w14:paraId="20A80D6B">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投标货物技术指标的符合性、优越性</w:t>
      </w:r>
    </w:p>
    <w:p w14:paraId="1DDE57DF">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（1）根据投标电梯中有无偏离招标文件非实质性技术要求的情形以及偏离程度横向对比评分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0BD41C0F">
      <w:pPr>
        <w:pStyle w:val="20"/>
        <w:keepNext w:val="0"/>
        <w:keepLines w:val="0"/>
        <w:pageBreakBefore w:val="0"/>
        <w:widowControl/>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（2）机房噪声指标横向对比评分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25921F8D">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（3）运行中轿厢内噪声指标横向对比评分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789A02EE">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（4）开关门过程噪声指标横向对比评分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4378CD24">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（5）平层精度横向对比评分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6AFF3F3F">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（6）水平振动加速度横向对比评分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285CB434">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（7）垂直振动加速度横向对比评分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31ED59CC">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（8）起制动加减速度调节范围横向对比评分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72541815">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（9）根据</w:t>
      </w:r>
      <w:r>
        <w:rPr>
          <w:rFonts w:hint="eastAsia" w:ascii="宋体" w:hAnsi="宋体" w:cs="宋体"/>
          <w:snapToGrid w:val="0"/>
          <w:color w:val="000000"/>
          <w:sz w:val="23"/>
          <w:szCs w:val="23"/>
          <w:highlight w:val="none"/>
          <w:lang w:val="en-US" w:eastAsia="zh-CN" w:bidi="ar-SA"/>
        </w:rPr>
        <w:t>投标品牌承诺的</w:t>
      </w:r>
      <w:r>
        <w:rPr>
          <w:rFonts w:hint="eastAsia" w:ascii="宋体" w:hAnsi="宋体" w:eastAsia="宋体" w:cs="宋体"/>
          <w:snapToGrid w:val="0"/>
          <w:color w:val="000000"/>
          <w:sz w:val="23"/>
          <w:szCs w:val="23"/>
          <w:highlight w:val="none"/>
          <w:lang w:val="en-US" w:eastAsia="zh-CN" w:bidi="ar-SA"/>
        </w:rPr>
        <w:t>每运行一年故障次数或每起、制动运行60000次故障次数及相应保证措施，进行横向对比评分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0-1分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（提供所投品牌制造商承诺书（格式自拟）并加盖制造商公章，</w:t>
      </w:r>
      <w:r>
        <w:rPr>
          <w:rFonts w:hint="eastAsia" w:ascii="宋体" w:hAnsi="宋体" w:cs="宋体"/>
          <w:snapToGrid w:val="0"/>
          <w:color w:val="000000"/>
          <w:sz w:val="23"/>
          <w:szCs w:val="23"/>
          <w:highlight w:val="none"/>
          <w:lang w:val="en-US" w:eastAsia="zh-CN" w:bidi="ar-SA"/>
        </w:rPr>
        <w:t>根据招标文件第五章5.5.2中运行故障的要求，若承诺故障超过2次的或</w:t>
      </w:r>
      <w:r>
        <w:rPr>
          <w:rFonts w:hint="eastAsia" w:ascii="宋体" w:hAnsi="宋体" w:eastAsia="宋体" w:cs="宋体"/>
          <w:snapToGrid w:val="0"/>
          <w:color w:val="000000"/>
          <w:sz w:val="23"/>
          <w:szCs w:val="23"/>
          <w:highlight w:val="none"/>
          <w:lang w:val="en-US" w:eastAsia="zh-CN" w:bidi="ar-SA"/>
        </w:rPr>
        <w:t>不提供</w:t>
      </w:r>
      <w:r>
        <w:rPr>
          <w:rFonts w:hint="eastAsia" w:ascii="宋体" w:hAnsi="宋体" w:cs="宋体"/>
          <w:snapToGrid w:val="0"/>
          <w:color w:val="000000"/>
          <w:sz w:val="23"/>
          <w:szCs w:val="23"/>
          <w:highlight w:val="none"/>
          <w:lang w:val="en-US" w:eastAsia="zh-CN" w:bidi="ar-SA"/>
        </w:rPr>
        <w:t>承诺书</w:t>
      </w:r>
      <w:r>
        <w:rPr>
          <w:rFonts w:hint="eastAsia" w:ascii="宋体" w:hAnsi="宋体" w:eastAsia="宋体" w:cs="宋体"/>
          <w:snapToGrid w:val="0"/>
          <w:color w:val="000000"/>
          <w:sz w:val="23"/>
          <w:szCs w:val="23"/>
          <w:highlight w:val="none"/>
          <w:lang w:val="en-US" w:eastAsia="zh-CN" w:bidi="ar-SA"/>
        </w:rPr>
        <w:t>的不得分）；</w:t>
      </w:r>
    </w:p>
    <w:p w14:paraId="5B25B1A0">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10）曳引机制动器可靠性试验：动作寿命不低于2000万次，得3分；动作寿命不低于1500万次，得1分；其余不得分[0-3分]（提供所投电梯制造厂家委托的第三方检测机构（需具有ilac-MRA认证和CNAS认证）提供的证明材料，不提供不得分）；</w:t>
      </w:r>
    </w:p>
    <w:p w14:paraId="61AC9D4A">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（11）层门门锁耐久性试验：层门锁动作寿命不低于850万次，得3分；层门锁动作寿命不低于750万次，得1分；其余不得分</w:t>
      </w:r>
      <w:r>
        <w:rPr>
          <w:rFonts w:hint="eastAsia" w:ascii="宋体" w:hAnsi="宋体" w:eastAsia="宋体" w:cs="宋体"/>
          <w:sz w:val="23"/>
          <w:szCs w:val="23"/>
          <w:highlight w:val="none"/>
          <w:lang w:val="en-US" w:eastAsia="zh-CN"/>
        </w:rPr>
        <w:t>[0-3分]</w:t>
      </w:r>
      <w:r>
        <w:rPr>
          <w:rFonts w:hint="eastAsia" w:ascii="宋体" w:hAnsi="宋体" w:eastAsia="宋体" w:cs="宋体"/>
          <w:snapToGrid w:val="0"/>
          <w:color w:val="000000"/>
          <w:sz w:val="23"/>
          <w:szCs w:val="23"/>
          <w:highlight w:val="none"/>
          <w:lang w:val="en-US" w:eastAsia="zh-CN" w:bidi="ar-SA"/>
        </w:rPr>
        <w:t>（提供所投电梯制造厂家委托的第三方检测机构（需具有CMA认证、ilac-MRA认证和CNAS认证）提供的证明材料，不提供不得分）；</w:t>
      </w:r>
    </w:p>
    <w:p w14:paraId="1D3F3BBE">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（12）所投垂直电梯型号具有A级及以上能效认证（ISO25745）的得1分，具有B级能效认证（ISO25745）的得0.5分, 其余不得分[0-1分]（以制造商提供的能效认证（ISO25745）证书为准，不提供不得分）。</w:t>
      </w:r>
    </w:p>
    <w:p w14:paraId="548772CC">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主要制作材料选用的比较</w:t>
      </w:r>
    </w:p>
    <w:p w14:paraId="01C26E38">
      <w:pPr>
        <w:pStyle w:val="20"/>
        <w:keepNext w:val="0"/>
        <w:keepLines w:val="0"/>
        <w:pageBreakBefore w:val="0"/>
        <w:widowControl w:val="0"/>
        <w:numPr>
          <w:ilvl w:val="0"/>
          <w:numId w:val="0"/>
        </w:numPr>
        <w:kinsoku w:val="0"/>
        <w:wordWrap/>
        <w:overflowPunct w:val="0"/>
        <w:topLinePunct w:val="0"/>
        <w:autoSpaceDE w:val="0"/>
        <w:autoSpaceDN w:val="0"/>
        <w:bidi w:val="0"/>
        <w:adjustRightInd/>
        <w:snapToGrid/>
        <w:spacing w:after="0" w:line="360" w:lineRule="auto"/>
        <w:ind w:firstLine="460" w:firstLineChars="200"/>
        <w:textAlignment w:val="auto"/>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（1）控制系统性能：根据电梯控制柜及内部主要部件调速器、控制器品牌与电梯品牌的一致性和技术先进性、稳定可靠性横向对比，针对投标人提供的内容进行评分</w:t>
      </w:r>
      <w:r>
        <w:rPr>
          <w:rFonts w:hint="eastAsia" w:ascii="宋体" w:hAnsi="宋体" w:eastAsia="宋体" w:cs="宋体"/>
          <w:sz w:val="23"/>
          <w:szCs w:val="23"/>
          <w:highlight w:val="none"/>
          <w:lang w:val="en-US" w:eastAsia="zh-CN"/>
        </w:rPr>
        <w:t>[0.3-3分]</w:t>
      </w:r>
      <w:r>
        <w:rPr>
          <w:rFonts w:hint="eastAsia" w:ascii="宋体" w:hAnsi="宋体" w:eastAsia="宋体" w:cs="宋体"/>
          <w:snapToGrid w:val="0"/>
          <w:color w:val="000000"/>
          <w:sz w:val="23"/>
          <w:szCs w:val="23"/>
          <w:highlight w:val="none"/>
          <w:lang w:val="en-US" w:eastAsia="zh-CN" w:bidi="ar-SA"/>
        </w:rPr>
        <w:t>；</w:t>
      </w:r>
    </w:p>
    <w:p w14:paraId="48B608F5">
      <w:pPr>
        <w:pStyle w:val="20"/>
        <w:keepNext w:val="0"/>
        <w:keepLines w:val="0"/>
        <w:pageBreakBefore w:val="0"/>
        <w:widowControl w:val="0"/>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（2）曳引驱动系统性能：根据电梯所选用曳引机品牌与电梯品牌的一致性和曳引机的额定功率大小、成熟度、节能型、结构合理性、IP防护等级等横向对比，针对投标人提供的内容进行评分[0.3-3分]；</w:t>
      </w:r>
    </w:p>
    <w:p w14:paraId="00EF24D9">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（3）门机系统性能：根据电梯所选用门机品牌与电梯品牌的一致性、电机产地来源、先进性、可靠性、安全性横向对比，针对投标人提供的内容进行评分</w:t>
      </w:r>
      <w:r>
        <w:rPr>
          <w:rFonts w:hint="eastAsia" w:ascii="宋体" w:hAnsi="宋体" w:eastAsia="宋体" w:cs="宋体"/>
          <w:sz w:val="23"/>
          <w:szCs w:val="23"/>
          <w:highlight w:val="none"/>
          <w:lang w:val="en-US" w:eastAsia="zh-CN"/>
        </w:rPr>
        <w:t>[0.3-3分]</w:t>
      </w:r>
      <w:r>
        <w:rPr>
          <w:rFonts w:hint="eastAsia" w:ascii="宋体" w:hAnsi="宋体" w:eastAsia="宋体" w:cs="宋体"/>
          <w:snapToGrid w:val="0"/>
          <w:color w:val="000000"/>
          <w:sz w:val="23"/>
          <w:szCs w:val="23"/>
          <w:highlight w:val="none"/>
          <w:lang w:val="en-US" w:eastAsia="zh-CN" w:bidi="ar-SA"/>
        </w:rPr>
        <w:t>；</w:t>
      </w:r>
    </w:p>
    <w:p w14:paraId="7409F01D">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（4）门保护系统性能：从投标品牌所选用的光幕的来源地、品牌、光束数等，技术参数、灵敏性、稳定性、先进性、知名度等方面进行横向对比，针对投标人提供的内容进行评分[0.3-3分]；</w:t>
      </w:r>
    </w:p>
    <w:p w14:paraId="61E88506">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（5）轿厢称重装置性能：根据电梯轿厢称重装置产品配置的档次及其技术先进性、稳定可靠性横向对比打分，针对投标人提供的内容进行评分</w:t>
      </w:r>
      <w:r>
        <w:rPr>
          <w:rFonts w:hint="eastAsia" w:ascii="宋体" w:hAnsi="宋体" w:eastAsia="宋体" w:cs="宋体"/>
          <w:sz w:val="23"/>
          <w:szCs w:val="23"/>
          <w:highlight w:val="none"/>
          <w:lang w:val="en-US" w:eastAsia="zh-CN"/>
        </w:rPr>
        <w:t>[0.3-3分]</w:t>
      </w:r>
      <w:r>
        <w:rPr>
          <w:rFonts w:hint="eastAsia" w:ascii="宋体" w:hAnsi="宋体" w:eastAsia="宋体" w:cs="宋体"/>
          <w:snapToGrid w:val="0"/>
          <w:color w:val="000000"/>
          <w:sz w:val="23"/>
          <w:szCs w:val="23"/>
          <w:highlight w:val="none"/>
          <w:lang w:val="en-US" w:eastAsia="zh-CN" w:bidi="ar-SA"/>
        </w:rPr>
        <w:t>；</w:t>
      </w:r>
    </w:p>
    <w:p w14:paraId="22A89983">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（6）主导轨和副导轨规格横向对比：根据投标电梯的主副导轨型号规格内容进行评分[0.3-3分]。</w:t>
      </w:r>
    </w:p>
    <w:p w14:paraId="05ED88B7">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□辅助制作材料及配件选用的比较</w:t>
      </w:r>
    </w:p>
    <w:p w14:paraId="5804532E">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p>
    <w:p w14:paraId="52A0CA63">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（1）施工方案：根据施工质量、进度、安全生产和文明施工保证措施，进行横向对比评分</w:t>
      </w:r>
      <w:r>
        <w:rPr>
          <w:rFonts w:hint="eastAsia" w:ascii="宋体" w:hAnsi="宋体" w:eastAsia="宋体" w:cs="宋体"/>
          <w:sz w:val="23"/>
          <w:szCs w:val="23"/>
          <w:highlight w:val="none"/>
          <w:lang w:val="en-US" w:eastAsia="zh-CN"/>
        </w:rPr>
        <w:t>[0.3-3分]</w:t>
      </w:r>
      <w:r>
        <w:rPr>
          <w:rFonts w:hint="eastAsia" w:ascii="宋体" w:hAnsi="宋体" w:eastAsia="宋体" w:cs="宋体"/>
          <w:snapToGrid w:val="0"/>
          <w:color w:val="000000"/>
          <w:sz w:val="23"/>
          <w:szCs w:val="23"/>
          <w:highlight w:val="none"/>
          <w:lang w:val="en-US" w:eastAsia="zh-CN" w:bidi="ar-SA"/>
        </w:rPr>
        <w:t>；</w:t>
      </w:r>
    </w:p>
    <w:p w14:paraId="1969E98D">
      <w:pPr>
        <w:pStyle w:val="20"/>
        <w:keepNext w:val="0"/>
        <w:keepLines w:val="0"/>
        <w:pageBreakBefore w:val="0"/>
        <w:widowControl w:val="0"/>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（2）与总包单位和其他分包单位的配合措施横向对比评分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4037FAA9">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投标人是否具有较强的本地化服务能力、售后服务承诺、提供的售后服务方案的可行性、完整性以及服务承诺落实的保障措施，质保期内外的后续技术支持和维护能力情况等。</w:t>
      </w:r>
    </w:p>
    <w:p w14:paraId="2013FCB0">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维保单位人员情况：按投标人维保单位在职职工及投入本工程维保人员综合情况进行横向对比评分。维保单位应为投标电梯品牌授权的维保单位，维保单位为非投标电梯品牌授权的均得0.5分，投标文件中提供授权文件复制件</w:t>
      </w:r>
      <w:r>
        <w:rPr>
          <w:rFonts w:hint="eastAsia" w:ascii="宋体" w:hAnsi="宋体" w:cs="宋体"/>
          <w:snapToGrid w:val="0"/>
          <w:color w:val="000000"/>
          <w:sz w:val="23"/>
          <w:szCs w:val="23"/>
          <w:highlight w:val="none"/>
          <w:lang w:val="en-US" w:eastAsia="zh-CN" w:bidi="ar-SA"/>
        </w:rPr>
        <w:t>（格式自拟）[</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129F2C6E">
      <w:pPr>
        <w:pStyle w:val="20"/>
        <w:keepNext w:val="0"/>
        <w:keepLines w:val="0"/>
        <w:pageBreakBefore w:val="0"/>
        <w:widowControl/>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（2）根据投标人承诺的维修点远近及维保响应时间横向对比评分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4F21F6EF">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（3）培训计划：根据培训时间、地点、费用、目标横向对比评分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w:t>
      </w:r>
    </w:p>
    <w:p w14:paraId="5EC7F576">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（4）使用成本因素：按质保期满后所有电梯2年小包费加3年的大包费用合理性横向对比评分[0.3-3分]；</w:t>
      </w:r>
    </w:p>
    <w:p w14:paraId="64BCB784">
      <w:pPr>
        <w:pStyle w:val="20"/>
        <w:keepNext w:val="0"/>
        <w:keepLines w:val="0"/>
        <w:pageBreakBefore w:val="0"/>
        <w:widowControl w:val="0"/>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rPr>
      </w:pPr>
      <w:r>
        <w:rPr>
          <w:rFonts w:hint="eastAsia" w:ascii="宋体" w:hAnsi="宋体" w:eastAsia="宋体" w:cs="宋体"/>
          <w:snapToGrid w:val="0"/>
          <w:color w:val="000000"/>
          <w:sz w:val="23"/>
          <w:szCs w:val="23"/>
          <w:highlight w:val="none"/>
          <w:lang w:val="en-US" w:eastAsia="zh-CN" w:bidi="ar-SA"/>
        </w:rPr>
        <w:t>（5）售后服务承诺：根据投标人提供的售后服务方案、维护人员配备和售后服务机构设置等情况，提供详细、完善的售后服务的承诺情况，售后服务承诺的可行性、完整性以及保障措施，产品质量保证期内外的故障响应、修复时间及后续技术支持和维护能力情况等进行横向对比评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napToGrid w:val="0"/>
          <w:color w:val="000000"/>
          <w:sz w:val="23"/>
          <w:szCs w:val="23"/>
          <w:highlight w:val="none"/>
          <w:lang w:val="en-US" w:eastAsia="zh-CN" w:bidi="ar-SA"/>
        </w:rPr>
        <w:t>0.2-2分</w:t>
      </w:r>
      <w:r>
        <w:rPr>
          <w:rFonts w:hint="eastAsia" w:ascii="宋体" w:hAnsi="宋体" w:cs="宋体"/>
          <w:snapToGrid w:val="0"/>
          <w:color w:val="000000"/>
          <w:sz w:val="23"/>
          <w:szCs w:val="23"/>
          <w:highlight w:val="none"/>
          <w:lang w:val="en-US" w:eastAsia="zh-CN" w:bidi="ar-SA"/>
        </w:rPr>
        <w:t>]</w:t>
      </w:r>
      <w:r>
        <w:rPr>
          <w:rFonts w:hint="eastAsia" w:ascii="宋体" w:hAnsi="宋体" w:eastAsia="宋体" w:cs="宋体"/>
          <w:sz w:val="23"/>
          <w:szCs w:val="23"/>
          <w:highlight w:val="none"/>
          <w:lang w:val="en-US" w:eastAsia="zh-CN"/>
        </w:rPr>
        <w:t>。</w:t>
      </w:r>
    </w:p>
    <w:p w14:paraId="49A3DC7B">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□投标人提供的样品质量比较</w:t>
      </w:r>
    </w:p>
    <w:p w14:paraId="714F869F">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其它</w:t>
      </w:r>
    </w:p>
    <w:p w14:paraId="2409A800">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投标人具有市场监督管理局核发的《中华人民共和国特种设备生产许可证》（许可项目：电梯安装（含修理），许可子项目：曳引驱动乘客电梯（含消防员电梯）（许可参数：2.5m/s&lt;额定速度≤6.0m/s）及以上）的得2分，不具备的不得分[0-</w:t>
      </w:r>
      <w:r>
        <w:rPr>
          <w:rFonts w:hint="eastAsia" w:ascii="宋体" w:hAnsi="宋体" w:cs="宋体"/>
          <w:snapToGrid w:val="0"/>
          <w:color w:val="000000"/>
          <w:sz w:val="23"/>
          <w:szCs w:val="23"/>
          <w:highlight w:val="none"/>
          <w:lang w:val="en-US" w:eastAsia="zh-CN" w:bidi="ar-SA"/>
        </w:rPr>
        <w:t>2</w:t>
      </w:r>
      <w:r>
        <w:rPr>
          <w:rFonts w:hint="eastAsia" w:ascii="宋体" w:hAnsi="宋体" w:eastAsia="宋体" w:cs="宋体"/>
          <w:snapToGrid w:val="0"/>
          <w:color w:val="000000"/>
          <w:sz w:val="23"/>
          <w:szCs w:val="23"/>
          <w:highlight w:val="none"/>
          <w:lang w:val="en-US" w:eastAsia="zh-CN" w:bidi="ar-SA"/>
        </w:rPr>
        <w:t>分]（投标文件中提供证书复制件并加盖投标人公章）；</w:t>
      </w:r>
    </w:p>
    <w:p w14:paraId="60A0C02F">
      <w:pPr>
        <w:pStyle w:val="20"/>
        <w:keepNext w:val="0"/>
        <w:keepLines w:val="0"/>
        <w:pageBreakBefore w:val="0"/>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w:t>
      </w:r>
      <w:r>
        <w:rPr>
          <w:rFonts w:hint="eastAsia" w:ascii="宋体" w:hAnsi="宋体" w:cs="宋体"/>
          <w:sz w:val="23"/>
          <w:szCs w:val="23"/>
          <w:highlight w:val="none"/>
          <w:lang w:val="en-US" w:eastAsia="zh-CN"/>
        </w:rPr>
        <w:t>2</w:t>
      </w:r>
      <w:r>
        <w:rPr>
          <w:rFonts w:hint="eastAsia" w:ascii="宋体" w:hAnsi="宋体" w:eastAsia="宋体" w:cs="宋体"/>
          <w:sz w:val="23"/>
          <w:szCs w:val="23"/>
          <w:highlight w:val="none"/>
          <w:lang w:val="en-US" w:eastAsia="zh-CN"/>
        </w:rPr>
        <w:t>）自2020年7月1日以来（时间以评价文件落款时间为准），投标人连续5年获得县（市）区级以上市场监督管理部门关于电梯维护保养单位违法违规综合量化评价结果，连续5年A类的得3分，连续3年</w:t>
      </w:r>
      <w:r>
        <w:rPr>
          <w:rFonts w:hint="eastAsia" w:ascii="宋体" w:hAnsi="宋体" w:cs="宋体"/>
          <w:sz w:val="23"/>
          <w:szCs w:val="23"/>
          <w:highlight w:val="none"/>
          <w:lang w:val="en-US" w:eastAsia="zh-CN"/>
        </w:rPr>
        <w:t>A类</w:t>
      </w:r>
      <w:r>
        <w:rPr>
          <w:rFonts w:hint="eastAsia" w:ascii="宋体" w:hAnsi="宋体" w:eastAsia="宋体" w:cs="宋体"/>
          <w:sz w:val="23"/>
          <w:szCs w:val="23"/>
          <w:highlight w:val="none"/>
          <w:lang w:val="en-US" w:eastAsia="zh-CN"/>
        </w:rPr>
        <w:t>的得1分，其他情况不得分。[0-3分]</w:t>
      </w:r>
    </w:p>
    <w:p w14:paraId="4816E495">
      <w:pPr>
        <w:pStyle w:val="20"/>
        <w:keepNext w:val="0"/>
        <w:keepLines w:val="0"/>
        <w:pageBreakBefore w:val="0"/>
        <w:wordWrap/>
        <w:overflowPunct/>
        <w:topLinePunct w:val="0"/>
        <w:bidi w:val="0"/>
        <w:adjustRightInd/>
        <w:snapToGrid/>
        <w:spacing w:after="0" w:line="360" w:lineRule="auto"/>
        <w:ind w:firstLine="460" w:firstLineChars="200"/>
        <w:rPr>
          <w:rFonts w:hint="eastAsia"/>
          <w:highlight w:val="none"/>
        </w:rPr>
      </w:pPr>
      <w:r>
        <w:rPr>
          <w:rFonts w:hint="eastAsia" w:ascii="宋体" w:hAnsi="宋体" w:eastAsia="宋体" w:cs="宋体"/>
          <w:sz w:val="23"/>
          <w:szCs w:val="23"/>
          <w:highlight w:val="none"/>
          <w:lang w:val="en-US" w:eastAsia="zh-CN"/>
        </w:rPr>
        <w:t>（若各地评价体系不一致的，请提供市场监督管理部门评价体系标准，按好、中、差级别进行评分，提供市场监督管理局评价文件复制件并加盖投标人公章）。</w:t>
      </w:r>
    </w:p>
    <w:p w14:paraId="66905E8A">
      <w:pPr>
        <w:keepNext w:val="0"/>
        <w:keepLines w:val="0"/>
        <w:pageBreakBefore w:val="0"/>
        <w:widowControl w:val="0"/>
        <w:kinsoku w:val="0"/>
        <w:wordWrap/>
        <w:overflowPunct/>
        <w:topLinePunct w:val="0"/>
        <w:autoSpaceDE w:val="0"/>
        <w:autoSpaceDN w:val="0"/>
        <w:bidi w:val="0"/>
        <w:adjustRightInd/>
        <w:snapToGrid/>
        <w:spacing w:line="360" w:lineRule="auto"/>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(四)投标文件的商务标评审</w:t>
      </w:r>
    </w:p>
    <w:p w14:paraId="7451E5B9">
      <w:pPr>
        <w:keepNext w:val="0"/>
        <w:keepLines w:val="0"/>
        <w:pageBreakBefore w:val="0"/>
        <w:widowControl w:val="0"/>
        <w:kinsoku w:val="0"/>
        <w:wordWrap/>
        <w:overflowPunct/>
        <w:topLinePunct w:val="0"/>
        <w:autoSpaceDE w:val="0"/>
        <w:autoSpaceDN w:val="0"/>
        <w:bidi w:val="0"/>
        <w:adjustRightInd/>
        <w:snapToGrid/>
        <w:spacing w:line="360" w:lineRule="auto"/>
        <w:ind w:firstLine="495"/>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BC62E2F">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2.报价评审应以报价口径范围一致的投标评标价为依据。投标评标价应在最终报价的基础上，按照招标文件约定的因素和方法进行计算。</w:t>
      </w:r>
    </w:p>
    <w:p w14:paraId="3CDD45B7">
      <w:pPr>
        <w:keepNext w:val="0"/>
        <w:keepLines w:val="0"/>
        <w:pageBreakBefore w:val="0"/>
        <w:widowControl/>
        <w:wordWrap/>
        <w:overflowPunct/>
        <w:topLinePunct w:val="0"/>
        <w:bidi w:val="0"/>
        <w:adjustRightInd/>
        <w:snapToGrid/>
        <w:spacing w:line="360" w:lineRule="auto"/>
        <w:ind w:firstLine="48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3.评标基准价由评标委员会依据下述方法计算，除计算差错外，确认后的评标基准价在本次招标期间保持不变。</w:t>
      </w:r>
    </w:p>
    <w:p w14:paraId="14D45987">
      <w:pPr>
        <w:keepNext w:val="0"/>
        <w:keepLines w:val="0"/>
        <w:pageBreakBefore w:val="0"/>
        <w:widowControl/>
        <w:wordWrap/>
        <w:overflowPunct/>
        <w:topLinePunct w:val="0"/>
        <w:bidi w:val="0"/>
        <w:adjustRightInd/>
        <w:snapToGrid/>
        <w:spacing w:line="360" w:lineRule="auto"/>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计算差错，仅限于以下两种情况：(1)纯算术性四则运算差错；(2)未按约定的计算方</w:t>
      </w:r>
    </w:p>
    <w:p w14:paraId="475C71B4">
      <w:pPr>
        <w:keepNext w:val="0"/>
        <w:keepLines w:val="0"/>
        <w:pageBreakBefore w:val="0"/>
        <w:widowControl/>
        <w:wordWrap/>
        <w:overflowPunct/>
        <w:topLinePunct w:val="0"/>
        <w:bidi w:val="0"/>
        <w:adjustRightInd/>
        <w:snapToGrid/>
        <w:spacing w:line="360" w:lineRule="auto"/>
        <w:ind w:firstLine="2"/>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法，多计或者少计投标人报价的。由于评标差错，导致否决投标错误，重新评标纠正等其他情况，不属于计算差错。</w:t>
      </w:r>
    </w:p>
    <w:p w14:paraId="3C2C5D85">
      <w:pPr>
        <w:keepNext w:val="0"/>
        <w:keepLines w:val="0"/>
        <w:pageBreakBefore w:val="0"/>
        <w:widowControl/>
        <w:wordWrap/>
        <w:overflowPunct/>
        <w:topLinePunct w:val="0"/>
        <w:bidi w:val="0"/>
        <w:adjustRightInd/>
        <w:snapToGrid/>
        <w:spacing w:line="360" w:lineRule="auto"/>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4.报价评分(</w:t>
      </w:r>
      <w:r>
        <w:rPr>
          <w:rFonts w:hint="eastAsia" w:ascii="宋体" w:hAnsi="宋体" w:eastAsia="宋体" w:cs="宋体"/>
          <w:color w:val="000000"/>
          <w:sz w:val="23"/>
          <w:szCs w:val="23"/>
          <w:highlight w:val="none"/>
          <w:lang w:val="en-US" w:eastAsia="zh-CN"/>
        </w:rPr>
        <w:t>37</w:t>
      </w:r>
      <w:r>
        <w:rPr>
          <w:rFonts w:hint="eastAsia" w:ascii="宋体" w:hAnsi="宋体" w:eastAsia="宋体" w:cs="宋体"/>
          <w:color w:val="000000"/>
          <w:sz w:val="23"/>
          <w:szCs w:val="23"/>
          <w:highlight w:val="none"/>
        </w:rPr>
        <w:t>分)</w:t>
      </w:r>
    </w:p>
    <w:p w14:paraId="258B1945">
      <w:pPr>
        <w:keepNext w:val="0"/>
        <w:keepLines w:val="0"/>
        <w:pageBreakBefore w:val="0"/>
        <w:widowControl/>
        <w:wordWrap/>
        <w:overflowPunct/>
        <w:topLinePunct w:val="0"/>
        <w:bidi w:val="0"/>
        <w:adjustRightInd/>
        <w:snapToGrid/>
        <w:spacing w:line="360" w:lineRule="auto"/>
        <w:ind w:left="516"/>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平均价法（方法一）</w:t>
      </w:r>
    </w:p>
    <w:p w14:paraId="616D4343">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(1)评分范围：通过符合性审查的所有投标文件进入评分范围。</w:t>
      </w:r>
    </w:p>
    <w:p w14:paraId="7FBFD8E0">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(2)评标基准价计算范围：评标基准价计算范围为进入详细评审的有效投标人投标报价，招标人设有风险控制价的，低于风险控制价的投标人投标报价不计入评标基准价计算范围。</w:t>
      </w:r>
    </w:p>
    <w:p w14:paraId="1E190C78">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60" w:firstLineChars="200"/>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3</w:t>
      </w:r>
      <w:r>
        <w:rPr>
          <w:rFonts w:hint="eastAsia" w:ascii="宋体" w:hAnsi="宋体" w:eastAsia="宋体" w:cs="宋体"/>
          <w:color w:val="000000"/>
          <w:sz w:val="23"/>
          <w:szCs w:val="23"/>
          <w:highlight w:val="none"/>
        </w:rPr>
        <w:t>)评标基准价：</w:t>
      </w:r>
      <w:r>
        <w:rPr>
          <w:rFonts w:hint="eastAsia" w:ascii="宋体" w:hAnsi="宋体" w:eastAsia="宋体" w:cs="宋体"/>
          <w:color w:val="auto"/>
          <w:sz w:val="23"/>
          <w:szCs w:val="23"/>
          <w:highlight w:val="none"/>
        </w:rPr>
        <w:t>进入</w:t>
      </w:r>
      <w:r>
        <w:rPr>
          <w:rFonts w:ascii="宋体" w:hAnsi="宋体" w:eastAsia="宋体" w:cs="宋体"/>
          <w:color w:val="auto"/>
          <w:sz w:val="23"/>
          <w:szCs w:val="23"/>
          <w:highlight w:val="none"/>
        </w:rPr>
        <w:t>评标基准价计算范围</w:t>
      </w:r>
      <w:r>
        <w:rPr>
          <w:rFonts w:hint="eastAsia" w:ascii="宋体" w:hAnsi="宋体" w:eastAsia="宋体" w:cs="宋体"/>
          <w:color w:val="auto"/>
          <w:sz w:val="23"/>
          <w:szCs w:val="23"/>
          <w:highlight w:val="none"/>
        </w:rPr>
        <w:t>的</w:t>
      </w:r>
      <w:r>
        <w:rPr>
          <w:rFonts w:hint="eastAsia" w:ascii="宋体" w:hAnsi="宋体" w:eastAsia="宋体" w:cs="宋体"/>
          <w:color w:val="000000"/>
          <w:sz w:val="23"/>
          <w:szCs w:val="23"/>
          <w:highlight w:val="none"/>
        </w:rPr>
        <w:t>投标评标价的算术平均值为评标基准价(其中，投标评标价在5个至7个时，去除一个最高价和一个最低价；投标评标价在8个及以上时，去除一个最高、次高价和一个最低、次低价)。</w:t>
      </w:r>
    </w:p>
    <w:p w14:paraId="0623224E">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4</w:t>
      </w:r>
      <w:r>
        <w:rPr>
          <w:rFonts w:hint="eastAsia" w:ascii="宋体" w:hAnsi="宋体" w:eastAsia="宋体" w:cs="宋体"/>
          <w:color w:val="000000"/>
          <w:sz w:val="23"/>
          <w:szCs w:val="23"/>
          <w:highlight w:val="none"/>
        </w:rPr>
        <w:t>)根据投标文件的投标评标价与评标基准价对比，计算投标人的商务报价的得分值。</w:t>
      </w:r>
    </w:p>
    <w:p w14:paraId="761AF3D7">
      <w:pPr>
        <w:keepNext w:val="0"/>
        <w:keepLines w:val="0"/>
        <w:pageBreakBefore w:val="0"/>
        <w:widowControl/>
        <w:wordWrap/>
        <w:overflowPunct/>
        <w:topLinePunct w:val="0"/>
        <w:bidi w:val="0"/>
        <w:adjustRightInd/>
        <w:snapToGrid/>
        <w:spacing w:line="360" w:lineRule="auto"/>
        <w:ind w:left="1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即：</w:t>
      </w:r>
    </w:p>
    <w:p w14:paraId="47298A91">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a.投标评标价等于评标基准价时，得满分(</w:t>
      </w:r>
      <w:r>
        <w:rPr>
          <w:rFonts w:hint="eastAsia" w:ascii="宋体" w:hAnsi="宋体" w:eastAsia="宋体" w:cs="宋体"/>
          <w:color w:val="000000"/>
          <w:position w:val="15"/>
          <w:sz w:val="23"/>
          <w:szCs w:val="23"/>
          <w:highlight w:val="none"/>
          <w:lang w:val="en-US" w:eastAsia="zh-CN"/>
        </w:rPr>
        <w:t>37</w:t>
      </w:r>
      <w:r>
        <w:rPr>
          <w:rFonts w:hint="eastAsia" w:ascii="宋体" w:hAnsi="宋体" w:eastAsia="宋体" w:cs="宋体"/>
          <w:color w:val="000000"/>
          <w:position w:val="15"/>
          <w:sz w:val="23"/>
          <w:szCs w:val="23"/>
          <w:highlight w:val="none"/>
        </w:rPr>
        <w:t>分)；</w:t>
      </w:r>
    </w:p>
    <w:p w14:paraId="6615BAF6">
      <w:pPr>
        <w:keepNext w:val="0"/>
        <w:keepLines w:val="0"/>
        <w:pageBreakBefore w:val="0"/>
        <w:widowControl/>
        <w:wordWrap/>
        <w:overflowPunct/>
        <w:topLinePunct w:val="0"/>
        <w:bidi w:val="0"/>
        <w:adjustRightInd/>
        <w:snapToGrid/>
        <w:spacing w:line="360" w:lineRule="auto"/>
        <w:ind w:left="47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b.投标评标价每低于评标基准价1个百分点，扣0.5分；</w:t>
      </w:r>
    </w:p>
    <w:p w14:paraId="4579184F">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c.投标评标价每高于评标基准价1个百分点，扣1分。</w:t>
      </w:r>
    </w:p>
    <w:p w14:paraId="31D4A7C9">
      <w:pPr>
        <w:keepNext w:val="0"/>
        <w:keepLines w:val="0"/>
        <w:pageBreakBefore w:val="0"/>
        <w:widowControl/>
        <w:wordWrap/>
        <w:overflowPunct/>
        <w:topLinePunct w:val="0"/>
        <w:bidi w:val="0"/>
        <w:adjustRightInd/>
        <w:snapToGrid/>
        <w:spacing w:line="360" w:lineRule="auto"/>
        <w:ind w:left="11" w:right="119"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以上报价得分不足一个百分点时，使用直线插入法计算，保留小数2位。投标文件的商务标评分不足10分的，计为10分。</w:t>
      </w:r>
    </w:p>
    <w:p w14:paraId="6C98C59F">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(五)投标文件的综合评分：投标文件的资信业绩评分、技术评分、商务评分的总和。</w:t>
      </w:r>
    </w:p>
    <w:p w14:paraId="353969DE">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(六)对投标人进行排序，推荐中标候选人</w:t>
      </w:r>
    </w:p>
    <w:p w14:paraId="4A7FD31F">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抽签(或□记名投票表决)方式排序。</w:t>
      </w:r>
    </w:p>
    <w:p w14:paraId="6CF3556F">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2.评标委员会根据投标人须知前附表7.1规定，确定中标人或推荐中标候选人。</w:t>
      </w:r>
    </w:p>
    <w:p w14:paraId="20C1F377">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五、完成评标报告</w:t>
      </w:r>
    </w:p>
    <w:p w14:paraId="5C1FECFD">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1B3451B">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(二)评标报告应包括以下内容：</w:t>
      </w:r>
    </w:p>
    <w:p w14:paraId="246E1954">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1.开标记录；</w:t>
      </w:r>
    </w:p>
    <w:p w14:paraId="1FB07F4D">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2.评标内容、过程和结果；</w:t>
      </w:r>
    </w:p>
    <w:p w14:paraId="476D522A">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3.询标澄清纪要；</w:t>
      </w:r>
    </w:p>
    <w:p w14:paraId="57CC05BE">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4.否决投标情况说明及依据；</w:t>
      </w:r>
    </w:p>
    <w:p w14:paraId="0BBC6156">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5.推荐中标候选人；</w:t>
      </w:r>
    </w:p>
    <w:p w14:paraId="3DE70A7C">
      <w:pPr>
        <w:keepNext w:val="0"/>
        <w:keepLines w:val="0"/>
        <w:pageBreakBefore w:val="0"/>
        <w:widowControl/>
        <w:wordWrap/>
        <w:overflowPunct/>
        <w:topLinePunct w:val="0"/>
        <w:bidi w:val="0"/>
        <w:adjustRightInd/>
        <w:snapToGrid/>
        <w:spacing w:line="360" w:lineRule="auto"/>
        <w:ind w:left="10" w:firstLine="47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6.中标候选人投标资格条件业绩和评分业绩(招标文件对投标资格或评分有业绩要求的)；</w:t>
      </w:r>
    </w:p>
    <w:p w14:paraId="1F53D339">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000000"/>
          <w:sz w:val="23"/>
          <w:szCs w:val="23"/>
          <w:highlight w:val="none"/>
        </w:rPr>
        <w:sectPr>
          <w:footerReference r:id="rId13" w:type="default"/>
          <w:pgSz w:w="11907" w:h="16840"/>
          <w:pgMar w:top="1418" w:right="1559" w:bottom="1418" w:left="1474" w:header="0" w:footer="723" w:gutter="0"/>
          <w:pgNumType w:fmt="decimal"/>
          <w:cols w:space="720" w:num="1"/>
        </w:sectPr>
      </w:pPr>
      <w:r>
        <w:rPr>
          <w:rFonts w:hint="eastAsia" w:ascii="宋体" w:hAnsi="宋体" w:eastAsia="宋体" w:cs="宋体"/>
          <w:color w:val="000000"/>
          <w:position w:val="1"/>
          <w:sz w:val="23"/>
          <w:szCs w:val="23"/>
          <w:highlight w:val="none"/>
        </w:rPr>
        <w:t>7.其他建议。</w:t>
      </w:r>
    </w:p>
    <w:p w14:paraId="33B1822C">
      <w:pPr>
        <w:spacing w:before="101" w:line="225" w:lineRule="auto"/>
        <w:ind w:left="2654"/>
        <w:jc w:val="both"/>
        <w:outlineLvl w:val="0"/>
        <w:rPr>
          <w:rFonts w:ascii="宋体" w:hAnsi="宋体" w:eastAsia="宋体" w:cs="宋体"/>
          <w:color w:val="000000"/>
          <w:sz w:val="31"/>
          <w:szCs w:val="31"/>
          <w:highlight w:val="none"/>
        </w:rPr>
      </w:pPr>
      <w:bookmarkStart w:id="45" w:name="_bookmark12"/>
      <w:bookmarkEnd w:id="45"/>
      <w:r>
        <w:rPr>
          <w:rFonts w:ascii="宋体" w:hAnsi="宋体" w:eastAsia="宋体" w:cs="宋体"/>
          <w:color w:val="000000"/>
          <w:sz w:val="31"/>
          <w:szCs w:val="31"/>
          <w:highlight w:val="none"/>
        </w:rPr>
        <w:t>第四章合同条款及格式</w:t>
      </w:r>
    </w:p>
    <w:p w14:paraId="569517C7">
      <w:pPr>
        <w:spacing w:line="360" w:lineRule="auto"/>
        <w:ind w:firstLine="462" w:firstLineChars="200"/>
        <w:jc w:val="both"/>
        <w:rPr>
          <w:rFonts w:ascii="宋体" w:hAnsi="宋体" w:eastAsia="宋体" w:cs="宋体"/>
          <w:b/>
          <w:bCs/>
          <w:color w:val="000000"/>
          <w:sz w:val="23"/>
          <w:szCs w:val="23"/>
          <w:highlight w:val="none"/>
          <w:lang w:bidi="ar"/>
        </w:rPr>
      </w:pPr>
    </w:p>
    <w:p w14:paraId="4265D153">
      <w:pPr>
        <w:keepNext w:val="0"/>
        <w:keepLines w:val="0"/>
        <w:pageBreakBefore w:val="0"/>
        <w:widowControl w:val="0"/>
        <w:wordWrap/>
        <w:overflowPunct/>
        <w:topLinePunct w:val="0"/>
        <w:bidi w:val="0"/>
        <w:adjustRightInd/>
        <w:snapToGrid/>
        <w:spacing w:line="360" w:lineRule="auto"/>
        <w:ind w:firstLine="300"/>
        <w:jc w:val="center"/>
        <w:outlineLvl w:val="1"/>
        <w:rPr>
          <w:rFonts w:hint="eastAsia" w:ascii="宋体" w:hAnsi="宋体" w:eastAsia="宋体" w:cs="宋体"/>
          <w:b/>
          <w:bCs/>
          <w:color w:val="auto"/>
          <w:sz w:val="21"/>
          <w:szCs w:val="21"/>
          <w:highlight w:val="none"/>
        </w:rPr>
      </w:pPr>
      <w:bookmarkStart w:id="46" w:name="_Toc406074420"/>
      <w:bookmarkStart w:id="47" w:name="_Toc297017781"/>
      <w:bookmarkStart w:id="48" w:name="_Toc7840"/>
      <w:bookmarkStart w:id="49" w:name="_Toc18320"/>
      <w:r>
        <w:rPr>
          <w:rFonts w:hint="eastAsia" w:ascii="宋体" w:hAnsi="宋体" w:eastAsia="宋体" w:cs="宋体"/>
          <w:b/>
          <w:bCs/>
          <w:color w:val="auto"/>
          <w:sz w:val="21"/>
          <w:szCs w:val="21"/>
          <w:highlight w:val="none"/>
        </w:rPr>
        <w:t>一、合同协议书</w:t>
      </w:r>
      <w:bookmarkEnd w:id="46"/>
      <w:bookmarkEnd w:id="47"/>
      <w:bookmarkEnd w:id="48"/>
      <w:bookmarkEnd w:id="49"/>
    </w:p>
    <w:p w14:paraId="571C3305">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甲方（招标人）：</w:t>
      </w:r>
      <w:r>
        <w:rPr>
          <w:rFonts w:hint="eastAsia" w:ascii="宋体" w:hAnsi="宋体" w:eastAsia="宋体" w:cs="宋体"/>
          <w:color w:val="auto"/>
          <w:sz w:val="21"/>
          <w:szCs w:val="21"/>
          <w:highlight w:val="none"/>
          <w:u w:val="single"/>
        </w:rPr>
        <w:t xml:space="preserve"> 中建三局集团有限公司、绍兴城建市政建设有限公司 </w:t>
      </w:r>
    </w:p>
    <w:p w14:paraId="6FDE26CC">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乙方（供应商）：</w:t>
      </w:r>
      <w:r>
        <w:rPr>
          <w:rFonts w:hint="eastAsia" w:ascii="宋体" w:hAnsi="宋体" w:eastAsia="宋体" w:cs="宋体"/>
          <w:color w:val="auto"/>
          <w:sz w:val="21"/>
          <w:szCs w:val="21"/>
          <w:highlight w:val="none"/>
          <w:u w:val="single"/>
        </w:rPr>
        <w:t xml:space="preserve">                                       </w:t>
      </w:r>
    </w:p>
    <w:p w14:paraId="38835419">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w:t>
      </w:r>
    </w:p>
    <w:p w14:paraId="213E23D1">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1、项目名称：</w:t>
      </w:r>
      <w:r>
        <w:rPr>
          <w:rFonts w:hint="eastAsia" w:ascii="宋体" w:hAnsi="宋体" w:eastAsia="宋体" w:cs="宋体"/>
          <w:color w:val="auto"/>
          <w:sz w:val="21"/>
          <w:szCs w:val="21"/>
          <w:highlight w:val="none"/>
          <w:u w:val="single"/>
          <w:lang w:eastAsia="zh-CN"/>
        </w:rPr>
        <w:t>凤凰山高品质养老院建设工程电梯设备采购安装项目（重新招标）</w:t>
      </w:r>
    </w:p>
    <w:p w14:paraId="67F0CF82">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2、项目地点：</w:t>
      </w:r>
      <w:r>
        <w:rPr>
          <w:rFonts w:hint="eastAsia" w:ascii="宋体" w:hAnsi="宋体" w:eastAsia="宋体" w:cs="宋体"/>
          <w:color w:val="auto"/>
          <w:sz w:val="21"/>
          <w:szCs w:val="21"/>
          <w:highlight w:val="none"/>
          <w:u w:val="single"/>
        </w:rPr>
        <w:t>绍兴市越城区解放南路与大明路交叉口西南侧</w:t>
      </w:r>
    </w:p>
    <w:p w14:paraId="1C558C1D">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3、项目内容：</w:t>
      </w:r>
      <w:r>
        <w:rPr>
          <w:rFonts w:hint="eastAsia" w:ascii="宋体" w:hAnsi="宋体" w:eastAsia="宋体" w:cs="宋体"/>
          <w:b/>
          <w:color w:val="auto"/>
          <w:sz w:val="21"/>
          <w:szCs w:val="21"/>
          <w:highlight w:val="none"/>
          <w:u w:val="single"/>
        </w:rPr>
        <w:t>本次招标包含凤凰山高品质养老院建设工程电梯，合计垂直电梯19台，总计19台。</w:t>
      </w:r>
      <w:r>
        <w:rPr>
          <w:rFonts w:hint="eastAsia" w:ascii="宋体" w:hAnsi="宋体" w:eastAsia="宋体" w:cs="宋体"/>
          <w:color w:val="auto"/>
          <w:sz w:val="21"/>
          <w:szCs w:val="21"/>
          <w:highlight w:val="none"/>
          <w:u w:val="single"/>
        </w:rPr>
        <w:t>包含但不限于电梯制造、仓储、运输、装卸、二次搬运、深化设计、安装、装修、调试、检测检验、委托监检、成品保护、权威部门验收、培训、交付使用、售后服务，以及向招标人提供全过程形成的图纸、记录、档案资料和其他相关服务等交钥匙内容，服从土建施工总包管理，与其他相关专业施工配合等。</w:t>
      </w:r>
    </w:p>
    <w:p w14:paraId="18ECFEDE">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具体实施界面：</w:t>
      </w:r>
      <w:r>
        <w:rPr>
          <w:rFonts w:hint="eastAsia" w:ascii="宋体" w:hAnsi="宋体" w:eastAsia="宋体" w:cs="宋体"/>
          <w:bCs/>
          <w:color w:val="auto"/>
          <w:sz w:val="21"/>
          <w:szCs w:val="21"/>
          <w:highlight w:val="none"/>
          <w:u w:val="single"/>
        </w:rPr>
        <w:t>详见图纸及电梯设备清单</w:t>
      </w:r>
      <w:r>
        <w:rPr>
          <w:rFonts w:hint="eastAsia" w:ascii="宋体" w:hAnsi="宋体" w:eastAsia="宋体" w:cs="宋体"/>
          <w:b/>
          <w:bCs/>
          <w:color w:val="auto"/>
          <w:sz w:val="21"/>
          <w:szCs w:val="21"/>
          <w:highlight w:val="none"/>
          <w:u w:val="single"/>
        </w:rPr>
        <w:t>。</w:t>
      </w:r>
    </w:p>
    <w:p w14:paraId="56FA4551">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二、合同范围和条件</w:t>
      </w:r>
    </w:p>
    <w:p w14:paraId="5A4216E1">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本合同的范围和条件应与上述规定的合同文件内容一致。</w:t>
      </w:r>
    </w:p>
    <w:p w14:paraId="3474A981">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三、合同标的及数量</w:t>
      </w:r>
    </w:p>
    <w:p w14:paraId="7A9785B0">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本合同要求提供的产品、规格和数量见招标文件相关要求。</w:t>
      </w:r>
    </w:p>
    <w:p w14:paraId="21F0AA40">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四、合同工期</w:t>
      </w:r>
    </w:p>
    <w:p w14:paraId="28C00FBA">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合同总工期：</w:t>
      </w:r>
      <w:r>
        <w:rPr>
          <w:rFonts w:hint="eastAsia" w:ascii="宋体" w:hAnsi="宋体" w:eastAsia="宋体" w:cs="宋体"/>
          <w:color w:val="auto"/>
          <w:sz w:val="21"/>
          <w:szCs w:val="21"/>
          <w:highlight w:val="none"/>
          <w:u w:val="singl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月底完成安装及验收，具体配合土建进度完成。</w:t>
      </w:r>
    </w:p>
    <w:p w14:paraId="6B280811">
      <w:pPr>
        <w:pStyle w:val="60"/>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日。</w:t>
      </w:r>
    </w:p>
    <w:p w14:paraId="79CA6889">
      <w:pPr>
        <w:pStyle w:val="60"/>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日。</w:t>
      </w:r>
    </w:p>
    <w:p w14:paraId="6519536B">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五、质量标准：</w:t>
      </w:r>
      <w:r>
        <w:rPr>
          <w:rFonts w:hint="eastAsia" w:ascii="宋体" w:hAnsi="宋体" w:eastAsia="宋体" w:cs="宋体"/>
          <w:b/>
          <w:color w:val="auto"/>
          <w:sz w:val="21"/>
          <w:szCs w:val="21"/>
          <w:highlight w:val="none"/>
          <w:u w:val="single"/>
        </w:rPr>
        <w:t>合格（符合国家及地方施工质量验收规范标准）</w:t>
      </w:r>
      <w:r>
        <w:rPr>
          <w:rFonts w:hint="eastAsia" w:ascii="宋体" w:hAnsi="宋体" w:eastAsia="宋体" w:cs="宋体"/>
          <w:color w:val="auto"/>
          <w:sz w:val="21"/>
          <w:szCs w:val="21"/>
          <w:highlight w:val="none"/>
        </w:rPr>
        <w:t>。</w:t>
      </w:r>
    </w:p>
    <w:p w14:paraId="17A20F42">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六、合同总价</w:t>
      </w:r>
    </w:p>
    <w:p w14:paraId="3F301338">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本合同为固定单价合同（本项目须进行结算审计，结算价按实调整）</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合同总价（含税中标价）为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人民币元，大写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 </w:t>
      </w:r>
    </w:p>
    <w:p w14:paraId="325E26AF">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七、项目负责人</w:t>
      </w:r>
    </w:p>
    <w:p w14:paraId="60FECB28">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乙方项目负责人：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w:t>
      </w:r>
    </w:p>
    <w:p w14:paraId="29C4B797">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八、合同文件</w:t>
      </w:r>
    </w:p>
    <w:p w14:paraId="7AC3F192">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下列文件构成本合同的组成部分：</w:t>
      </w:r>
    </w:p>
    <w:p w14:paraId="4A176673">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投标文件、招标文件、中标通知书、成交合同、合同补充条款、补充协议或说明</w:t>
      </w:r>
    </w:p>
    <w:p w14:paraId="7EC21FB7">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九、签订时间</w:t>
      </w:r>
    </w:p>
    <w:p w14:paraId="7847BCCB">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签订。</w:t>
      </w:r>
    </w:p>
    <w:p w14:paraId="7322A7C3">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十、签订地点</w:t>
      </w:r>
    </w:p>
    <w:p w14:paraId="138AD2F6">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签订。</w:t>
      </w:r>
    </w:p>
    <w:p w14:paraId="4FCBE93B">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十一、补充地点</w:t>
      </w:r>
    </w:p>
    <w:p w14:paraId="5CBF494F">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合同未尽事宜，合同当事人另行签订补充协议，补充协议是合同的组成部分。</w:t>
      </w:r>
    </w:p>
    <w:p w14:paraId="316C437A">
      <w:pPr>
        <w:keepNext w:val="0"/>
        <w:keepLines w:val="0"/>
        <w:pageBreakBefore w:val="0"/>
        <w:widowControl w:val="0"/>
        <w:wordWrap/>
        <w:overflowPunct/>
        <w:topLinePunct w:val="0"/>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十二、合同的生效</w:t>
      </w:r>
    </w:p>
    <w:p w14:paraId="216568C1">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本合同在乙方向甲方提交全部履约保证金后，且经甲乙法定代表人或授权代表签字并加盖公章之日起生效。</w:t>
      </w:r>
    </w:p>
    <w:p w14:paraId="4A7067E3">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合同一式</w:t>
      </w:r>
      <w:r>
        <w:rPr>
          <w:rFonts w:hint="eastAsia" w:ascii="宋体" w:hAnsi="宋体" w:eastAsia="宋体" w:cs="宋体"/>
          <w:color w:val="auto"/>
          <w:sz w:val="21"/>
          <w:szCs w:val="21"/>
          <w:highlight w:val="none"/>
          <w:u w:val="single"/>
        </w:rPr>
        <w:t>拾贰</w:t>
      </w:r>
      <w:r>
        <w:rPr>
          <w:rFonts w:hint="eastAsia" w:ascii="宋体" w:hAnsi="宋体" w:eastAsia="宋体" w:cs="宋体"/>
          <w:color w:val="auto"/>
          <w:sz w:val="21"/>
          <w:szCs w:val="21"/>
          <w:highlight w:val="none"/>
        </w:rPr>
        <w:t>份，正本</w:t>
      </w:r>
      <w:r>
        <w:rPr>
          <w:rFonts w:hint="eastAsia" w:ascii="宋体" w:hAnsi="宋体" w:eastAsia="宋体" w:cs="宋体"/>
          <w:color w:val="auto"/>
          <w:sz w:val="21"/>
          <w:szCs w:val="21"/>
          <w:highlight w:val="none"/>
          <w:u w:val="single"/>
        </w:rPr>
        <w:t>陆</w:t>
      </w:r>
      <w:r>
        <w:rPr>
          <w:rFonts w:hint="eastAsia" w:ascii="宋体" w:hAnsi="宋体" w:eastAsia="宋体" w:cs="宋体"/>
          <w:color w:val="auto"/>
          <w:sz w:val="21"/>
          <w:szCs w:val="21"/>
          <w:highlight w:val="none"/>
        </w:rPr>
        <w:t>份（甲方</w:t>
      </w:r>
      <w:r>
        <w:rPr>
          <w:rFonts w:hint="eastAsia" w:ascii="宋体" w:hAnsi="宋体" w:eastAsia="宋体" w:cs="宋体"/>
          <w:color w:val="auto"/>
          <w:sz w:val="21"/>
          <w:szCs w:val="21"/>
          <w:highlight w:val="none"/>
          <w:u w:val="single"/>
        </w:rPr>
        <w:t>肆</w:t>
      </w:r>
      <w:r>
        <w:rPr>
          <w:rFonts w:hint="eastAsia" w:ascii="宋体" w:hAnsi="宋体" w:eastAsia="宋体" w:cs="宋体"/>
          <w:color w:val="auto"/>
          <w:sz w:val="21"/>
          <w:szCs w:val="21"/>
          <w:highlight w:val="none"/>
        </w:rPr>
        <w:t>份、乙方</w:t>
      </w:r>
      <w:r>
        <w:rPr>
          <w:rFonts w:hint="eastAsia" w:ascii="宋体" w:hAnsi="宋体" w:eastAsia="宋体" w:cs="宋体"/>
          <w:color w:val="auto"/>
          <w:sz w:val="21"/>
          <w:szCs w:val="21"/>
          <w:highlight w:val="none"/>
          <w:u w:val="single"/>
        </w:rPr>
        <w:t>贰</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rPr>
        <w:t>陆</w:t>
      </w:r>
      <w:r>
        <w:rPr>
          <w:rFonts w:hint="eastAsia" w:ascii="宋体" w:hAnsi="宋体" w:eastAsia="宋体" w:cs="宋体"/>
          <w:color w:val="auto"/>
          <w:sz w:val="21"/>
          <w:szCs w:val="21"/>
          <w:highlight w:val="none"/>
        </w:rPr>
        <w:t>份（甲方</w:t>
      </w:r>
      <w:r>
        <w:rPr>
          <w:rFonts w:hint="eastAsia" w:ascii="宋体" w:hAnsi="宋体" w:eastAsia="宋体" w:cs="宋体"/>
          <w:color w:val="auto"/>
          <w:sz w:val="21"/>
          <w:szCs w:val="21"/>
          <w:highlight w:val="none"/>
          <w:u w:val="single"/>
        </w:rPr>
        <w:t>肆</w:t>
      </w:r>
      <w:r>
        <w:rPr>
          <w:rFonts w:hint="eastAsia" w:ascii="宋体" w:hAnsi="宋体" w:eastAsia="宋体" w:cs="宋体"/>
          <w:color w:val="auto"/>
          <w:sz w:val="21"/>
          <w:szCs w:val="21"/>
          <w:highlight w:val="none"/>
        </w:rPr>
        <w:t>份、乙方</w:t>
      </w:r>
      <w:r>
        <w:rPr>
          <w:rFonts w:hint="eastAsia" w:ascii="宋体" w:hAnsi="宋体" w:eastAsia="宋体" w:cs="宋体"/>
          <w:color w:val="auto"/>
          <w:sz w:val="21"/>
          <w:szCs w:val="21"/>
          <w:highlight w:val="none"/>
          <w:u w:val="single"/>
        </w:rPr>
        <w:t>贰</w:t>
      </w:r>
      <w:r>
        <w:rPr>
          <w:rFonts w:hint="eastAsia" w:ascii="宋体" w:hAnsi="宋体" w:eastAsia="宋体" w:cs="宋体"/>
          <w:color w:val="auto"/>
          <w:sz w:val="21"/>
          <w:szCs w:val="21"/>
          <w:highlight w:val="none"/>
        </w:rPr>
        <w:t>份）。</w:t>
      </w:r>
    </w:p>
    <w:p w14:paraId="554E5D02">
      <w:pPr>
        <w:keepNext w:val="0"/>
        <w:keepLines w:val="0"/>
        <w:pageBreakBefore w:val="0"/>
        <w:widowControl w:val="0"/>
        <w:wordWrap/>
        <w:overflowPunct/>
        <w:topLinePunct w:val="0"/>
        <w:bidi w:val="0"/>
        <w:adjustRightInd/>
        <w:snapToGrid/>
        <w:spacing w:line="360" w:lineRule="auto"/>
        <w:rPr>
          <w:rFonts w:hint="eastAsia" w:ascii="宋体" w:hAnsi="宋体" w:eastAsia="宋体" w:cs="宋体"/>
          <w:color w:val="auto"/>
          <w:sz w:val="21"/>
          <w:szCs w:val="21"/>
          <w:highlight w:val="none"/>
        </w:rPr>
      </w:pPr>
    </w:p>
    <w:p w14:paraId="3A5304FF">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甲方：(盖章）                          乙方：(盖章）</w:t>
      </w:r>
    </w:p>
    <w:p w14:paraId="1DF37A5D">
      <w:pPr>
        <w:keepNext w:val="0"/>
        <w:keepLines w:val="0"/>
        <w:pageBreakBefore w:val="0"/>
        <w:widowControl w:val="0"/>
        <w:wordWrap/>
        <w:overflowPunct/>
        <w:topLinePunct w:val="0"/>
        <w:bidi w:val="0"/>
        <w:adjustRightInd/>
        <w:snapToGrid/>
        <w:spacing w:line="360" w:lineRule="auto"/>
        <w:rPr>
          <w:rFonts w:hint="eastAsia" w:ascii="宋体" w:hAnsi="宋体" w:eastAsia="宋体" w:cs="宋体"/>
          <w:color w:val="auto"/>
          <w:sz w:val="21"/>
          <w:szCs w:val="21"/>
          <w:highlight w:val="none"/>
        </w:rPr>
      </w:pPr>
    </w:p>
    <w:p w14:paraId="20A9FF74">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法定代表人或                                    法定代表人或</w:t>
      </w:r>
    </w:p>
    <w:p w14:paraId="34B9CB6D">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其委托代理人：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(签字) </w:t>
      </w:r>
    </w:p>
    <w:p w14:paraId="56BDD69C">
      <w:pPr>
        <w:keepNext w:val="0"/>
        <w:keepLines w:val="0"/>
        <w:pageBreakBefore w:val="0"/>
        <w:widowControl w:val="0"/>
        <w:tabs>
          <w:tab w:val="left" w:pos="4500"/>
        </w:tabs>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4BDEF97C">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                                      邮政编码：</w:t>
      </w:r>
    </w:p>
    <w:p w14:paraId="4415E995">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17AEC350">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传    真：                                      传    真：</w:t>
      </w:r>
    </w:p>
    <w:p w14:paraId="268780CC">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pacing w:val="-6"/>
          <w:sz w:val="21"/>
          <w:szCs w:val="21"/>
          <w:highlight w:val="none"/>
          <w:u w:val="single"/>
        </w:rPr>
      </w:pPr>
      <w:r>
        <w:rPr>
          <w:rFonts w:hint="eastAsia" w:ascii="宋体" w:hAnsi="宋体" w:eastAsia="宋体" w:cs="宋体"/>
          <w:color w:val="auto"/>
          <w:sz w:val="21"/>
          <w:szCs w:val="21"/>
          <w:highlight w:val="none"/>
        </w:rPr>
        <w:t>开户银行：                                      开户银行：</w:t>
      </w:r>
    </w:p>
    <w:p w14:paraId="3764D672">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银行账号：                                      银行账号：</w:t>
      </w:r>
    </w:p>
    <w:p w14:paraId="3283A011">
      <w:pPr>
        <w:keepNext w:val="0"/>
        <w:keepLines w:val="0"/>
        <w:pageBreakBefore w:val="0"/>
        <w:widowControl w:val="0"/>
        <w:tabs>
          <w:tab w:val="left" w:pos="4680"/>
        </w:tabs>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p>
    <w:p w14:paraId="7EA07F0B">
      <w:pPr>
        <w:pStyle w:val="29"/>
        <w:keepNext w:val="0"/>
        <w:keepLines w:val="0"/>
        <w:pageBreakBefore w:val="0"/>
        <w:widowControl w:val="0"/>
        <w:wordWrap/>
        <w:overflowPunct/>
        <w:topLinePunct w:val="0"/>
        <w:bidi w:val="0"/>
        <w:adjustRightInd/>
        <w:snapToGrid/>
        <w:spacing w:after="0" w:line="360" w:lineRule="auto"/>
        <w:ind w:firstLineChars="200"/>
        <w:rPr>
          <w:rFonts w:hint="eastAsia" w:ascii="宋体" w:hAnsi="宋体" w:eastAsia="宋体" w:cs="宋体"/>
          <w:color w:val="auto"/>
          <w:sz w:val="21"/>
          <w:szCs w:val="21"/>
          <w:highlight w:val="none"/>
        </w:rPr>
      </w:pPr>
    </w:p>
    <w:p w14:paraId="6E36C526">
      <w:pPr>
        <w:keepNext w:val="0"/>
        <w:keepLines w:val="0"/>
        <w:pageBreakBefore w:val="0"/>
        <w:widowControl w:val="0"/>
        <w:tabs>
          <w:tab w:val="left" w:pos="4500"/>
          <w:tab w:val="left" w:pos="4680"/>
        </w:tabs>
        <w:wordWrap/>
        <w:overflowPunct/>
        <w:topLinePunct w:val="0"/>
        <w:bidi w:val="0"/>
        <w:adjustRightInd/>
        <w:snapToGrid/>
        <w:spacing w:line="360" w:lineRule="auto"/>
        <w:ind w:firstLine="420" w:firstLineChars="20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   年  月  日</w:t>
      </w:r>
    </w:p>
    <w:p w14:paraId="463642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44"/>
          <w:sz w:val="21"/>
          <w:szCs w:val="21"/>
          <w:highlight w:val="none"/>
        </w:rPr>
      </w:pPr>
      <w:bookmarkStart w:id="50" w:name="_Toc2926"/>
      <w:bookmarkStart w:id="51" w:name="_Toc297017783"/>
      <w:bookmarkStart w:id="52" w:name="_Toc17297"/>
      <w:bookmarkStart w:id="53" w:name="_Toc406074422"/>
      <w:r>
        <w:rPr>
          <w:rFonts w:hint="eastAsia" w:ascii="宋体" w:hAnsi="宋体" w:eastAsia="宋体" w:cs="宋体"/>
          <w:color w:val="auto"/>
          <w:sz w:val="21"/>
          <w:szCs w:val="21"/>
          <w:highlight w:val="none"/>
        </w:rPr>
        <w:br w:type="page"/>
      </w:r>
    </w:p>
    <w:p w14:paraId="3FA86069">
      <w:pPr>
        <w:keepNext w:val="0"/>
        <w:keepLines w:val="0"/>
        <w:pageBreakBefore w:val="0"/>
        <w:widowControl w:val="0"/>
        <w:wordWrap/>
        <w:overflowPunct/>
        <w:topLinePunct w:val="0"/>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二、合同主要条款</w:t>
      </w:r>
      <w:bookmarkEnd w:id="50"/>
      <w:bookmarkEnd w:id="51"/>
      <w:bookmarkEnd w:id="52"/>
      <w:bookmarkEnd w:id="53"/>
    </w:p>
    <w:p w14:paraId="39876281">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1.合同范围</w:t>
      </w:r>
    </w:p>
    <w:p w14:paraId="19DAB7D9">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本合同条款适用与本次招标活动。</w:t>
      </w:r>
    </w:p>
    <w:p w14:paraId="76CBB028">
      <w:pPr>
        <w:pStyle w:val="65"/>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2.合同的签订</w:t>
      </w:r>
    </w:p>
    <w:p w14:paraId="7F31F4CD">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2.1中标人须在中标通知书发出30日内按招标文件和投标文件的约定，凭中标通知书和招标人在约定的时间、地点，由法定代表人或其授权代表与招标人签订书面合同。</w:t>
      </w:r>
    </w:p>
    <w:p w14:paraId="3A89497E">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2.1.1交货地点：用户指定地点。</w:t>
      </w:r>
    </w:p>
    <w:p w14:paraId="3FD54BB4">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工期要求：与总包土建进度及投运要求同步，投标人对施工时序、进度的安排需要结合周边项目施工情况统筹考虑，需服从建设单位、总承包单位和全过程工程咨询的协调和安排，还要求以下节点工期：排产通知书发出后30天内到场，2026年6月底完成安装及验收，具体配合土建进度完成。</w:t>
      </w:r>
    </w:p>
    <w:p w14:paraId="74C60590">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2.2交货方式：按标段内具体要求执行。</w:t>
      </w:r>
    </w:p>
    <w:p w14:paraId="6BD068F6">
      <w:pPr>
        <w:pStyle w:val="7"/>
        <w:keepNext w:val="0"/>
        <w:keepLines w:val="0"/>
        <w:pageBreakBefore w:val="0"/>
        <w:widowControl w:val="0"/>
        <w:numPr>
          <w:ilvl w:val="0"/>
          <w:numId w:val="0"/>
        </w:numPr>
        <w:tabs>
          <w:tab w:val="left" w:pos="1697"/>
        </w:tabs>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2.3.付款方式：</w:t>
      </w:r>
      <w:r>
        <w:rPr>
          <w:rFonts w:hint="eastAsia" w:ascii="宋体" w:hAnsi="宋体" w:eastAsia="宋体" w:cs="宋体"/>
          <w:color w:val="auto"/>
          <w:sz w:val="21"/>
          <w:szCs w:val="21"/>
          <w:highlight w:val="none"/>
        </w:rPr>
        <w:t>本合同为固定单价合同（本项目须进行结算审计，结算价按实调整）</w:t>
      </w:r>
      <w:r>
        <w:rPr>
          <w:rFonts w:hint="eastAsia" w:ascii="宋体" w:hAnsi="宋体" w:eastAsia="宋体" w:cs="宋体"/>
          <w:bCs/>
          <w:color w:val="auto"/>
          <w:sz w:val="21"/>
          <w:szCs w:val="21"/>
          <w:highlight w:val="none"/>
        </w:rPr>
        <w:t>。</w:t>
      </w:r>
    </w:p>
    <w:p w14:paraId="355784C0">
      <w:pPr>
        <w:pStyle w:val="7"/>
        <w:keepNext w:val="0"/>
        <w:keepLines w:val="0"/>
        <w:pageBreakBefore w:val="0"/>
        <w:widowControl w:val="0"/>
        <w:numPr>
          <w:ilvl w:val="0"/>
          <w:numId w:val="0"/>
        </w:numPr>
        <w:tabs>
          <w:tab w:val="left" w:pos="1697"/>
        </w:tabs>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iCs/>
          <w:color w:val="auto"/>
          <w:sz w:val="21"/>
          <w:szCs w:val="21"/>
          <w:highlight w:val="none"/>
          <w:u w:val="single"/>
        </w:rPr>
      </w:pPr>
      <w:r>
        <w:rPr>
          <w:rFonts w:hint="eastAsia" w:ascii="宋体" w:hAnsi="宋体" w:eastAsia="宋体" w:cs="宋体"/>
          <w:bCs/>
          <w:color w:val="auto"/>
          <w:sz w:val="21"/>
          <w:szCs w:val="21"/>
          <w:highlight w:val="none"/>
          <w:u w:val="single"/>
        </w:rPr>
        <w:t>设备款：</w:t>
      </w:r>
      <w:r>
        <w:rPr>
          <w:rFonts w:hint="eastAsia" w:ascii="宋体" w:hAnsi="宋体" w:eastAsia="宋体" w:cs="宋体"/>
          <w:bCs/>
          <w:iCs/>
          <w:color w:val="auto"/>
          <w:sz w:val="21"/>
          <w:szCs w:val="21"/>
          <w:highlight w:val="none"/>
          <w:u w:val="single"/>
        </w:rPr>
        <w:t>（1）合同签订后15天内支付设备总价的20%作为预付款；（2）发货前30天支付设备总价的50%作为发货款；（3）电梯通过绍兴市特种设备检测院验收合格后30日历天内支付设备总价的</w:t>
      </w:r>
      <w:r>
        <w:rPr>
          <w:rFonts w:hint="eastAsia" w:ascii="宋体" w:hAnsi="宋体" w:eastAsia="宋体" w:cs="宋体"/>
          <w:bCs/>
          <w:iCs/>
          <w:color w:val="auto"/>
          <w:sz w:val="21"/>
          <w:szCs w:val="21"/>
          <w:highlight w:val="none"/>
          <w:u w:val="single"/>
          <w:lang w:val="en-US" w:eastAsia="zh-CN"/>
        </w:rPr>
        <w:t>20</w:t>
      </w:r>
      <w:r>
        <w:rPr>
          <w:rFonts w:hint="eastAsia" w:ascii="宋体" w:hAnsi="宋体" w:eastAsia="宋体" w:cs="宋体"/>
          <w:bCs/>
          <w:iCs/>
          <w:color w:val="auto"/>
          <w:sz w:val="21"/>
          <w:szCs w:val="21"/>
          <w:highlight w:val="none"/>
          <w:u w:val="single"/>
        </w:rPr>
        <w:t>%；（4）竣工验收合格后30天内支付设备总价的</w:t>
      </w:r>
      <w:r>
        <w:rPr>
          <w:rFonts w:hint="eastAsia" w:ascii="宋体" w:hAnsi="宋体" w:eastAsia="宋体" w:cs="宋体"/>
          <w:bCs/>
          <w:iCs/>
          <w:color w:val="auto"/>
          <w:sz w:val="21"/>
          <w:szCs w:val="21"/>
          <w:highlight w:val="none"/>
          <w:u w:val="single"/>
          <w:lang w:val="en-US" w:eastAsia="zh-CN"/>
        </w:rPr>
        <w:t>10</w:t>
      </w:r>
      <w:r>
        <w:rPr>
          <w:rFonts w:hint="eastAsia" w:ascii="宋体" w:hAnsi="宋体" w:eastAsia="宋体" w:cs="宋体"/>
          <w:bCs/>
          <w:iCs/>
          <w:color w:val="auto"/>
          <w:sz w:val="21"/>
          <w:szCs w:val="21"/>
          <w:highlight w:val="none"/>
          <w:u w:val="single"/>
        </w:rPr>
        <w:t>%；同时乙方提供设备总价</w:t>
      </w:r>
      <w:r>
        <w:rPr>
          <w:rFonts w:hint="eastAsia" w:ascii="宋体" w:hAnsi="宋体" w:eastAsia="宋体" w:cs="宋体"/>
          <w:bCs/>
          <w:iCs/>
          <w:color w:val="auto"/>
          <w:sz w:val="21"/>
          <w:szCs w:val="21"/>
          <w:highlight w:val="none"/>
          <w:u w:val="single"/>
          <w:lang w:val="en-US" w:eastAsia="zh-CN"/>
        </w:rPr>
        <w:t>1.5</w:t>
      </w:r>
      <w:r>
        <w:rPr>
          <w:rFonts w:hint="eastAsia" w:ascii="宋体" w:hAnsi="宋体" w:eastAsia="宋体" w:cs="宋体"/>
          <w:bCs/>
          <w:iCs/>
          <w:color w:val="auto"/>
          <w:sz w:val="21"/>
          <w:szCs w:val="21"/>
          <w:highlight w:val="none"/>
          <w:u w:val="single"/>
        </w:rPr>
        <w:t>%的银行保函作为质保金。</w:t>
      </w:r>
    </w:p>
    <w:p w14:paraId="798C9C6D">
      <w:pPr>
        <w:pStyle w:val="7"/>
        <w:keepNext w:val="0"/>
        <w:keepLines w:val="0"/>
        <w:pageBreakBefore w:val="0"/>
        <w:widowControl w:val="0"/>
        <w:numPr>
          <w:ilvl w:val="0"/>
          <w:numId w:val="0"/>
        </w:numPr>
        <w:tabs>
          <w:tab w:val="left" w:pos="1697"/>
        </w:tabs>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iCs/>
          <w:color w:val="auto"/>
          <w:kern w:val="2"/>
          <w:sz w:val="21"/>
          <w:szCs w:val="21"/>
          <w:highlight w:val="none"/>
          <w:u w:val="single"/>
        </w:rPr>
      </w:pPr>
      <w:r>
        <w:rPr>
          <w:rFonts w:hint="eastAsia" w:ascii="宋体" w:hAnsi="宋体" w:eastAsia="宋体" w:cs="宋体"/>
          <w:bCs/>
          <w:iCs/>
          <w:color w:val="auto"/>
          <w:sz w:val="21"/>
          <w:szCs w:val="21"/>
          <w:highlight w:val="none"/>
          <w:u w:val="single"/>
        </w:rPr>
        <w:t>安装款：（1）开工前15天，支付安装总价的50%，（2）电梯通过绍兴市特种设备检测院验收合格后30日历天内支付安装总价的50%。</w:t>
      </w:r>
    </w:p>
    <w:p w14:paraId="225A0A45">
      <w:pPr>
        <w:pStyle w:val="64"/>
        <w:keepNext w:val="0"/>
        <w:keepLines w:val="0"/>
        <w:pageBreakBefore w:val="0"/>
        <w:widowControl w:val="0"/>
        <w:kinsoku/>
        <w:wordWrap/>
        <w:overflowPunct/>
        <w:topLinePunct w:val="0"/>
        <w:autoSpaceDE/>
        <w:autoSpaceDN/>
        <w:bidi w:val="0"/>
        <w:adjustRightInd/>
        <w:snapToGrid/>
        <w:spacing w:before="0" w:after="0" w:line="360" w:lineRule="auto"/>
        <w:ind w:firstLine="422"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施工总承包服务费</w:t>
      </w:r>
      <w:r>
        <w:rPr>
          <w:rFonts w:hint="eastAsia" w:ascii="宋体" w:hAnsi="宋体" w:eastAsia="宋体" w:cs="宋体"/>
          <w:b w:val="0"/>
          <w:color w:val="auto"/>
          <w:sz w:val="21"/>
          <w:szCs w:val="21"/>
          <w:highlight w:val="none"/>
        </w:rPr>
        <w:t>费率为结算价的3%</w:t>
      </w:r>
      <w:r>
        <w:rPr>
          <w:rFonts w:hint="eastAsia" w:ascii="宋体" w:hAnsi="宋体" w:eastAsia="宋体" w:cs="宋体"/>
          <w:b w:val="0"/>
          <w:bCs/>
          <w:color w:val="auto"/>
          <w:kern w:val="0"/>
          <w:sz w:val="21"/>
          <w:szCs w:val="21"/>
          <w:highlight w:val="none"/>
        </w:rPr>
        <w:t>，由中标人按</w:t>
      </w:r>
      <w:r>
        <w:rPr>
          <w:rFonts w:hint="eastAsia" w:ascii="宋体" w:hAnsi="宋体" w:eastAsia="宋体" w:cs="宋体"/>
          <w:b w:val="0"/>
          <w:bCs/>
          <w:color w:val="auto"/>
          <w:kern w:val="0"/>
          <w:sz w:val="21"/>
          <w:szCs w:val="21"/>
          <w:highlight w:val="none"/>
          <w:lang w:eastAsia="zh-CN"/>
        </w:rPr>
        <w:t>结算</w:t>
      </w:r>
      <w:r>
        <w:rPr>
          <w:rFonts w:hint="eastAsia" w:ascii="宋体" w:hAnsi="宋体" w:eastAsia="宋体" w:cs="宋体"/>
          <w:b w:val="0"/>
          <w:bCs/>
          <w:color w:val="auto"/>
          <w:kern w:val="0"/>
          <w:sz w:val="21"/>
          <w:szCs w:val="21"/>
          <w:highlight w:val="none"/>
        </w:rPr>
        <w:t>价的3%直接支付给总承包单位。</w:t>
      </w:r>
      <w:r>
        <w:rPr>
          <w:rFonts w:hint="eastAsia" w:ascii="宋体" w:hAnsi="宋体" w:eastAsia="宋体" w:cs="宋体"/>
          <w:b w:val="0"/>
          <w:bCs/>
          <w:color w:val="auto"/>
          <w:kern w:val="0"/>
          <w:sz w:val="21"/>
          <w:szCs w:val="21"/>
          <w:highlight w:val="none"/>
          <w:lang w:val="en-US" w:eastAsia="zh-CN"/>
        </w:rPr>
        <w:t>总承包服务费由总承包单位在每次支付分包单位工程进度款时同比例扣除，结算审核完成后一次性扣完</w:t>
      </w:r>
      <w:r>
        <w:rPr>
          <w:rFonts w:hint="eastAsia" w:ascii="宋体" w:hAnsi="宋体" w:eastAsia="宋体" w:cs="宋体"/>
          <w:b w:val="0"/>
          <w:color w:val="auto"/>
          <w:sz w:val="21"/>
          <w:szCs w:val="21"/>
          <w:highlight w:val="none"/>
        </w:rPr>
        <w:t>。</w:t>
      </w:r>
    </w:p>
    <w:p w14:paraId="7348B887">
      <w:pPr>
        <w:pStyle w:val="15"/>
        <w:keepNext w:val="0"/>
        <w:keepLines w:val="0"/>
        <w:pageBreakBefore w:val="0"/>
        <w:widowControl w:val="0"/>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总承包服务费（包含但不限于总承包配合费、服务费、设备管理和暂存费等在内的全部费用）包括总承包为分包工程提供现有脚手架使用费、塔吊及垂直升降机的使用费（如因总承包实际工程进度需要无法提供的除外）、为分包施工单位提供场地、办公场所、水源、水费、电源、电费、建筑垃圾清运等费用及分包工程安装后的堵补等其他费用均已包括在内，并包括因交叉作业而发生的误工损失费和协调管理费等，除分包人的水电费另计外，不得再收取其他费用。当专业工程项目出现质量、进度、安全等问题，</w:t>
      </w:r>
      <w:r>
        <w:rPr>
          <w:rFonts w:hint="eastAsia" w:ascii="宋体" w:hAnsi="宋体" w:eastAsia="宋体" w:cs="宋体"/>
          <w:color w:val="auto"/>
          <w:sz w:val="21"/>
          <w:szCs w:val="21"/>
          <w:highlight w:val="none"/>
          <w:lang w:val="en-US" w:eastAsia="zh-CN"/>
        </w:rPr>
        <w:t>总承包</w:t>
      </w:r>
      <w:r>
        <w:rPr>
          <w:rFonts w:hint="eastAsia" w:ascii="宋体" w:hAnsi="宋体" w:eastAsia="宋体" w:cs="宋体"/>
          <w:color w:val="auto"/>
          <w:sz w:val="21"/>
          <w:szCs w:val="21"/>
          <w:highlight w:val="none"/>
        </w:rPr>
        <w:t>与分包人应共同向</w:t>
      </w:r>
      <w:r>
        <w:rPr>
          <w:rFonts w:hint="eastAsia" w:ascii="宋体" w:hAnsi="宋体" w:eastAsia="宋体" w:cs="宋体"/>
          <w:b w:val="0"/>
          <w:bCs/>
          <w:color w:val="auto"/>
          <w:kern w:val="0"/>
          <w:sz w:val="21"/>
          <w:szCs w:val="21"/>
          <w:highlight w:val="none"/>
        </w:rPr>
        <w:t>建设单位</w:t>
      </w:r>
      <w:r>
        <w:rPr>
          <w:rFonts w:hint="eastAsia" w:ascii="宋体" w:hAnsi="宋体" w:eastAsia="宋体" w:cs="宋体"/>
          <w:color w:val="auto"/>
          <w:sz w:val="21"/>
          <w:szCs w:val="21"/>
          <w:highlight w:val="none"/>
        </w:rPr>
        <w:t>承担连带责任。</w:t>
      </w:r>
    </w:p>
    <w:p w14:paraId="47DC0D7A">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3.履约保证金</w:t>
      </w:r>
    </w:p>
    <w:p w14:paraId="199C18A4">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rPr>
        <w:t>履约保证金的金额：合同总价的</w:t>
      </w:r>
      <w:r>
        <w:rPr>
          <w:rFonts w:hint="eastAsia" w:ascii="宋体" w:hAnsi="宋体" w:eastAsia="宋体" w:cs="宋体"/>
          <w:b w:val="0"/>
          <w:bCs w:val="0"/>
          <w:color w:val="auto"/>
          <w:sz w:val="21"/>
          <w:szCs w:val="21"/>
          <w:highlight w:val="none"/>
          <w:u w:val="single"/>
        </w:rPr>
        <w:t xml:space="preserve"> 2 %</w:t>
      </w:r>
      <w:r>
        <w:rPr>
          <w:rFonts w:hint="eastAsia" w:ascii="宋体" w:hAnsi="宋体" w:eastAsia="宋体" w:cs="宋体"/>
          <w:b w:val="0"/>
          <w:bCs w:val="0"/>
          <w:color w:val="auto"/>
          <w:sz w:val="21"/>
          <w:szCs w:val="21"/>
          <w:highlight w:val="none"/>
          <w:u w:val="none"/>
          <w:lang w:eastAsia="zh-CN"/>
        </w:rPr>
        <w:t>。</w:t>
      </w:r>
    </w:p>
    <w:p w14:paraId="5FFDD3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提供履约担保的形式：现金、支票、汇票、转账、银行保函、融资担保公司保函或者保险机构保证、保险、保单。履约担保有效期为至工程竣工验收合格之日后10日。变更工程竣工日期的，保证期间按照变更后的竣工日期做相应调整。履约担保的退还：至工程竣工验收合格之日后10日内承包人无合同违约情况时无息退还。</w:t>
      </w:r>
    </w:p>
    <w:p w14:paraId="27AE1280">
      <w:pPr>
        <w:keepNext w:val="0"/>
        <w:keepLines w:val="0"/>
        <w:pageBreakBefore w:val="0"/>
        <w:widowControl w:val="0"/>
        <w:tabs>
          <w:tab w:val="left" w:pos="7950"/>
        </w:tabs>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u w:val="none"/>
          <w:lang w:val="en-US" w:eastAsia="zh-CN"/>
        </w:rPr>
        <w:t>本合同由承包人与总承包单位签订，履约担保交纳给总承包单位。</w:t>
      </w:r>
    </w:p>
    <w:p w14:paraId="5C0887FF">
      <w:pPr>
        <w:keepNext w:val="0"/>
        <w:keepLines w:val="0"/>
        <w:pageBreakBefore w:val="0"/>
        <w:widowControl w:val="0"/>
        <w:tabs>
          <w:tab w:val="left" w:pos="7950"/>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4.合同修改</w:t>
      </w:r>
    </w:p>
    <w:p w14:paraId="4E563720">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4.1双方的任何一方对合同内容提出修改，均应以书面形式通知对方，并达成由双方签署的合同修改书。</w:t>
      </w:r>
    </w:p>
    <w:p w14:paraId="5C8D994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4.2除非招标人对产品的品牌、型号规格和涉及价格因素的技术参数提出修改，中标人不得对合同价格提出修改要求。</w:t>
      </w:r>
    </w:p>
    <w:p w14:paraId="3F3DD351">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 质量标准和验收</w:t>
      </w:r>
    </w:p>
    <w:p w14:paraId="41E0AFCE">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5.1中标人提供的产品及服务必须是经合法途径取得的。</w:t>
      </w:r>
    </w:p>
    <w:p w14:paraId="63C54275">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5.2中标人应按现行的国家或行业技术及验收标准和招标文件规定的技术要求提供工程、货物或服务，因中标人提供的工程、货物或服务达不到约定的要求标准，中标人将承担违约责任。</w:t>
      </w:r>
    </w:p>
    <w:p w14:paraId="21936D6E">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5.3验收由使用单位按规定组织相关人员或专家进行。</w:t>
      </w:r>
    </w:p>
    <w:p w14:paraId="2FD9D028">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5.4双方对工程、货物或服务的质量有争议的，由双方同意的专业检测机构鉴定，所需费用及因此造成的损失由责任方承担，双方均有责任的，双方根据其责任分别承担。</w:t>
      </w:r>
    </w:p>
    <w:p w14:paraId="5213550A">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6、违约责任</w:t>
      </w:r>
    </w:p>
    <w:p w14:paraId="4AB2378D">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6.1提供的货物和服务质量必须达到合格，凡安装调试、设备试运转过程中发现的设备质量问题，中标人必须无偿返工直至符合质量要求，承担返工所发生的一切费用和招标人的直接经济损失。</w:t>
      </w:r>
    </w:p>
    <w:p w14:paraId="3209EAAC">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6.2中标人在验收环节出现不执行质量标准及验收规定的违约情形，导致无法正常完成验收，中标人承担因此带来的全部经济损失。</w:t>
      </w:r>
    </w:p>
    <w:p w14:paraId="417CA924">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6.3由于招标人保管不善或使用不当造成设备短缺、故障或损坏，中标人协助招标人及时给予补齐或修复。</w:t>
      </w:r>
    </w:p>
    <w:p w14:paraId="6671B00E">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7．违约赔偿</w:t>
      </w:r>
    </w:p>
    <w:p w14:paraId="327BEB18">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7.1除不可抗力外，如中标人发生不能按期完成供货任务，招标人发生中途变更等情况，应及时以书面形式通知对方。双方应本着友好的态度进行协商，妥善解决。如协商无效，按规定处以违约金。</w:t>
      </w:r>
    </w:p>
    <w:p w14:paraId="56F6C1AC">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7.2 中标人和招标人签订合同，按合同规定的供货时间供货并安装调试完毕。逾期每推迟一天，扣中标价0.1%的滞纳金给招标人，直接从过程工程款中扣除。</w:t>
      </w:r>
    </w:p>
    <w:p w14:paraId="5370C80A">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7.3招标人在规定时间无正当理由拒签合同者，以招标人违约处理，并赔偿中标人由此造成的直接经济损失。</w:t>
      </w:r>
    </w:p>
    <w:p w14:paraId="10A728B2">
      <w:pPr>
        <w:keepNext w:val="0"/>
        <w:keepLines w:val="0"/>
        <w:pageBreakBefore w:val="0"/>
        <w:widowControl w:val="0"/>
        <w:kinsoku/>
        <w:wordWrap/>
        <w:overflowPunct/>
        <w:topLinePunct w:val="0"/>
        <w:autoSpaceDE/>
        <w:autoSpaceDN/>
        <w:bidi w:val="0"/>
        <w:adjustRightInd/>
        <w:snapToGrid/>
        <w:spacing w:line="360" w:lineRule="auto"/>
        <w:ind w:firstLine="422" w:firstLineChars="200"/>
        <w:contextualSpacing/>
        <w:textAlignment w:val="auto"/>
        <w:rPr>
          <w:rFonts w:hint="default" w:eastAsia="宋体"/>
          <w:highlight w:val="none"/>
          <w:lang w:val="en-US" w:eastAsia="zh-CN"/>
        </w:rPr>
      </w:pPr>
      <w:r>
        <w:rPr>
          <w:rFonts w:hint="eastAsia" w:ascii="宋体" w:hAnsi="宋体" w:eastAsia="宋体" w:cs="宋体"/>
          <w:b/>
          <w:bCs w:val="0"/>
          <w:color w:val="auto"/>
          <w:sz w:val="21"/>
          <w:szCs w:val="21"/>
          <w:highlight w:val="none"/>
          <w:lang w:val="en-US" w:eastAsia="zh-CN"/>
        </w:rPr>
        <w:t>7.4根据中标人投标文件中关于“每运行一年故障次数或每起、制动运行60000次故障次数及相应保证措施”的承诺书，如无法做到承诺的事项，该台电梯延保一年。（提供所投品牌制造商承诺书（格式自拟）并加盖制造商公章，根据招标文件第五章5.5.2中运行故障的要求，承诺故障应不超过2次）；</w:t>
      </w:r>
    </w:p>
    <w:p w14:paraId="28B6F855">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8.不可抗力</w:t>
      </w:r>
    </w:p>
    <w:p w14:paraId="0E61A06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8.1如果双方中任何一方由于战争、严重火灾、水灾、台风和地震以及其它经双方同意属于不可抗力的事故，致使合同履行受阻时，履行合同的期限应予延长，延长的期限应相当于事故所影响的时间。</w:t>
      </w:r>
    </w:p>
    <w:p w14:paraId="52539337">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6B439239">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9.解决合同纠纷的方式</w:t>
      </w:r>
    </w:p>
    <w:p w14:paraId="1A4D8E78">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9.1凡有关本合同或与本合同中发生的争端，双方应通过友好协商，妥善解决。如通过协商仍不能解决时，可向当地的仲裁机构申请仲裁或人民法院起诉。</w:t>
      </w:r>
    </w:p>
    <w:p w14:paraId="2C5F4B84">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9.2仲裁和诉讼费用除仲裁机构和人民法院另有裁决外，由败诉方承担。</w:t>
      </w:r>
    </w:p>
    <w:p w14:paraId="5EE0CA16">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9.3在仲裁和诉讼期间，除正在进行裁定的部分外，本合同其他部分应继续执行。</w:t>
      </w:r>
    </w:p>
    <w:p w14:paraId="70B5A49A">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9.4合同应在双方签字盖章，招标人收到中标人提供的履约保证金后开始生效。</w:t>
      </w:r>
    </w:p>
    <w:p w14:paraId="0378966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10、补充条款</w:t>
      </w:r>
    </w:p>
    <w:p w14:paraId="442E4A47">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投标人在投标报价前必须充分考虑水电费、税金等各种因素，每笔款项支付前，中标人应提交相应金额的增值税专用发票。</w:t>
      </w:r>
    </w:p>
    <w:p w14:paraId="3EE4585D">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招标人除提供安装所需的水电接口（调试时若未正式通电，调试时电缆及电箱等由中标人自行解决）、设备存放场地以外，设备制造、装卸、安装、装修、调试、验收、质保期内的工作（包括质保期内的检验费）及其他所需全部费用均包括在投标报价内。</w:t>
      </w:r>
    </w:p>
    <w:p w14:paraId="591EC811">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10.3电梯永久电源箱到电梯电源箱及之后的管线由投标人提供并负责敷设，相关费用包括在投标报价内。</w:t>
      </w:r>
    </w:p>
    <w:p w14:paraId="0CEE1DAE">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10.4门厅召唤按钮、LED楼层显示器及相关线路铺设安装由投标人负责，费用包括在投标报价内。</w:t>
      </w:r>
    </w:p>
    <w:p w14:paraId="25F5461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本工程电梯井道、机房、基坑等已按图纸施工完成，投标人在投标过程中应仔细核对各电梯井道是否满足电梯相关规范要求，如发现电梯井道、底坑深度、缓冲装置、机房高度、吊钩设置等在建筑或结构方面存在问题，应及时给予书面意见提出，并提供解决措施以便招标人参考。</w:t>
      </w:r>
    </w:p>
    <w:p w14:paraId="4D8EF52A">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10.6确保通过相关质监部门验收及确保移交使用单位。相关一切费用（包括但不限于：系统软硬件、安装、调试、验收等）包括在投标报价内。</w:t>
      </w:r>
    </w:p>
    <w:p w14:paraId="00601C10">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10.7以下所有工作（包括相关材料采购）由投标人负责完成，相关费用计入总价，今后不做调整。</w:t>
      </w:r>
    </w:p>
    <w:p w14:paraId="02213016">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10.7.1电梯井道：井道钢管架搭设；电梯井道照明；爬梯、底坑的电源插座和开关。</w:t>
      </w:r>
    </w:p>
    <w:p w14:paraId="4E3E7E28">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10.7.2机房：机房和滑轮间照明、曳引机承重梁钢架部分、机房曳引机外部围护不锈钢栏杆。</w:t>
      </w:r>
    </w:p>
    <w:p w14:paraId="4E7A954B">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10.8投标人负责货物通过绍兴市特种设备检测院组织的验收，直至取得验收证书，验收合格后移交所有验收资料，并提供详细的设备样本和完整的中文使用操作机维护手册（说明书），相关费用计入总价。</w:t>
      </w:r>
    </w:p>
    <w:p w14:paraId="4FBE30D1">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10.9绍兴市特种设备检测院的一切相关检验费（含安装调试完毕的验收费用、验收完毕至质保期期间的检验费，即新梯的1次验收费和质保期内的所有年检费）计入总价。</w:t>
      </w:r>
    </w:p>
    <w:p w14:paraId="4E63A23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10.10设备调试、试运行验收合格，交付招标人使用以前的设备保护、劳动安全管理由投标人负责。</w:t>
      </w:r>
    </w:p>
    <w:p w14:paraId="5F52B4C0">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10.11质保期内的日常维护、保养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维修的服务费及配件费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质保期满后一年内的</w:t>
      </w:r>
      <w:r>
        <w:rPr>
          <w:rFonts w:hint="eastAsia" w:ascii="宋体" w:hAnsi="宋体" w:eastAsia="宋体" w:cs="宋体"/>
          <w:color w:val="auto"/>
          <w:sz w:val="21"/>
          <w:szCs w:val="21"/>
          <w:highlight w:val="none"/>
        </w:rPr>
        <w:t>日常维护、</w:t>
      </w:r>
      <w:r>
        <w:rPr>
          <w:rFonts w:hint="eastAsia" w:ascii="宋体" w:hAnsi="宋体" w:eastAsia="宋体" w:cs="宋体"/>
          <w:color w:val="auto"/>
          <w:sz w:val="21"/>
          <w:szCs w:val="21"/>
          <w:highlight w:val="none"/>
          <w:lang w:val="en-US" w:eastAsia="zh-CN"/>
        </w:rPr>
        <w:t>保养、维修的服务费（不包括主要配件费用），均</w:t>
      </w:r>
      <w:r>
        <w:rPr>
          <w:rFonts w:hint="eastAsia" w:ascii="宋体" w:hAnsi="宋体" w:eastAsia="宋体" w:cs="宋体"/>
          <w:color w:val="auto"/>
          <w:sz w:val="21"/>
          <w:szCs w:val="21"/>
          <w:highlight w:val="none"/>
        </w:rPr>
        <w:t>计入本次报价，今后不再调整，</w:t>
      </w:r>
      <w:r>
        <w:rPr>
          <w:rFonts w:hint="eastAsia" w:ascii="宋体" w:hAnsi="宋体" w:eastAsia="宋体" w:cs="宋体"/>
          <w:b/>
          <w:bCs/>
          <w:color w:val="auto"/>
          <w:sz w:val="21"/>
          <w:szCs w:val="21"/>
          <w:highlight w:val="none"/>
        </w:rPr>
        <w:t>电梯质保期从项目整体竣工验收合格之日起24个月。</w:t>
      </w:r>
    </w:p>
    <w:p w14:paraId="02ED205E">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10.12投标人必须对现场进行充分勘查。运输过程中对附近周边管线的保护也包含在本次招标范围内。投标人需将该部分的费用含在本次报价中，并实行包干。</w:t>
      </w:r>
    </w:p>
    <w:p w14:paraId="5DFF57DD">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10.13现场若发现有违反安全文明施工规范及现场安全管理的行为，招标人将根据情节轻重进行相应的处罚；对于违规的人员，必须将其清退出场。</w:t>
      </w:r>
    </w:p>
    <w:p w14:paraId="27DAAF74">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10.14中标人进场应服从现场建设单位、监理及总包单位的安排，并做好设备的堆放，检验和保管工作，费用由中标人自理。</w:t>
      </w:r>
    </w:p>
    <w:p w14:paraId="0B89AA6B">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10.15投标人须对招标文件中涉及到的专利负责，并保证不伤害招标人的利益。在法律范围内，所有文字、商标和技术侵权造成的相关费用及法律责任，均由投标人负责。</w:t>
      </w:r>
    </w:p>
    <w:p w14:paraId="3B5B83F8">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10.16投标人应到工地踏勘以充分了解工地位置、情况、道路、储存空间、装卸限制及任何其他足以影响其报价的情况，任何因忽视或误解工地情况而导致的索赔或工期延长申请将不被批准。</w:t>
      </w:r>
    </w:p>
    <w:p w14:paraId="40E2844E">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10.17招标文件中的各项要求如果没有注明适用范围（如：某些设备配置或某些设备不配置之类的限定），则是对所有招标货物的要求，其费用已包含在投标总价中。</w:t>
      </w:r>
    </w:p>
    <w:p w14:paraId="4CFA7B8D">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10.18电梯井道照明、检修插座由投标单位自行安装。电梯现场安装人员必须持建设主管部门颁发的特种作业证书人员方可上岗。由于电梯主机属于精密设备，安装现场灰尘较多，必须采取措施在洁净的环境中安装，其费用列入报价。</w:t>
      </w:r>
    </w:p>
    <w:p w14:paraId="4062BA8C">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10.19底层爬梯、井道脚手架、费用需计入总报价。电梯成品、半成品的保护应自行与总包单位达成一致，其费用列入报价。</w:t>
      </w:r>
    </w:p>
    <w:p w14:paraId="269B5D0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10.20投标报价须包括政策性文件规定以及合同包含的所有风险、责任等各项全部费用，如调试时业主不具备正式通电条件，调试用电缆需投标方自行承担。</w:t>
      </w:r>
    </w:p>
    <w:p w14:paraId="314CE362">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10.21电梯井道尺寸等技术参数已明确，投标单位投标时已充分了解，以后如发生井道改小需要钢梁加固等措施，所有费用均综合考虑在报价内。</w:t>
      </w:r>
    </w:p>
    <w:p w14:paraId="6DBBFA8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从电梯通过验收到整体竣工验收期间由于施工需要临时使用电梯的，应对电梯轿厢采用1.8cm细木工板保护处理。从电梯通过验收到整体竣工验收期间由于施工需要使用永久电梯的，由承包人负责对电梯进行成品保护、维护保养等，由此产生的费用由施工总承包单位牵头协调，向使用单位收取。期间日常维护保养由承包人负责，承包人须配合各专业分包商的使用需求；若由于使用不当造成电梯损坏，由承包人负责维修，维修费用由相关责任单位承担。</w:t>
      </w:r>
    </w:p>
    <w:p w14:paraId="5F86AAF0">
      <w:pPr>
        <w:pStyle w:val="21"/>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10.23本项目质量要求为合格。</w:t>
      </w:r>
    </w:p>
    <w:p w14:paraId="4C58A54F">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10.24投标人所有电梯须满足《绍兴市电梯安全管理规定》的要求。相关电梯须结合现场实际情况，按规范要求设置对重安全钳，所有费用均综合考虑在报价内。</w:t>
      </w:r>
    </w:p>
    <w:p w14:paraId="7FCAA5A8">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10.25根据相关规范及管理规定要求，电梯验收所须的功能均综合考虑在报价内。</w:t>
      </w:r>
    </w:p>
    <w:p w14:paraId="1C4215B2">
      <w:pPr>
        <w:keepNext w:val="0"/>
        <w:keepLines w:val="0"/>
        <w:pageBreakBefore w:val="0"/>
        <w:widowControl w:val="0"/>
        <w:wordWrap/>
        <w:overflowPunct/>
        <w:topLinePunct w:val="0"/>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rPr>
        <w:t>10.26关于材料、设备进场验收要求</w:t>
      </w:r>
    </w:p>
    <w:p w14:paraId="2E4704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本项目材料、设备进场，须严格按相关规范及管理规定要求进行验收，未经验收通过的材料、设备不得使用。</w:t>
      </w:r>
    </w:p>
    <w:p w14:paraId="757C4E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关于国产材料、设备的进场验收要求：功能重要、费用较高、不便于更换的重要材料，承包人应事先提供样品；对于不便于运输的重要材料，设备出厂前，承包人应提前通知各方至工厂或产地验收。因承包人未提供样品或提供样品不及时、未通知或通知不及时导致相关责任及损失，由承包人承担。</w:t>
      </w:r>
    </w:p>
    <w:p w14:paraId="3CD5658C">
      <w:pPr>
        <w:pStyle w:val="21"/>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t>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按程序报发包人审核。</w:t>
      </w:r>
    </w:p>
    <w:p w14:paraId="396D283C">
      <w:pPr>
        <w:keepNext w:val="0"/>
        <w:keepLines w:val="0"/>
        <w:pageBreakBefore w:val="0"/>
        <w:widowControl w:val="0"/>
        <w:wordWrap/>
        <w:overflowPunct/>
        <w:topLinePunct w:val="0"/>
        <w:bidi w:val="0"/>
        <w:adjustRightInd/>
        <w:snapToGrid/>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的电梯设备为交钥匙方式，内容包含但不仅限于电梯的制造、仓储、运输、装卸、二次搬运、深化设计、安装、装修、调试、检测检验、委托监检、成品保护、权威部门验收、培训、交付使用、售后服务，以及向招标人提供全过程形成的图纸、记录、档案资料和其他相关服务等交钥匙内容，服从土建施工总包管理，与其他相关专业施工配合等。</w:t>
      </w:r>
    </w:p>
    <w:p w14:paraId="7DF09B5D">
      <w:pPr>
        <w:keepNext w:val="0"/>
        <w:keepLines w:val="0"/>
        <w:pageBreakBefore w:val="0"/>
        <w:widowControl w:val="0"/>
        <w:wordWrap/>
        <w:overflowPunct/>
        <w:topLinePunct w:val="0"/>
        <w:bidi w:val="0"/>
        <w:adjustRightInd/>
        <w:snapToGrid/>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27质保期满后所有电梯的大小包保养服务由业主单位自行选择决定是否延用中标单位。</w:t>
      </w:r>
    </w:p>
    <w:p w14:paraId="694B330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6376D8C">
      <w:pPr>
        <w:tabs>
          <w:tab w:val="left" w:pos="4500"/>
          <w:tab w:val="left" w:pos="4680"/>
        </w:tabs>
        <w:spacing w:line="360" w:lineRule="exact"/>
        <w:rPr>
          <w:rFonts w:ascii="宋体" w:hAnsi="宋体" w:cs="宋体"/>
          <w:color w:val="auto"/>
          <w:sz w:val="20"/>
          <w:szCs w:val="20"/>
          <w:highlight w:val="none"/>
        </w:rPr>
      </w:pPr>
      <w:r>
        <w:rPr>
          <w:rFonts w:hint="eastAsia" w:ascii="宋体" w:hAnsi="宋体" w:cs="宋体"/>
          <w:b/>
          <w:color w:val="auto"/>
          <w:sz w:val="20"/>
          <w:szCs w:val="20"/>
          <w:highlight w:val="none"/>
        </w:rPr>
        <w:t>附件：工程质量保修书（格式）</w:t>
      </w:r>
    </w:p>
    <w:p w14:paraId="08E16599">
      <w:pPr>
        <w:widowControl/>
        <w:spacing w:before="120" w:beforeLines="50" w:after="120" w:afterLines="50" w:line="360" w:lineRule="exact"/>
        <w:ind w:firstLine="560" w:firstLineChars="200"/>
        <w:jc w:val="center"/>
        <w:rPr>
          <w:rFonts w:ascii="宋体" w:hAnsi="宋体" w:cs="宋体"/>
          <w:color w:val="auto"/>
          <w:sz w:val="24"/>
          <w:szCs w:val="24"/>
          <w:highlight w:val="none"/>
        </w:rPr>
      </w:pPr>
      <w:bookmarkStart w:id="54" w:name="_Toc30226"/>
      <w:r>
        <w:rPr>
          <w:rFonts w:hint="eastAsia" w:ascii="宋体" w:hAnsi="宋体" w:cs="宋体"/>
          <w:b/>
          <w:bCs/>
          <w:color w:val="auto"/>
          <w:sz w:val="28"/>
          <w:szCs w:val="28"/>
          <w:highlight w:val="none"/>
        </w:rPr>
        <w:t>质 量 保 修 书</w:t>
      </w:r>
      <w:bookmarkEnd w:id="54"/>
    </w:p>
    <w:p w14:paraId="682C703E">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甲方：</w:t>
      </w:r>
      <w:r>
        <w:rPr>
          <w:rFonts w:hint="eastAsia" w:ascii="宋体" w:hAnsi="宋体" w:cs="宋体"/>
          <w:b/>
          <w:color w:val="auto"/>
          <w:szCs w:val="21"/>
          <w:highlight w:val="none"/>
          <w:u w:val="single"/>
        </w:rPr>
        <w:t xml:space="preserve"> 中建三局集团有限公司、绍兴城建市政建设有限公司 </w:t>
      </w:r>
    </w:p>
    <w:p w14:paraId="02A7D36F">
      <w:pPr>
        <w:spacing w:line="36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rPr>
        <w:t>乙方：</w:t>
      </w:r>
      <w:r>
        <w:rPr>
          <w:rFonts w:hint="eastAsia" w:ascii="宋体" w:hAnsi="宋体" w:cs="宋体"/>
          <w:b/>
          <w:color w:val="auto"/>
          <w:szCs w:val="21"/>
          <w:highlight w:val="none"/>
          <w:u w:val="single"/>
        </w:rPr>
        <w:t xml:space="preserve">                              　　              </w:t>
      </w:r>
    </w:p>
    <w:p w14:paraId="7A8CA429">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为保证</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凤凰山高品质养老院建设工程电梯设备采购安装项目（重新招标）</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rPr>
        <w:t>在合理使用期限内正常使用，各方经协商一致签订本质量保修书。乙方在质量保修期内按照有关管理规定及约定承担工程及设备质量保修责任。</w:t>
      </w:r>
    </w:p>
    <w:p w14:paraId="21C799D5">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一、质量保修范围和内容</w:t>
      </w:r>
    </w:p>
    <w:p w14:paraId="689A3CD4">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highlight w:val="none"/>
          <w:u w:val="single"/>
        </w:rPr>
        <w:t>合同约定范围的所有项目及变更增加项目。</w:t>
      </w:r>
    </w:p>
    <w:p w14:paraId="432A1212">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二、质量保修期</w:t>
      </w:r>
    </w:p>
    <w:p w14:paraId="4F468FBB">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质量保修期为</w:t>
      </w:r>
      <w:r>
        <w:rPr>
          <w:rFonts w:hint="eastAsia" w:ascii="宋体" w:hAnsi="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24个月</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rPr>
        <w:t>，</w:t>
      </w:r>
      <w:r>
        <w:rPr>
          <w:rFonts w:hint="eastAsia" w:ascii="宋体" w:hAnsi="宋体"/>
          <w:b/>
          <w:bCs/>
          <w:color w:val="auto"/>
          <w:sz w:val="21"/>
          <w:szCs w:val="21"/>
          <w:highlight w:val="none"/>
        </w:rPr>
        <w:t>从项目整体竣工验收合格之日起计算。</w:t>
      </w:r>
    </w:p>
    <w:p w14:paraId="36BAB71C">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三、质量保修责任</w:t>
      </w:r>
    </w:p>
    <w:p w14:paraId="786E5B66">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1．在质量保证期之内，乙方对由于产品设计、工艺、材料、配套件的缺陷及其安装质量而造成的任何产品质量问题或故障负全部责任。</w:t>
      </w:r>
    </w:p>
    <w:p w14:paraId="43DE6FBA">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rPr>
        <w:t>．属于保修范围、内容的项目，乙方应当在接到保修通知起</w:t>
      </w:r>
      <w:r>
        <w:rPr>
          <w:rFonts w:ascii="宋体" w:hAnsi="宋体" w:cs="宋体"/>
          <w:bCs/>
          <w:color w:val="auto"/>
          <w:szCs w:val="21"/>
          <w:highlight w:val="none"/>
        </w:rPr>
        <w:t>1</w:t>
      </w:r>
      <w:r>
        <w:rPr>
          <w:rFonts w:hint="eastAsia" w:ascii="宋体" w:hAnsi="宋体" w:cs="宋体"/>
          <w:bCs/>
          <w:color w:val="auto"/>
          <w:szCs w:val="21"/>
          <w:highlight w:val="none"/>
        </w:rPr>
        <w:t>小时内</w:t>
      </w:r>
      <w:r>
        <w:rPr>
          <w:rFonts w:hint="eastAsia" w:ascii="宋体" w:hAnsi="宋体" w:cs="宋体"/>
          <w:color w:val="auto"/>
          <w:szCs w:val="21"/>
          <w:highlight w:val="none"/>
        </w:rPr>
        <w:t>做出响应并提出解决办法，在必须到现场维护的情况下，在</w:t>
      </w:r>
      <w:r>
        <w:rPr>
          <w:rFonts w:ascii="宋体" w:hAnsi="宋体" w:cs="宋体"/>
          <w:color w:val="auto"/>
          <w:szCs w:val="21"/>
          <w:highlight w:val="none"/>
        </w:rPr>
        <w:t>2</w:t>
      </w:r>
      <w:r>
        <w:rPr>
          <w:rFonts w:hint="eastAsia" w:ascii="宋体" w:hAnsi="宋体" w:cs="宋体"/>
          <w:color w:val="auto"/>
          <w:szCs w:val="21"/>
          <w:highlight w:val="none"/>
        </w:rPr>
        <w:t>小时内赶到现场进行维修，并提供不间断的服务直到结束。质保期内乙方须安排专业维保人员驻场，驻场人员数量及资质须满足甲方需求并获得书面审批。</w:t>
      </w:r>
    </w:p>
    <w:p w14:paraId="4EAE9F77">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rPr>
        <w:t>．如设备暂时不能修复，乙方应做好故障设备的相关的围挡保护及明显的故障告示通知，直至故障设备完全修复为止。</w:t>
      </w:r>
    </w:p>
    <w:p w14:paraId="74648CC5">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cs="宋体"/>
          <w:color w:val="auto"/>
          <w:szCs w:val="21"/>
          <w:highlight w:val="none"/>
        </w:rPr>
        <w:t xml:space="preserve">. 乙方不在约定期限内派人保修的，甲方可以委托他人修理，由此产生的费用从质量保证金内扣除。 </w:t>
      </w:r>
    </w:p>
    <w:p w14:paraId="6C3A1594">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cs="宋体"/>
          <w:color w:val="auto"/>
          <w:szCs w:val="21"/>
          <w:highlight w:val="none"/>
        </w:rPr>
        <w:t>. 每次维修及维保好后，乙方需一式两份报告给甲方，包括故障原因，解决措施（或维保内容），完成修理（或维保）所费时间及恢复正常运行日期。</w:t>
      </w:r>
    </w:p>
    <w:p w14:paraId="3AA5363B">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cs="宋体"/>
          <w:color w:val="auto"/>
          <w:szCs w:val="21"/>
          <w:highlight w:val="none"/>
        </w:rPr>
        <w:t>. 乙方如未按上述要求履行保修义务，每违反一次，从质量保证金中扣除违约金壹万元整（100</w:t>
      </w:r>
      <w:r>
        <w:rPr>
          <w:rFonts w:ascii="宋体" w:hAnsi="宋体" w:cs="宋体"/>
          <w:color w:val="auto"/>
          <w:szCs w:val="21"/>
          <w:highlight w:val="none"/>
        </w:rPr>
        <w:t>0</w:t>
      </w:r>
      <w:r>
        <w:rPr>
          <w:rFonts w:hint="eastAsia" w:ascii="宋体" w:hAnsi="宋体" w:cs="宋体"/>
          <w:color w:val="auto"/>
          <w:szCs w:val="21"/>
          <w:highlight w:val="none"/>
        </w:rPr>
        <w:t>0.00元）；</w:t>
      </w:r>
    </w:p>
    <w:p w14:paraId="2FF5BF5E">
      <w:pPr>
        <w:snapToGrid w:val="0"/>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cs="宋体"/>
          <w:color w:val="auto"/>
          <w:szCs w:val="21"/>
          <w:highlight w:val="none"/>
        </w:rPr>
        <w:t>、在质保期结束时，须由专业工程师对设备进行另一次测试，任何故障须由乙方自费解决并取得甲方的同意。</w:t>
      </w:r>
    </w:p>
    <w:p w14:paraId="7151949C">
      <w:pPr>
        <w:snapToGrid w:val="0"/>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cs="宋体"/>
          <w:color w:val="auto"/>
          <w:szCs w:val="21"/>
          <w:highlight w:val="none"/>
        </w:rPr>
        <w:t>、在质保期结束前，乙方需按照设备检验检测要求对设备进行一次检验，并取得相关管理部门颁发的检验合格证，相关费用由乙方承担。</w:t>
      </w:r>
    </w:p>
    <w:p w14:paraId="4F106748">
      <w:pPr>
        <w:spacing w:line="36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cs="宋体"/>
          <w:color w:val="auto"/>
          <w:szCs w:val="21"/>
          <w:highlight w:val="none"/>
        </w:rPr>
        <w:t>、保修费用由乙方承担。</w:t>
      </w:r>
    </w:p>
    <w:p w14:paraId="22F4A341">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0" w:firstLineChars="200"/>
        <w:textAlignment w:val="baseline"/>
        <w:rPr>
          <w:rFonts w:ascii="宋体" w:hAnsi="宋体" w:cs="宋体"/>
          <w:b/>
          <w:color w:val="auto"/>
          <w:szCs w:val="21"/>
          <w:highlight w:val="none"/>
        </w:rPr>
      </w:pPr>
      <w:r>
        <w:rPr>
          <w:rFonts w:hint="eastAsia" w:ascii="宋体" w:hAnsi="宋体" w:cs="宋体"/>
          <w:b/>
          <w:color w:val="auto"/>
          <w:szCs w:val="21"/>
          <w:highlight w:val="none"/>
        </w:rPr>
        <w:t>四、质量保证金的支付</w:t>
      </w:r>
    </w:p>
    <w:p w14:paraId="536AAE53">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szCs w:val="21"/>
          <w:highlight w:val="none"/>
          <w:u w:val="single"/>
        </w:rPr>
      </w:pPr>
      <w:r>
        <w:rPr>
          <w:rFonts w:hint="eastAsia" w:ascii="宋体" w:hAnsi="宋体" w:cs="宋体"/>
          <w:color w:val="auto"/>
          <w:szCs w:val="21"/>
          <w:highlight w:val="none"/>
          <w:u w:val="none"/>
        </w:rPr>
        <w:t>本项目在工程竣工</w:t>
      </w:r>
      <w:r>
        <w:rPr>
          <w:rFonts w:hint="eastAsia" w:ascii="宋体" w:hAnsi="宋体" w:eastAsia="宋体" w:cs="宋体"/>
          <w:color w:val="auto"/>
          <w:szCs w:val="21"/>
          <w:highlight w:val="none"/>
          <w:u w:val="none"/>
          <w:lang w:val="en-US" w:eastAsia="zh-CN"/>
        </w:rPr>
        <w:t>验收合格后甲方支付设备尾款的</w:t>
      </w:r>
      <w:r>
        <w:rPr>
          <w:rFonts w:hint="eastAsia" w:ascii="宋体" w:hAnsi="宋体" w:eastAsia="宋体" w:cs="宋体"/>
          <w:bCs/>
          <w:iCs/>
          <w:color w:val="auto"/>
          <w:sz w:val="21"/>
          <w:szCs w:val="21"/>
          <w:highlight w:val="none"/>
          <w:u w:val="none"/>
        </w:rPr>
        <w:t>同时乙方提供设备总价</w:t>
      </w:r>
      <w:r>
        <w:rPr>
          <w:rFonts w:hint="eastAsia" w:ascii="宋体" w:hAnsi="宋体" w:eastAsia="宋体" w:cs="宋体"/>
          <w:b/>
          <w:bCs w:val="0"/>
          <w:iCs/>
          <w:color w:val="auto"/>
          <w:sz w:val="21"/>
          <w:szCs w:val="21"/>
          <w:highlight w:val="none"/>
          <w:u w:val="none"/>
          <w:lang w:val="en-US" w:eastAsia="zh-CN"/>
        </w:rPr>
        <w:t>1.5</w:t>
      </w:r>
      <w:r>
        <w:rPr>
          <w:rFonts w:hint="eastAsia" w:ascii="宋体" w:hAnsi="宋体" w:eastAsia="宋体" w:cs="宋体"/>
          <w:b/>
          <w:bCs w:val="0"/>
          <w:iCs/>
          <w:color w:val="auto"/>
          <w:sz w:val="21"/>
          <w:szCs w:val="21"/>
          <w:highlight w:val="none"/>
          <w:u w:val="none"/>
        </w:rPr>
        <w:t>%</w:t>
      </w:r>
      <w:r>
        <w:rPr>
          <w:rFonts w:hint="eastAsia" w:ascii="宋体" w:hAnsi="宋体" w:eastAsia="宋体" w:cs="宋体"/>
          <w:bCs/>
          <w:iCs/>
          <w:color w:val="auto"/>
          <w:sz w:val="21"/>
          <w:szCs w:val="21"/>
          <w:highlight w:val="none"/>
          <w:u w:val="none"/>
        </w:rPr>
        <w:t>的银行保函作为质保金</w:t>
      </w:r>
      <w:r>
        <w:rPr>
          <w:rFonts w:hint="eastAsia" w:ascii="宋体" w:hAnsi="宋体" w:eastAsia="宋体" w:cs="宋体"/>
          <w:bCs/>
          <w:iCs/>
          <w:color w:val="auto"/>
          <w:sz w:val="21"/>
          <w:szCs w:val="21"/>
          <w:highlight w:val="none"/>
          <w:u w:val="none"/>
          <w:lang w:eastAsia="zh-CN"/>
        </w:rPr>
        <w:t>。</w:t>
      </w:r>
    </w:p>
    <w:p w14:paraId="0872F155">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2" w:firstLineChars="200"/>
        <w:textAlignment w:val="baseline"/>
        <w:rPr>
          <w:rFonts w:ascii="宋体" w:hAnsi="宋体" w:cs="宋体"/>
          <w:b/>
          <w:color w:val="auto"/>
          <w:szCs w:val="21"/>
          <w:highlight w:val="none"/>
        </w:rPr>
      </w:pPr>
      <w:r>
        <w:rPr>
          <w:rFonts w:hint="eastAsia" w:ascii="宋体" w:hAnsi="宋体" w:eastAsia="宋体" w:cs="宋体"/>
          <w:b/>
          <w:color w:val="auto"/>
          <w:szCs w:val="21"/>
          <w:highlight w:val="none"/>
          <w:lang w:val="en-US" w:eastAsia="zh-CN"/>
        </w:rPr>
        <w:t>五</w:t>
      </w:r>
      <w:r>
        <w:rPr>
          <w:rFonts w:hint="eastAsia" w:ascii="宋体" w:hAnsi="宋体" w:cs="宋体"/>
          <w:b/>
          <w:color w:val="auto"/>
          <w:szCs w:val="21"/>
          <w:highlight w:val="none"/>
        </w:rPr>
        <w:t>、其他</w:t>
      </w:r>
    </w:p>
    <w:p w14:paraId="1F8D9C3D">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0" w:firstLineChars="200"/>
        <w:textAlignment w:val="baseline"/>
        <w:rPr>
          <w:rFonts w:ascii="宋体" w:hAnsi="宋体" w:cs="宋体"/>
          <w:color w:val="auto"/>
          <w:szCs w:val="21"/>
          <w:highlight w:val="none"/>
          <w:u w:val="single"/>
        </w:rPr>
      </w:pPr>
      <w:r>
        <w:rPr>
          <w:rFonts w:hint="eastAsia" w:ascii="宋体" w:hAnsi="宋体" w:cs="宋体"/>
          <w:color w:val="auto"/>
          <w:szCs w:val="21"/>
          <w:highlight w:val="none"/>
        </w:rPr>
        <w:t>各方约定的其他工程质量保修事项：</w:t>
      </w:r>
      <w:r>
        <w:rPr>
          <w:rFonts w:hint="eastAsia" w:ascii="宋体" w:hAnsi="宋体" w:cs="宋体"/>
          <w:color w:val="auto"/>
          <w:szCs w:val="21"/>
          <w:highlight w:val="none"/>
          <w:u w:val="single"/>
        </w:rPr>
        <w:t xml:space="preserve"> 按有关规定执行。</w:t>
      </w:r>
    </w:p>
    <w:p w14:paraId="260D96CC">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0" w:firstLineChars="200"/>
        <w:textAlignment w:val="baseline"/>
        <w:rPr>
          <w:rFonts w:ascii="宋体" w:hAnsi="宋体" w:cs="宋体"/>
          <w:color w:val="auto"/>
          <w:szCs w:val="21"/>
          <w:highlight w:val="none"/>
        </w:rPr>
      </w:pPr>
    </w:p>
    <w:p w14:paraId="6257F885">
      <w:pPr>
        <w:keepNext w:val="0"/>
        <w:keepLines w:val="0"/>
        <w:pageBreakBefore w:val="0"/>
        <w:widowControl w:val="0"/>
        <w:kinsoku w:val="0"/>
        <w:wordWrap/>
        <w:overflowPunct/>
        <w:topLinePunct w:val="0"/>
        <w:autoSpaceDE w:val="0"/>
        <w:autoSpaceDN w:val="0"/>
        <w:bidi w:val="0"/>
        <w:adjustRightInd w:val="0"/>
        <w:snapToGrid w:val="0"/>
        <w:spacing w:line="360" w:lineRule="exact"/>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14:paraId="33806D17">
      <w:pPr>
        <w:pStyle w:val="25"/>
        <w:keepNext w:val="0"/>
        <w:keepLines w:val="0"/>
        <w:pageBreakBefore w:val="0"/>
        <w:widowControl w:val="0"/>
        <w:kinsoku w:val="0"/>
        <w:wordWrap/>
        <w:overflowPunct/>
        <w:topLinePunct w:val="0"/>
        <w:autoSpaceDE w:val="0"/>
        <w:autoSpaceDN w:val="0"/>
        <w:bidi w:val="0"/>
        <w:adjustRightInd w:val="0"/>
        <w:snapToGrid w:val="0"/>
        <w:spacing w:before="0" w:beforeAutospacing="0" w:after="0" w:afterAutospacing="0" w:line="360" w:lineRule="exact"/>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14:paraId="4186291B">
      <w:pPr>
        <w:pStyle w:val="25"/>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14:paraId="61DCD194">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14:paraId="0213B4A4">
      <w:pPr>
        <w:spacing w:line="360" w:lineRule="exact"/>
        <w:ind w:firstLine="420" w:firstLineChars="200"/>
        <w:rPr>
          <w:rFonts w:ascii="宋体" w:hAnsi="宋体" w:cs="宋体"/>
          <w:color w:val="auto"/>
          <w:szCs w:val="21"/>
          <w:highlight w:val="none"/>
        </w:rPr>
      </w:pPr>
    </w:p>
    <w:p w14:paraId="56793C3C">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14:paraId="399C0B84">
      <w:pPr>
        <w:pStyle w:val="25"/>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14:paraId="483D995F">
      <w:pPr>
        <w:pStyle w:val="25"/>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14:paraId="7DF28DC4">
      <w:pPr>
        <w:pStyle w:val="20"/>
        <w:ind w:firstLine="420" w:firstLineChars="200"/>
        <w:rPr>
          <w:rFonts w:hint="eastAsia"/>
          <w:highlight w:val="none"/>
        </w:rPr>
      </w:pPr>
      <w:r>
        <w:rPr>
          <w:rFonts w:hint="eastAsia" w:ascii="宋体" w:hAnsi="宋体" w:cs="宋体"/>
          <w:color w:val="auto"/>
          <w:sz w:val="21"/>
          <w:szCs w:val="21"/>
          <w:highlight w:val="none"/>
        </w:rPr>
        <w:t>电话：</w:t>
      </w:r>
    </w:p>
    <w:p w14:paraId="054D8D03">
      <w:pPr>
        <w:jc w:val="both"/>
        <w:rPr>
          <w:color w:val="000000"/>
          <w:highlight w:val="none"/>
        </w:rPr>
      </w:pPr>
    </w:p>
    <w:p w14:paraId="55C00DDE">
      <w:pPr>
        <w:jc w:val="both"/>
        <w:rPr>
          <w:color w:val="000000"/>
          <w:highlight w:val="none"/>
        </w:rPr>
      </w:pPr>
    </w:p>
    <w:p w14:paraId="6DDFBF38">
      <w:pPr>
        <w:jc w:val="both"/>
        <w:rPr>
          <w:color w:val="000000"/>
          <w:highlight w:val="none"/>
        </w:rPr>
      </w:pPr>
    </w:p>
    <w:p w14:paraId="567AB80B">
      <w:pPr>
        <w:jc w:val="both"/>
        <w:rPr>
          <w:color w:val="000000"/>
          <w:highlight w:val="none"/>
        </w:rPr>
      </w:pPr>
    </w:p>
    <w:p w14:paraId="16904FDD">
      <w:pPr>
        <w:jc w:val="both"/>
        <w:rPr>
          <w:color w:val="000000"/>
          <w:highlight w:val="none"/>
        </w:rPr>
      </w:pPr>
    </w:p>
    <w:p w14:paraId="26508026">
      <w:pPr>
        <w:jc w:val="both"/>
        <w:rPr>
          <w:color w:val="000000"/>
          <w:highlight w:val="none"/>
        </w:rPr>
      </w:pPr>
    </w:p>
    <w:p w14:paraId="36341A6F">
      <w:pPr>
        <w:jc w:val="both"/>
        <w:rPr>
          <w:color w:val="000000"/>
          <w:highlight w:val="none"/>
        </w:rPr>
      </w:pPr>
    </w:p>
    <w:p w14:paraId="3384E597">
      <w:pPr>
        <w:jc w:val="both"/>
        <w:rPr>
          <w:color w:val="000000"/>
          <w:highlight w:val="none"/>
        </w:rPr>
      </w:pPr>
    </w:p>
    <w:p w14:paraId="4327BBCA">
      <w:pPr>
        <w:jc w:val="both"/>
        <w:rPr>
          <w:color w:val="000000"/>
          <w:highlight w:val="none"/>
        </w:rPr>
      </w:pPr>
    </w:p>
    <w:p w14:paraId="3943768C">
      <w:pPr>
        <w:jc w:val="both"/>
        <w:rPr>
          <w:color w:val="000000"/>
          <w:highlight w:val="none"/>
        </w:rPr>
      </w:pPr>
    </w:p>
    <w:p w14:paraId="3C498132">
      <w:pPr>
        <w:jc w:val="both"/>
        <w:rPr>
          <w:color w:val="000000"/>
          <w:highlight w:val="none"/>
        </w:rPr>
      </w:pPr>
    </w:p>
    <w:p w14:paraId="20792EAA">
      <w:pPr>
        <w:kinsoku/>
        <w:autoSpaceDE/>
        <w:autoSpaceDN/>
        <w:adjustRightInd/>
        <w:snapToGrid/>
        <w:jc w:val="both"/>
        <w:textAlignment w:val="auto"/>
        <w:rPr>
          <w:color w:val="000000"/>
          <w:highlight w:val="none"/>
        </w:rPr>
      </w:pPr>
    </w:p>
    <w:p w14:paraId="46E46FE5">
      <w:pPr>
        <w:spacing w:line="241" w:lineRule="auto"/>
        <w:jc w:val="both"/>
        <w:rPr>
          <w:rFonts w:eastAsia="宋体"/>
          <w:color w:val="000000"/>
          <w:highlight w:val="none"/>
        </w:rPr>
      </w:pPr>
    </w:p>
    <w:p w14:paraId="57726DEC">
      <w:pPr>
        <w:pStyle w:val="11"/>
        <w:jc w:val="both"/>
        <w:rPr>
          <w:color w:val="000000"/>
          <w:highlight w:val="none"/>
        </w:rPr>
      </w:pPr>
    </w:p>
    <w:p w14:paraId="1A6A8CBB">
      <w:pPr>
        <w:pStyle w:val="12"/>
        <w:jc w:val="both"/>
        <w:rPr>
          <w:color w:val="000000"/>
          <w:spacing w:val="0"/>
          <w:highlight w:val="none"/>
        </w:rPr>
      </w:pPr>
    </w:p>
    <w:p w14:paraId="03903896">
      <w:pPr>
        <w:rPr>
          <w:rFonts w:ascii="宋体" w:hAnsi="宋体" w:eastAsia="宋体" w:cs="宋体"/>
          <w:color w:val="000000"/>
          <w:sz w:val="31"/>
          <w:szCs w:val="31"/>
          <w:highlight w:val="none"/>
        </w:rPr>
      </w:pPr>
      <w:bookmarkStart w:id="55" w:name="_bookmark13"/>
      <w:bookmarkEnd w:id="55"/>
      <w:r>
        <w:rPr>
          <w:rFonts w:ascii="宋体" w:hAnsi="宋体" w:eastAsia="宋体" w:cs="宋体"/>
          <w:color w:val="000000"/>
          <w:sz w:val="31"/>
          <w:szCs w:val="31"/>
          <w:highlight w:val="none"/>
        </w:rPr>
        <w:br w:type="page"/>
      </w:r>
    </w:p>
    <w:p w14:paraId="6F94378E">
      <w:pPr>
        <w:keepNext w:val="0"/>
        <w:keepLines w:val="0"/>
        <w:pageBreakBefore w:val="0"/>
        <w:widowControl w:val="0"/>
        <w:kinsoku w:val="0"/>
        <w:wordWrap/>
        <w:overflowPunct/>
        <w:topLinePunct w:val="0"/>
        <w:autoSpaceDE w:val="0"/>
        <w:autoSpaceDN w:val="0"/>
        <w:bidi w:val="0"/>
        <w:adjustRightInd/>
        <w:snapToGrid/>
        <w:spacing w:line="380" w:lineRule="exact"/>
        <w:ind w:left="2253" w:firstLine="620" w:firstLineChars="200"/>
        <w:jc w:val="both"/>
        <w:textAlignment w:val="baseline"/>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第五章 招标内容和技术要求</w:t>
      </w:r>
    </w:p>
    <w:p w14:paraId="3C509780">
      <w:pPr>
        <w:pStyle w:val="3"/>
        <w:keepNext w:val="0"/>
        <w:keepLines w:val="0"/>
        <w:pageBreakBefore w:val="0"/>
        <w:widowControl w:val="0"/>
        <w:kinsoku w:val="0"/>
        <w:wordWrap/>
        <w:overflowPunct/>
        <w:topLinePunct w:val="0"/>
        <w:autoSpaceDE w:val="0"/>
        <w:autoSpaceDN w:val="0"/>
        <w:bidi w:val="0"/>
        <w:adjustRightInd/>
        <w:snapToGrid/>
        <w:spacing w:before="0" w:after="0" w:line="380" w:lineRule="exact"/>
        <w:textAlignment w:val="baseline"/>
        <w:rPr>
          <w:rFonts w:hint="eastAsia" w:ascii="宋体" w:hAnsi="宋体" w:eastAsia="宋体" w:cs="宋体"/>
          <w:color w:val="auto"/>
          <w:sz w:val="21"/>
          <w:szCs w:val="21"/>
          <w:highlight w:val="none"/>
        </w:rPr>
      </w:pPr>
      <w:bookmarkStart w:id="56" w:name="_bookmark14"/>
      <w:bookmarkEnd w:id="56"/>
      <w:bookmarkStart w:id="57" w:name="_Toc22529749"/>
      <w:bookmarkStart w:id="58" w:name="_Toc149220418"/>
      <w:r>
        <w:rPr>
          <w:rFonts w:hint="eastAsia" w:ascii="宋体" w:hAnsi="宋体" w:eastAsia="宋体" w:cs="宋体"/>
          <w:color w:val="auto"/>
          <w:sz w:val="21"/>
          <w:szCs w:val="21"/>
          <w:highlight w:val="none"/>
        </w:rPr>
        <w:t>一</w:t>
      </w:r>
      <w:bookmarkEnd w:id="57"/>
      <w:r>
        <w:rPr>
          <w:rFonts w:hint="eastAsia" w:ascii="宋体" w:hAnsi="宋体" w:eastAsia="宋体" w:cs="宋体"/>
          <w:color w:val="auto"/>
          <w:sz w:val="21"/>
          <w:szCs w:val="21"/>
          <w:highlight w:val="none"/>
        </w:rPr>
        <w:t>、招标范围：</w:t>
      </w:r>
      <w:bookmarkEnd w:id="58"/>
      <w:r>
        <w:rPr>
          <w:rFonts w:hint="eastAsia" w:ascii="宋体" w:hAnsi="宋体" w:eastAsia="宋体" w:cs="宋体"/>
          <w:color w:val="auto"/>
          <w:sz w:val="21"/>
          <w:szCs w:val="21"/>
          <w:highlight w:val="none"/>
        </w:rPr>
        <w:t xml:space="preserve"> </w:t>
      </w:r>
    </w:p>
    <w:p w14:paraId="7AD0D27A">
      <w:pPr>
        <w:keepNext w:val="0"/>
        <w:keepLines w:val="0"/>
        <w:pageBreakBefore w:val="0"/>
        <w:widowControl w:val="0"/>
        <w:kinsoku w:val="0"/>
        <w:wordWrap/>
        <w:overflowPunct/>
        <w:topLinePunct w:val="0"/>
        <w:autoSpaceDE w:val="0"/>
        <w:autoSpaceDN w:val="0"/>
        <w:bidi w:val="0"/>
        <w:adjustRightInd/>
        <w:snapToGrid/>
        <w:spacing w:line="380" w:lineRule="exact"/>
        <w:ind w:firstLine="404" w:firstLineChars="200"/>
        <w:textAlignment w:val="baseline"/>
        <w:rPr>
          <w:rFonts w:hint="eastAsia" w:ascii="宋体" w:hAnsi="宋体" w:eastAsia="宋体" w:cs="宋体"/>
          <w:color w:val="auto"/>
          <w:spacing w:val="-4"/>
          <w:sz w:val="21"/>
          <w:szCs w:val="21"/>
          <w:highlight w:val="none"/>
        </w:rPr>
      </w:pPr>
      <w:bookmarkStart w:id="59" w:name="_Toc59806236"/>
      <w:bookmarkStart w:id="60" w:name="_Toc70397649"/>
      <w:r>
        <w:rPr>
          <w:rFonts w:hint="eastAsia" w:ascii="宋体" w:hAnsi="宋体" w:eastAsia="宋体" w:cs="宋体"/>
          <w:color w:val="auto"/>
          <w:spacing w:val="-4"/>
          <w:sz w:val="21"/>
          <w:szCs w:val="21"/>
          <w:highlight w:val="none"/>
        </w:rPr>
        <w:t>本次招标的电梯设备为交钥匙方式，内容包含但不仅限于电梯的</w:t>
      </w:r>
      <w:r>
        <w:rPr>
          <w:rFonts w:hint="eastAsia" w:ascii="宋体" w:hAnsi="宋体" w:eastAsia="宋体" w:cs="宋体"/>
          <w:color w:val="auto"/>
          <w:sz w:val="21"/>
          <w:szCs w:val="21"/>
          <w:highlight w:val="none"/>
        </w:rPr>
        <w:t>制造、仓储、运输、装卸、二次搬运、深化设计、安装、调试、检测检验、委托监检、成品保护、权威部门验收、培训、交付使用、售后服务，以及向招标人提供全过程形成的图纸、记录、档案资料和其他相关服务等交钥匙内容，服从土建施工总包管理，与其他相关专业施工配合等</w:t>
      </w:r>
      <w:r>
        <w:rPr>
          <w:rFonts w:hint="eastAsia" w:ascii="宋体" w:hAnsi="宋体" w:eastAsia="宋体" w:cs="宋体"/>
          <w:color w:val="auto"/>
          <w:spacing w:val="-4"/>
          <w:sz w:val="21"/>
          <w:szCs w:val="21"/>
          <w:highlight w:val="none"/>
        </w:rPr>
        <w:t>。</w:t>
      </w:r>
    </w:p>
    <w:p w14:paraId="38278F60">
      <w:pPr>
        <w:pStyle w:val="3"/>
        <w:keepNext w:val="0"/>
        <w:keepLines w:val="0"/>
        <w:pageBreakBefore w:val="0"/>
        <w:widowControl w:val="0"/>
        <w:kinsoku w:val="0"/>
        <w:wordWrap/>
        <w:overflowPunct/>
        <w:topLinePunct w:val="0"/>
        <w:autoSpaceDE w:val="0"/>
        <w:autoSpaceDN w:val="0"/>
        <w:bidi w:val="0"/>
        <w:adjustRightInd/>
        <w:snapToGrid/>
        <w:spacing w:before="0" w:after="0" w:line="380" w:lineRule="exact"/>
        <w:textAlignment w:val="baseline"/>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二、工作范围与基本要求</w:t>
      </w:r>
      <w:bookmarkEnd w:id="59"/>
      <w:bookmarkEnd w:id="60"/>
    </w:p>
    <w:p w14:paraId="14A181CD">
      <w:pPr>
        <w:keepNext w:val="0"/>
        <w:keepLines w:val="0"/>
        <w:pageBreakBefore w:val="0"/>
        <w:widowControl w:val="0"/>
        <w:kinsoku w:val="0"/>
        <w:wordWrap/>
        <w:overflowPunct/>
        <w:topLinePunct w:val="0"/>
        <w:autoSpaceDE w:val="0"/>
        <w:autoSpaceDN w:val="0"/>
        <w:bidi w:val="0"/>
        <w:adjustRightInd/>
        <w:snapToGrid/>
        <w:spacing w:line="380" w:lineRule="exact"/>
        <w:ind w:right="-147" w:rightChars="-70" w:firstLine="420" w:firstLineChars="200"/>
        <w:textAlignment w:val="baseline"/>
        <w:rPr>
          <w:rFonts w:hint="eastAsia" w:ascii="宋体" w:hAnsi="宋体" w:eastAsia="宋体" w:cs="宋体"/>
          <w:color w:val="auto"/>
          <w:spacing w:val="-4"/>
          <w:sz w:val="21"/>
          <w:szCs w:val="21"/>
          <w:highlight w:val="none"/>
        </w:rPr>
      </w:pPr>
      <w:bookmarkStart w:id="61" w:name="_Toc83616205"/>
      <w:bookmarkStart w:id="62" w:name="_Toc164224369"/>
      <w:r>
        <w:rPr>
          <w:rFonts w:hint="eastAsia" w:ascii="宋体" w:hAnsi="宋体" w:eastAsia="宋体" w:cs="宋体"/>
          <w:color w:val="auto"/>
          <w:sz w:val="21"/>
          <w:szCs w:val="21"/>
          <w:highlight w:val="none"/>
        </w:rPr>
        <w:t>2.1</w:t>
      </w:r>
      <w:r>
        <w:rPr>
          <w:rFonts w:hint="eastAsia" w:ascii="宋体" w:hAnsi="宋体" w:eastAsia="宋体" w:cs="宋体"/>
          <w:bCs/>
          <w:color w:val="auto"/>
          <w:sz w:val="21"/>
          <w:szCs w:val="21"/>
          <w:highlight w:val="none"/>
        </w:rPr>
        <w:t>本次招标的电梯设备为交钥匙方式，内容包含但不仅限于电梯的</w:t>
      </w:r>
      <w:r>
        <w:rPr>
          <w:rFonts w:hint="eastAsia" w:ascii="宋体" w:hAnsi="宋体" w:eastAsia="宋体" w:cs="宋体"/>
          <w:color w:val="auto"/>
          <w:sz w:val="21"/>
          <w:szCs w:val="21"/>
          <w:highlight w:val="none"/>
        </w:rPr>
        <w:t>制造、仓储、运输、装卸、二次搬运、深化设计、安装、调试、检测检验、委托监检、成品保护、权威部门验收、培训、交付使用、售后服务，以及向招标人提供全过程形成的图纸、记录、档案资料和其他相关服务等交钥匙内容，服从土建施工总包管理，与其他相关专业施工配合等</w:t>
      </w:r>
      <w:r>
        <w:rPr>
          <w:rFonts w:hint="eastAsia" w:ascii="宋体" w:hAnsi="宋体" w:eastAsia="宋体" w:cs="宋体"/>
          <w:bCs/>
          <w:color w:val="auto"/>
          <w:sz w:val="21"/>
          <w:szCs w:val="21"/>
          <w:highlight w:val="none"/>
        </w:rPr>
        <w:t>。</w:t>
      </w:r>
    </w:p>
    <w:p w14:paraId="553D14D8">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2.1.1提供的设备</w:t>
      </w:r>
    </w:p>
    <w:p w14:paraId="2C78B9F6">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提供的电梯须包括（但不限于）以下工作服务：</w:t>
      </w:r>
    </w:p>
    <w:p w14:paraId="2C15B26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2.1.1.1土建设计所需资料，所提供的尺寸不得改变现有的土建尺寸，包括井道、机房施工设计图、土建施工中需要预留、预埋的部件及尺寸和平面图等（投标人要对提供建筑物预留电梯井道结构图纸负责）；</w:t>
      </w:r>
    </w:p>
    <w:p w14:paraId="775B1B0C">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2.1.1.2按招标人和设计需要完成设备的具体设计；</w:t>
      </w:r>
    </w:p>
    <w:p w14:paraId="16F40DA9">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2.1.1.3提供详细构造图、设备样本和使用操作说明书；</w:t>
      </w:r>
    </w:p>
    <w:p w14:paraId="2EE2E7B3">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2.1.1.4按招标人认可的设计方案和材料进行加工、制造、供货；</w:t>
      </w:r>
    </w:p>
    <w:p w14:paraId="548F6FDA">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2.1.1.5运输：投标人负责设备运输至工地，落地交货，并负责搬运；</w:t>
      </w:r>
    </w:p>
    <w:p w14:paraId="5896989B">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2.1.1.6保管：投标人负责到货设备的堆场、保管，场地自行解决。</w:t>
      </w:r>
    </w:p>
    <w:p w14:paraId="3520AB37">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2.1.2设备调试和验收</w:t>
      </w:r>
    </w:p>
    <w:p w14:paraId="6BA013A9">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2.1.2.1投标人需按招标人的要求和认可负责设备调试及试运行；</w:t>
      </w:r>
    </w:p>
    <w:p w14:paraId="3234EB0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2.1.2.2</w:t>
      </w:r>
      <w:r>
        <w:rPr>
          <w:rFonts w:hint="eastAsia" w:ascii="宋体" w:hAnsi="宋体" w:eastAsia="宋体" w:cs="宋体"/>
          <w:b/>
          <w:color w:val="auto"/>
          <w:sz w:val="21"/>
          <w:szCs w:val="21"/>
          <w:highlight w:val="none"/>
        </w:rPr>
        <w:t>招标人除提供安装所需的水电接口（调试时若未正式通电，调试时电缆及电箱等由中标人自行解决，水电费由中标人负责）以外，设备制造费、材料费、管线费、吊装费、安装费、调试费、税金、运输及运输保险费、装卸费、质保期内维修保护费、特殊工艺费、设计院图纸审核费（如发生此费用）、售后服务费、土建配合费、施工水电费、施工人员食宿、交通、培训费、验收费、政策性文件相关规定及合同中明示或隐含的所有风险、责任等各项应有费用均包括在投标报价内。</w:t>
      </w:r>
    </w:p>
    <w:p w14:paraId="69E0615F">
      <w:pPr>
        <w:keepNext w:val="0"/>
        <w:keepLines w:val="0"/>
        <w:pageBreakBefore w:val="0"/>
        <w:widowControl w:val="0"/>
        <w:kinsoku w:val="0"/>
        <w:wordWrap/>
        <w:overflowPunct/>
        <w:topLinePunct w:val="0"/>
        <w:autoSpaceDE w:val="0"/>
        <w:autoSpaceDN w:val="0"/>
        <w:bidi w:val="0"/>
        <w:adjustRightInd/>
        <w:snapToGrid/>
        <w:spacing w:line="380" w:lineRule="exact"/>
        <w:ind w:right="4" w:rightChars="2" w:firstLine="420" w:firstLineChars="200"/>
        <w:textAlignment w:val="baseline"/>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2.1.2.3</w:t>
      </w:r>
      <w:r>
        <w:rPr>
          <w:rFonts w:hint="eastAsia" w:ascii="宋体" w:hAnsi="宋体" w:eastAsia="宋体" w:cs="宋体"/>
          <w:color w:val="auto"/>
          <w:spacing w:val="-4"/>
          <w:sz w:val="21"/>
          <w:szCs w:val="21"/>
          <w:highlight w:val="none"/>
        </w:rPr>
        <w:t>设备安装验收合格，交付</w:t>
      </w:r>
      <w:r>
        <w:rPr>
          <w:rFonts w:hint="eastAsia" w:ascii="宋体" w:hAnsi="宋体" w:eastAsia="宋体" w:cs="宋体"/>
          <w:color w:val="auto"/>
          <w:sz w:val="21"/>
          <w:szCs w:val="21"/>
          <w:highlight w:val="none"/>
        </w:rPr>
        <w:t>招标人</w:t>
      </w:r>
      <w:r>
        <w:rPr>
          <w:rFonts w:hint="eastAsia" w:ascii="宋体" w:hAnsi="宋体" w:eastAsia="宋体" w:cs="宋体"/>
          <w:color w:val="auto"/>
          <w:spacing w:val="-4"/>
          <w:sz w:val="21"/>
          <w:szCs w:val="21"/>
          <w:highlight w:val="none"/>
        </w:rPr>
        <w:t>使用以前的设备保护由投标人负责，有关费用在投标文件中明确，并包含在投标总价中。</w:t>
      </w:r>
    </w:p>
    <w:p w14:paraId="32138CE0">
      <w:pPr>
        <w:keepNext w:val="0"/>
        <w:keepLines w:val="0"/>
        <w:pageBreakBefore w:val="0"/>
        <w:widowControl w:val="0"/>
        <w:kinsoku w:val="0"/>
        <w:wordWrap/>
        <w:overflowPunct/>
        <w:topLinePunct w:val="0"/>
        <w:autoSpaceDE w:val="0"/>
        <w:autoSpaceDN w:val="0"/>
        <w:bidi w:val="0"/>
        <w:adjustRightInd/>
        <w:snapToGrid/>
        <w:spacing w:line="380" w:lineRule="exact"/>
        <w:ind w:right="-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2.1.2.4投标人必须负责所提供货物通过绍兴市特种设备检测院的验收，直至取得验收证书。验收费用包含在投标总价中。</w:t>
      </w:r>
    </w:p>
    <w:p w14:paraId="2FAC43B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这份规格书只是对电梯一些原则性要求，并不是详尽的要求，投标人有责任对设计的技术规范、标准的符合性负责。</w:t>
      </w:r>
    </w:p>
    <w:p w14:paraId="40F261D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在投标之前，投标人须仔细阅读招标文件，如发现有任何疑问、冲突或技术问题，投标人须向招标人或招标代理机构咨询。</w:t>
      </w:r>
    </w:p>
    <w:p w14:paraId="3153F09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投标人须对招标文件中的各个条款一一给予实质性答复。</w:t>
      </w:r>
    </w:p>
    <w:p w14:paraId="202A27B2">
      <w:pPr>
        <w:pStyle w:val="3"/>
        <w:keepNext w:val="0"/>
        <w:keepLines w:val="0"/>
        <w:pageBreakBefore w:val="0"/>
        <w:widowControl w:val="0"/>
        <w:kinsoku w:val="0"/>
        <w:wordWrap/>
        <w:overflowPunct/>
        <w:topLinePunct w:val="0"/>
        <w:autoSpaceDE w:val="0"/>
        <w:autoSpaceDN w:val="0"/>
        <w:bidi w:val="0"/>
        <w:adjustRightInd/>
        <w:snapToGrid/>
        <w:spacing w:before="0" w:after="0" w:line="38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bookmarkEnd w:id="61"/>
      <w:bookmarkEnd w:id="62"/>
      <w:r>
        <w:rPr>
          <w:rFonts w:hint="eastAsia" w:ascii="宋体" w:hAnsi="宋体" w:eastAsia="宋体" w:cs="宋体"/>
          <w:color w:val="auto"/>
          <w:sz w:val="21"/>
          <w:szCs w:val="21"/>
          <w:highlight w:val="none"/>
        </w:rPr>
        <w:t>设备基本情况</w:t>
      </w:r>
    </w:p>
    <w:p w14:paraId="71F59D7C">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3.1工地条件</w:t>
      </w:r>
    </w:p>
    <w:p w14:paraId="2FA65FE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所有合同中提供的设备应能符合下列但不仅限于以下的环境条件。</w:t>
      </w:r>
    </w:p>
    <w:p w14:paraId="11CCB03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适应性要求：</w:t>
      </w:r>
    </w:p>
    <w:p w14:paraId="241D4D7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3.1.1.1  室外环境温度：-5℃～45℃</w:t>
      </w:r>
    </w:p>
    <w:p w14:paraId="72430B8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3.1.1.2  电源条件：所有提供的设备和元器件须符合和适应下列条件，不包括在另行条文中的说明。</w:t>
      </w:r>
    </w:p>
    <w:p w14:paraId="390B941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电压：～380V，3相5线，50Hz；～220V，单相,50Hz</w:t>
      </w:r>
    </w:p>
    <w:p w14:paraId="4A82592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电压波动：-7%～+7%</w:t>
      </w:r>
    </w:p>
    <w:p w14:paraId="5DA0B5C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接地电阻要求：≤4欧姆</w:t>
      </w:r>
    </w:p>
    <w:p w14:paraId="05CAC38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3.1.2 抗地震要求：</w:t>
      </w:r>
      <w:r>
        <w:rPr>
          <w:rFonts w:hint="eastAsia" w:ascii="宋体" w:hAnsi="宋体" w:eastAsia="宋体" w:cs="宋体"/>
          <w:color w:val="auto"/>
          <w:spacing w:val="-10"/>
          <w:sz w:val="21"/>
          <w:szCs w:val="21"/>
          <w:highlight w:val="none"/>
        </w:rPr>
        <w:t>所有提供的设备，须适应6度地震烈度，建筑结构正常，未受偏差影响的前提下，能正常运行。</w:t>
      </w:r>
    </w:p>
    <w:p w14:paraId="1B42FDC9">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3.2标准和规范</w:t>
      </w:r>
    </w:p>
    <w:p w14:paraId="4BBD1692">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本招标文件成文时，下列所示标准和规范均有效。所有标准和规范都会被修订，投标人应达到下列标准和规范最新版本的要求。</w:t>
      </w:r>
    </w:p>
    <w:p w14:paraId="5F66F878">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中华人民共和国标准和国外标准</w:t>
      </w:r>
    </w:p>
    <w:p w14:paraId="527806A9">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由投标人提供的所有产品和服务须符合下列规范、条例及标准</w:t>
      </w:r>
    </w:p>
    <w:p w14:paraId="55CDB72A">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pacing w:val="-6"/>
          <w:sz w:val="21"/>
          <w:szCs w:val="21"/>
          <w:highlight w:val="none"/>
        </w:rPr>
        <w:t>中华人民共和国的国家标准：电梯制造和安装安全规范（GB7588—2003）</w:t>
      </w:r>
    </w:p>
    <w:p w14:paraId="1D0123E4">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·中华人民共和国的国家标准：电梯安装验收规范    （GB10060—93）</w:t>
      </w:r>
    </w:p>
    <w:p w14:paraId="2FF8E5A2">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·中华人民共和国的国家标准：电梯技术条件     （GB/T10058—1997）</w:t>
      </w:r>
    </w:p>
    <w:p w14:paraId="761E7AC3">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·中华人民共和国的国家标准：电梯试验方法   （GB/T10059—1997）</w:t>
      </w:r>
    </w:p>
    <w:p w14:paraId="3F10D93F">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·中华人民共和国标准：电梯工程施工质量验收规范   （GB50310-2002）</w:t>
      </w:r>
    </w:p>
    <w:p w14:paraId="5BF19F1F">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·中华人民共和国标准：杂货电梯制造与安装安全规范   （GB25194-2010）</w:t>
      </w:r>
    </w:p>
    <w:p w14:paraId="42DF15B0">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·中华人民共和国标准：无障碍设计规范   （GB50763-2012）</w:t>
      </w:r>
    </w:p>
    <w:p w14:paraId="07C90ECD">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·电梯电梯使用管理与维修保养规则（TSGT5001-2009）</w:t>
      </w:r>
    </w:p>
    <w:p w14:paraId="63C30146">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·电梯监督检查和定期检查规则-曳引与强制驱动电梯 （TSGT7001-2009）</w:t>
      </w:r>
    </w:p>
    <w:p w14:paraId="6C212858">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·电梯监督检查和定期检查规则-自动扶梯和自动人行道（TSGT7005-2009）</w:t>
      </w:r>
    </w:p>
    <w:p w14:paraId="14D4A9EB">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·电梯监督检查和定期检查规则-杂货梯（TSGT7006-2009）</w:t>
      </w:r>
    </w:p>
    <w:p w14:paraId="01C0D498">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·电梯维修保养安全管理规范（DB33728-2009）</w:t>
      </w:r>
    </w:p>
    <w:p w14:paraId="22FC14E2">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·《绍兴市电梯安全监察办法》</w:t>
      </w:r>
    </w:p>
    <w:p w14:paraId="4991AFDB">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·中华人民共和国国家建设部“电梯手册” (JJ49)</w:t>
      </w:r>
    </w:p>
    <w:p w14:paraId="16DD757E">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·中华人民共和国国家标准：电梯安装工程质量检验评估标准（试行版）</w:t>
      </w:r>
    </w:p>
    <w:p w14:paraId="12621CAB">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·设备的电气装置应符合IEC标准</w:t>
      </w:r>
    </w:p>
    <w:p w14:paraId="116E1251">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·浙江省消防部门的条例及相关的中国国家消防规范</w:t>
      </w:r>
    </w:p>
    <w:p w14:paraId="133BC735">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·电力供应部门的供电规章条例</w:t>
      </w:r>
    </w:p>
    <w:p w14:paraId="5A002A35">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·其他有关的中国规定</w:t>
      </w:r>
    </w:p>
    <w:p w14:paraId="161CE2E1">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·由招标人认可的有关国际权威标准，这些标准应为最新标准，投标人应及时提供给招标人（国外标准应翻译成中文）。</w:t>
      </w:r>
    </w:p>
    <w:p w14:paraId="2269F468">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3.2.2投标人遵守不仅限于此规格书中的标准时，应向招标人及时解释清楚，获得招标人认可后，投标人推荐的标准和制造规范才能等效或适用于此技术规格书。</w:t>
      </w:r>
    </w:p>
    <w:p w14:paraId="7FE2CECF">
      <w:pPr>
        <w:keepNext w:val="0"/>
        <w:keepLines w:val="0"/>
        <w:pageBreakBefore w:val="0"/>
        <w:widowControl w:val="0"/>
        <w:kinsoku w:val="0"/>
        <w:wordWrap/>
        <w:overflowPunct/>
        <w:topLinePunct w:val="0"/>
        <w:autoSpaceDE w:val="0"/>
        <w:autoSpaceDN w:val="0"/>
        <w:bidi w:val="0"/>
        <w:adjustRightInd/>
        <w:snapToGrid/>
        <w:spacing w:line="380" w:lineRule="exact"/>
        <w:ind w:right="-119"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上述技术标准和规范如与国家、国际最新标准相抵触或未能罗列完全时，应以国家、国际最新权威标准为依据。</w:t>
      </w:r>
    </w:p>
    <w:p w14:paraId="36049BA4">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3.3制造监制和出厂检验</w:t>
      </w:r>
    </w:p>
    <w:p w14:paraId="50084FC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3.3.1在设备制造期间，招标人有权在适当的时间到制造厂进行制造监制，在制造监制期间，制造商有责任提供有关设备包括各种数据，设备结构图和部件图的详细中文资料。</w:t>
      </w:r>
    </w:p>
    <w:p w14:paraId="4869A076">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在设备出厂之前，制造商须邀请招标人技术人员至制造厂家进行检验。主要部件和电气部件及总体工程的检验都应在工厂内结束。中标人须提供由招标人工程师认可的一整套检验标准和计划。所有检验应严格按照认可的方式进行。招标人赴工厂监制、检验费用由招标人自行承担，投标人在投标报价时不需考虑。在检验结束后，中标人须提供必要的技术数据和图纸，并提交一份测试报告给招标人。</w:t>
      </w:r>
    </w:p>
    <w:p w14:paraId="4294FC9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3.3.3招标人监制和工厂检验并不解除制造商对所有产品在制造质量上应负的全部责任。</w:t>
      </w:r>
    </w:p>
    <w:p w14:paraId="0D73169F">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3.4设备的防护、包装及运输</w:t>
      </w:r>
    </w:p>
    <w:p w14:paraId="78CD88A8">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设备的防护及油漆</w:t>
      </w:r>
    </w:p>
    <w:p w14:paraId="03B78FD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设备内、外表面应洁净。投标人在投标时须提供设备的具体防护措施供招标人认可，并对此工作负责。油漆表面应光洁，无折皱和剥落。</w:t>
      </w:r>
    </w:p>
    <w:p w14:paraId="70FDA1A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所有设备应合理、有效包装，以使其有效防止各种损坏，如受潮、受热、 剥落、腐蚀、变形等。</w:t>
      </w:r>
    </w:p>
    <w:p w14:paraId="16147CD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 对不油漆且易磨损的零件应涂上高熔点或脂肪酸或其他保护功能的油脂以得到保护，并得到妥善包装后固定。机组所有开口处应封闭保护，以防止在运输人搬运途中异物进入。电动机、控制中心、排气装置和机组的控制器等均应加保护罩。</w:t>
      </w:r>
    </w:p>
    <w:p w14:paraId="7C2C2DE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随机的零部件、备品备件等散件应木箱包装。这些箱盒应适合于储存，储存年限应在包装上予以说明。</w:t>
      </w:r>
    </w:p>
    <w:p w14:paraId="4077CC8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3.4.5 设备的包装费应包括在投标总价中，这些包装材料应属于招标人所有。</w:t>
      </w:r>
    </w:p>
    <w:p w14:paraId="0558801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3.4.6 在包装箱中，应附有产品合格证书（包括机组合格证、部件合格证、材料合格证等）、产品说明书、装箱单、易损件备件及专用工具清单，一套完整的经批准的图纸及有关技术文件资料。包装箱外面应注明数量、设备名称、编号、起吊位置、警示标志、外形尺寸、毛重等。所有文字应为中文或中、英文两种。以中文为准。</w:t>
      </w:r>
    </w:p>
    <w:p w14:paraId="45043241">
      <w:pPr>
        <w:keepNext w:val="0"/>
        <w:keepLines w:val="0"/>
        <w:pageBreakBefore w:val="0"/>
        <w:widowControl w:val="0"/>
        <w:tabs>
          <w:tab w:val="left" w:pos="720"/>
          <w:tab w:val="left" w:pos="900"/>
          <w:tab w:val="left" w:pos="1080"/>
        </w:tabs>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投标人应对设备的整个交货过程负责，包括运输、装卸、调试安全。</w:t>
      </w:r>
    </w:p>
    <w:p w14:paraId="30C2878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随包装箱携带的文件、资料应防潮密封，并放置在包装箱内明显处。</w:t>
      </w:r>
    </w:p>
    <w:p w14:paraId="596620F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3.4.9</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投标人应对设备国内运输、国内仓储和安装短驳做出详细计划。</w:t>
      </w:r>
    </w:p>
    <w:p w14:paraId="58EDA756">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3.5、到货验收</w:t>
      </w:r>
    </w:p>
    <w:p w14:paraId="226FD02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3.5.1在所供设备到工地时，由买卖双方共同验收，有必要时请当地技术监督局验收（由此产生的费用计入投标总价）。若发现任何损坏及质量问题，投标人应负责更换零件，并妥善处理直至招标人满意。</w:t>
      </w:r>
    </w:p>
    <w:p w14:paraId="6C6A38CE">
      <w:pPr>
        <w:keepNext w:val="0"/>
        <w:keepLines w:val="0"/>
        <w:pageBreakBefore w:val="0"/>
        <w:widowControl w:val="0"/>
        <w:kinsoku w:val="0"/>
        <w:wordWrap/>
        <w:overflowPunct/>
        <w:topLinePunct w:val="0"/>
        <w:autoSpaceDE w:val="0"/>
        <w:autoSpaceDN w:val="0"/>
        <w:bidi w:val="0"/>
        <w:adjustRightInd/>
        <w:snapToGrid/>
        <w:spacing w:line="380" w:lineRule="exact"/>
        <w:ind w:right="-357" w:rightChars="-170"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3.5.2在建设单位工地少量的临时存放场地由投标人自行考虑并负责看管。</w:t>
      </w:r>
    </w:p>
    <w:p w14:paraId="0C0D08DE">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3.6所需资料</w:t>
      </w:r>
    </w:p>
    <w:p w14:paraId="61369D5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3.6.1投标所需资料按照本招标文件及工程技术规范和技术要求提供。</w:t>
      </w:r>
    </w:p>
    <w:p w14:paraId="2764F141">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3.6.2合同签订后须提交下列所有文件：</w:t>
      </w:r>
    </w:p>
    <w:p w14:paraId="5004DD3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3.6.2.1合同签订后，中标人须按建设进度要求提供下列资料：</w:t>
      </w:r>
    </w:p>
    <w:p w14:paraId="2FAA206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a．系统图；</w:t>
      </w:r>
    </w:p>
    <w:p w14:paraId="0612EB8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b．布置方案图；</w:t>
      </w:r>
    </w:p>
    <w:p w14:paraId="7322FCD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c．电路图；</w:t>
      </w:r>
    </w:p>
    <w:p w14:paraId="5773213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d．接线图；</w:t>
      </w:r>
    </w:p>
    <w:p w14:paraId="775AF98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e．设计图；</w:t>
      </w:r>
    </w:p>
    <w:p w14:paraId="571FAC8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f．装配图；</w:t>
      </w:r>
    </w:p>
    <w:p w14:paraId="16D37E9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g．井道尺寸剖面图;</w:t>
      </w:r>
    </w:p>
    <w:p w14:paraId="35EBD6F8">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h．投标人认为有必要提供的其他文件和技术资料。</w:t>
      </w:r>
    </w:p>
    <w:p w14:paraId="7D74477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3.6.2.2设计图纸要求</w:t>
      </w:r>
    </w:p>
    <w:p w14:paraId="788FE5E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a．图纸一式六份需交招标人审查并认可。此类审查认可并不免除投标人在本合同项下的责任义务。</w:t>
      </w:r>
    </w:p>
    <w:p w14:paraId="71CA420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b．如果有任何图纸未被认可，须由投标人按招标人建议做好修改，并再次送审直到认可。</w:t>
      </w:r>
    </w:p>
    <w:p w14:paraId="0ABEFB4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3.6.2.3图纸审查包括：</w:t>
      </w:r>
    </w:p>
    <w:p w14:paraId="00C174B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a．所有对土建的要求符合现有的实际情况，包括荷载、预留孔位置和尺寸、预埋件、机房楼板预留孔（另定）、吊装荷载、机房通道、底坑地基和用于固定的一些细节等。</w:t>
      </w:r>
    </w:p>
    <w:p w14:paraId="6AE620A0">
      <w:pPr>
        <w:keepNext w:val="0"/>
        <w:keepLines w:val="0"/>
        <w:pageBreakBefore w:val="0"/>
        <w:widowControl w:val="0"/>
        <w:kinsoku w:val="0"/>
        <w:wordWrap/>
        <w:overflowPunct/>
        <w:topLinePunct w:val="0"/>
        <w:autoSpaceDE w:val="0"/>
        <w:autoSpaceDN w:val="0"/>
        <w:bidi w:val="0"/>
        <w:adjustRightInd/>
        <w:snapToGrid/>
        <w:spacing w:line="380" w:lineRule="exact"/>
        <w:ind w:right="-408"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所有对土建工程的要求须送交招标人和招标人委托的设计单位审查。</w:t>
      </w:r>
    </w:p>
    <w:p w14:paraId="304A5236">
      <w:pPr>
        <w:keepNext w:val="0"/>
        <w:keepLines w:val="0"/>
        <w:pageBreakBefore w:val="0"/>
        <w:widowControl w:val="0"/>
        <w:kinsoku w:val="0"/>
        <w:wordWrap/>
        <w:overflowPunct/>
        <w:topLinePunct w:val="0"/>
        <w:autoSpaceDE w:val="0"/>
        <w:autoSpaceDN w:val="0"/>
        <w:bidi w:val="0"/>
        <w:adjustRightInd/>
        <w:snapToGrid/>
        <w:spacing w:line="380" w:lineRule="exact"/>
        <w:ind w:right="-408"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b.主要设备和装置须按额定值、外形、尺寸、表面装饰、维修、更换、安装方法等方面加以阐明。</w:t>
      </w:r>
    </w:p>
    <w:p w14:paraId="63FB4B6B">
      <w:pPr>
        <w:keepNext w:val="0"/>
        <w:keepLines w:val="0"/>
        <w:pageBreakBefore w:val="0"/>
        <w:widowControl w:val="0"/>
        <w:kinsoku w:val="0"/>
        <w:wordWrap/>
        <w:overflowPunct/>
        <w:topLinePunct w:val="0"/>
        <w:autoSpaceDE w:val="0"/>
        <w:autoSpaceDN w:val="0"/>
        <w:bidi w:val="0"/>
        <w:adjustRightInd/>
        <w:snapToGrid/>
        <w:spacing w:line="380" w:lineRule="exact"/>
        <w:ind w:right="-408"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c．与其他设备系统的连接示意图及工作范围（例如，消防系统、电气设备等）。</w:t>
      </w:r>
    </w:p>
    <w:p w14:paraId="20622713">
      <w:pPr>
        <w:keepNext w:val="0"/>
        <w:keepLines w:val="0"/>
        <w:pageBreakBefore w:val="0"/>
        <w:widowControl w:val="0"/>
        <w:kinsoku w:val="0"/>
        <w:wordWrap/>
        <w:overflowPunct/>
        <w:topLinePunct w:val="0"/>
        <w:autoSpaceDE w:val="0"/>
        <w:autoSpaceDN w:val="0"/>
        <w:bidi w:val="0"/>
        <w:adjustRightInd/>
        <w:snapToGrid/>
        <w:spacing w:line="380" w:lineRule="exact"/>
        <w:ind w:right="-408"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d．设备及装置的布置图、辅助线路图等等。所有设备、装置的线路图，都须用特殊的线标明，以防与其它线混同。</w:t>
      </w:r>
    </w:p>
    <w:p w14:paraId="2A7D656E">
      <w:pPr>
        <w:keepNext w:val="0"/>
        <w:keepLines w:val="0"/>
        <w:pageBreakBefore w:val="0"/>
        <w:widowControl w:val="0"/>
        <w:kinsoku w:val="0"/>
        <w:wordWrap/>
        <w:overflowPunct/>
        <w:topLinePunct w:val="0"/>
        <w:autoSpaceDE w:val="0"/>
        <w:autoSpaceDN w:val="0"/>
        <w:bidi w:val="0"/>
        <w:adjustRightInd/>
        <w:snapToGrid/>
        <w:spacing w:line="380" w:lineRule="exact"/>
        <w:ind w:right="-408"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e．主要设备的交货程序，外形尺寸、重量和预留吊装位置和吊钩。</w:t>
      </w:r>
    </w:p>
    <w:p w14:paraId="2B34BE6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f．主要设备的电源负荷和通风降温要求。</w:t>
      </w:r>
    </w:p>
    <w:p w14:paraId="7B927EF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g．应标明电梯机房的剖面以获得土建的认可。</w:t>
      </w:r>
    </w:p>
    <w:p w14:paraId="5ADE294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3.6.2.4 投标人在接到任何有关土建或结构设计的变更通知，须根据变更提供详细土建图。</w:t>
      </w:r>
    </w:p>
    <w:p w14:paraId="775BB82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3.6.2.5 投标人须在完成合同范围的调试验收完毕后，七天内提交所有相关的记录和工序验收记录并提交竣工图。</w:t>
      </w:r>
    </w:p>
    <w:p w14:paraId="73D98BD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3.6.2.6 在培训期间，投标人须免费提供中文培训材料给招标人。</w:t>
      </w:r>
    </w:p>
    <w:p w14:paraId="3E89AB5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3.6.2.7 在正式交付运行前七天，投标人需提交包括竣工图、控制、操作和维护手册一式六份，以便于招标人和相关人员能预先对将要运行的设备和系统有所了解。</w:t>
      </w:r>
    </w:p>
    <w:p w14:paraId="5426499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每本手册应包括下列基本材料：</w:t>
      </w:r>
    </w:p>
    <w:p w14:paraId="5B229EF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a.有关设备规格和详细操作说明。</w:t>
      </w:r>
    </w:p>
    <w:p w14:paraId="6450174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b.系统和主要部件常见故障说明，包括零部件图和总图，说明书应包括备件清单、操作和维修方法。</w:t>
      </w:r>
    </w:p>
    <w:p w14:paraId="6611B31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c．例行维修保养项目和期限的建议。</w:t>
      </w:r>
    </w:p>
    <w:p w14:paraId="3899B2B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d．紧急安全措施的建议。</w:t>
      </w:r>
    </w:p>
    <w:p w14:paraId="59777F8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e．紧急维修中心电话号码、地址，维修人员的电话号码。</w:t>
      </w:r>
    </w:p>
    <w:p w14:paraId="3A2556C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3.6.2.8在设备测试期间，投标人须提交一式六份各式报告给招标人。</w:t>
      </w:r>
    </w:p>
    <w:p w14:paraId="415D9E6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提供资料时间</w:t>
      </w:r>
    </w:p>
    <w:p w14:paraId="4596388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投标人须在合同签订后3日内提交书面工程进度表，此进度表应为招标人所认可，并应符合设计、制造、土建安装、调试等工程建设进度的需要。</w:t>
      </w:r>
    </w:p>
    <w:p w14:paraId="099DE25D">
      <w:pPr>
        <w:pStyle w:val="3"/>
        <w:keepNext w:val="0"/>
        <w:keepLines w:val="0"/>
        <w:pageBreakBefore w:val="0"/>
        <w:widowControl w:val="0"/>
        <w:kinsoku w:val="0"/>
        <w:wordWrap/>
        <w:overflowPunct/>
        <w:topLinePunct w:val="0"/>
        <w:autoSpaceDE w:val="0"/>
        <w:autoSpaceDN w:val="0"/>
        <w:bidi w:val="0"/>
        <w:adjustRightInd/>
        <w:snapToGrid/>
        <w:spacing w:before="0" w:after="0" w:line="380" w:lineRule="exact"/>
        <w:textAlignment w:val="baseline"/>
        <w:rPr>
          <w:rFonts w:hint="eastAsia" w:ascii="宋体" w:hAnsi="宋体" w:eastAsia="宋体" w:cs="宋体"/>
          <w:color w:val="auto"/>
          <w:sz w:val="21"/>
          <w:szCs w:val="21"/>
          <w:highlight w:val="none"/>
        </w:rPr>
      </w:pPr>
      <w:bookmarkStart w:id="63" w:name="_Toc164224373"/>
      <w:r>
        <w:rPr>
          <w:rFonts w:hint="eastAsia" w:ascii="宋体" w:hAnsi="宋体" w:eastAsia="宋体" w:cs="宋体"/>
          <w:color w:val="auto"/>
          <w:sz w:val="21"/>
          <w:szCs w:val="21"/>
          <w:highlight w:val="none"/>
        </w:rPr>
        <w:t>四、需要完成的工作</w:t>
      </w:r>
      <w:bookmarkEnd w:id="63"/>
    </w:p>
    <w:p w14:paraId="0262A98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4.1制造及协调</w:t>
      </w:r>
    </w:p>
    <w:p w14:paraId="3B19486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4.1.1交货期及调试验收工期</w:t>
      </w:r>
    </w:p>
    <w:p w14:paraId="4CDADEE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2026年6月底完成安装及验收，具体配合土建进度完成。</w:t>
      </w:r>
    </w:p>
    <w:p w14:paraId="5683973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招标人有可能根据工程进度对电梯进行分批排产，投标人须根据排产通知要求分批到货、配合安装、调试及试运行。</w:t>
      </w:r>
    </w:p>
    <w:p w14:paraId="1A0C1EC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所有提供设备的供货、调试、试车运作时间需服从招标人的安排，如招标人因土建等其他原因，要求将交货期、调试期适当推迟的，投标人应无条件接受。</w:t>
      </w:r>
    </w:p>
    <w:p w14:paraId="40FE798B">
      <w:pPr>
        <w:keepNext w:val="0"/>
        <w:keepLines w:val="0"/>
        <w:pageBreakBefore w:val="0"/>
        <w:widowControl w:val="0"/>
        <w:kinsoku w:val="0"/>
        <w:wordWrap/>
        <w:overflowPunct/>
        <w:topLinePunct w:val="0"/>
        <w:autoSpaceDE w:val="0"/>
        <w:autoSpaceDN w:val="0"/>
        <w:bidi w:val="0"/>
        <w:adjustRightInd/>
        <w:snapToGrid/>
        <w:spacing w:line="380" w:lineRule="exact"/>
        <w:ind w:right="-357" w:rightChars="-17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安装协调工作</w:t>
      </w:r>
    </w:p>
    <w:p w14:paraId="210BE98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中标人对调试、试运行等负责，直至拿到绍兴市特种设备检测院的验收合格报告。验收费用包含在投标总价中。</w:t>
      </w:r>
    </w:p>
    <w:p w14:paraId="79A53B8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4.1.3设备的各个部件须防火、耐压、耐用、漏电保护，易清洗及易维修，并符合有关规定。</w:t>
      </w:r>
    </w:p>
    <w:p w14:paraId="1E7915D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沟槽与通道</w:t>
      </w:r>
    </w:p>
    <w:p w14:paraId="7F68292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在墙璧、梁、地板或其它结构的所有沟槽和通道，必须根据现有土建结构开展，任何在结构内的挖掘，都须在具体施工图中标明，并提交招标人认可，经设计院确认。</w:t>
      </w:r>
    </w:p>
    <w:p w14:paraId="6804B611">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 安装管理</w:t>
      </w:r>
    </w:p>
    <w:p w14:paraId="025D184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4.1.5.1中标单位现场人员须符合国家的相关条例，服从招标人、监理单位和总包方的管理及检查，中标人须派有五年以上工作经验的工程师负责安装监督，并需在安装期内提交他们的工作报告。招标人保留有变更人员的权力。</w:t>
      </w:r>
    </w:p>
    <w:p w14:paraId="2F8D3B1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4.1.5.2安装队伍进场前，中标单位应负责自行协调其与总包单位签定总分包管理协议。</w:t>
      </w:r>
    </w:p>
    <w:p w14:paraId="6399007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4.1.5.3如因中标人原因在安装期间出现安全事故、设备事故，应由中标人承担由此而引起的全部损失。</w:t>
      </w:r>
    </w:p>
    <w:p w14:paraId="65A8978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4.1.6认可</w:t>
      </w:r>
    </w:p>
    <w:p w14:paraId="088BB8E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设备须取得有关部门认可，中标人有责任提供相关的认可文件及证书。</w:t>
      </w:r>
    </w:p>
    <w:p w14:paraId="568DA12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4.1.7保证设备在配合安装起吊、运输过程中的安全。</w:t>
      </w:r>
    </w:p>
    <w:p w14:paraId="2CAE2C9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导轨在运输、装卸和吊装过程中的防变形措施明确。</w:t>
      </w:r>
    </w:p>
    <w:p w14:paraId="4DF62FD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在安装期间，中标人配合安装单位，在安装中需要的起重、运输所需辅助设备由安装单位负责，所有这些设备都须符合安全作业要求。</w:t>
      </w:r>
    </w:p>
    <w:p w14:paraId="5F9DDE88">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4.1.8完工装潢</w:t>
      </w:r>
    </w:p>
    <w:p w14:paraId="5EA42F7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在进入完工装潢之前，所有不需要特殊装潢并且是暴露的钢制件应在表面进行除锈防腐处理，若是非暴露的零件、部件、机器等，可在制造时进行除锈、防腐蚀处理，其防腐蚀措施必须得到招标人的认可。</w:t>
      </w:r>
    </w:p>
    <w:p w14:paraId="7FBF0DED">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4.2测试和试运行</w:t>
      </w:r>
    </w:p>
    <w:p w14:paraId="44078520">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4.2.1工具、材料、仪器设备和劳务人员</w:t>
      </w:r>
    </w:p>
    <w:p w14:paraId="3487B00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中标人应派有五年以上工作经验的工程师在现场负责测试和调试，以检测其设计、制造、运行效果等。并提供所有测试和调试所需的工具、材料、仪器和劳务人员。</w:t>
      </w:r>
    </w:p>
    <w:p w14:paraId="1D0B36F1">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工程质检</w:t>
      </w:r>
    </w:p>
    <w:p w14:paraId="4CCBB69E">
      <w:pPr>
        <w:keepNext w:val="0"/>
        <w:keepLines w:val="0"/>
        <w:pageBreakBefore w:val="0"/>
        <w:widowControl w:val="0"/>
        <w:kinsoku w:val="0"/>
        <w:wordWrap/>
        <w:overflowPunct/>
        <w:topLinePunct w:val="0"/>
        <w:autoSpaceDE w:val="0"/>
        <w:autoSpaceDN w:val="0"/>
        <w:bidi w:val="0"/>
        <w:adjustRightInd/>
        <w:snapToGrid/>
        <w:spacing w:line="380" w:lineRule="exact"/>
        <w:ind w:right="-252" w:rightChars="-12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中标人必须提交施工过程中的各工序的质检计划。</w:t>
      </w:r>
    </w:p>
    <w:p w14:paraId="46EA6F7F">
      <w:pPr>
        <w:keepNext w:val="0"/>
        <w:keepLines w:val="0"/>
        <w:pageBreakBefore w:val="0"/>
        <w:widowControl w:val="0"/>
        <w:kinsoku w:val="0"/>
        <w:wordWrap/>
        <w:overflowPunct/>
        <w:topLinePunct w:val="0"/>
        <w:autoSpaceDE w:val="0"/>
        <w:autoSpaceDN w:val="0"/>
        <w:bidi w:val="0"/>
        <w:adjustRightInd/>
        <w:snapToGrid/>
        <w:spacing w:line="380" w:lineRule="exact"/>
        <w:ind w:right="-252" w:rightChars="-12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程序和表格</w:t>
      </w:r>
    </w:p>
    <w:p w14:paraId="05A4D2BF">
      <w:pPr>
        <w:keepNext w:val="0"/>
        <w:keepLines w:val="0"/>
        <w:pageBreakBefore w:val="0"/>
        <w:widowControl w:val="0"/>
        <w:kinsoku w:val="0"/>
        <w:wordWrap/>
        <w:overflowPunct/>
        <w:topLinePunct w:val="0"/>
        <w:autoSpaceDE w:val="0"/>
        <w:autoSpaceDN w:val="0"/>
        <w:bidi w:val="0"/>
        <w:adjustRightInd/>
        <w:snapToGrid/>
        <w:spacing w:line="380" w:lineRule="exact"/>
        <w:ind w:right="-252" w:rightChars="-12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中标人须在安装结束前2个星期，提交测试和调试方法及记录表格给招标人。</w:t>
      </w:r>
    </w:p>
    <w:p w14:paraId="4748C12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测试</w:t>
      </w:r>
    </w:p>
    <w:p w14:paraId="7FC0F7E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或全部测试需根据实际情况在安装期内或后进行。中标人在调试测试后5个工作日内提交测试报告给招标人。如招标人对测试报告有疑问，招标人有权指定有关部门进行测试，如所疑属实，测试费用由中标人负责，中标人负责处理问题，直至合格。如所疑不实，测试费用由招标人自负。</w:t>
      </w:r>
    </w:p>
    <w:p w14:paraId="0687D4A8">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试运行</w:t>
      </w:r>
    </w:p>
    <w:p w14:paraId="07B9DC0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设备试运行应在有关部门及招标人人员的监督下进行，此类监督不免除投标人应承担的安全质量等应有的损失和责任。</w:t>
      </w:r>
    </w:p>
    <w:p w14:paraId="2589CD60">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4.3验收</w:t>
      </w:r>
    </w:p>
    <w:p w14:paraId="6CE68C3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产品保护</w:t>
      </w:r>
    </w:p>
    <w:p w14:paraId="28160D5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工程完成后，投标人须负责全部设备的保护和清洁工作，直至设备验收合格并正常运行后为止。在过程中，如建筑结构或其它设备被损坏投标人将有责任修理或赔偿损失。</w:t>
      </w:r>
    </w:p>
    <w:p w14:paraId="34F6C1B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验收合格条件</w:t>
      </w:r>
    </w:p>
    <w:p w14:paraId="26B3C63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4.3.2.1运行结果符合产品标准和技术规格书及合同要求。底坑</w:t>
      </w:r>
      <w:r>
        <w:rPr>
          <w:rFonts w:hint="eastAsia" w:ascii="宋体" w:hAnsi="宋体" w:eastAsia="宋体" w:cs="宋体"/>
          <w:bCs/>
          <w:color w:val="auto"/>
          <w:sz w:val="21"/>
          <w:szCs w:val="21"/>
          <w:highlight w:val="none"/>
        </w:rPr>
        <w:t>须满足GB7588-2003标准中的5.7.3.3条款要求。</w:t>
      </w:r>
    </w:p>
    <w:p w14:paraId="4D6E4E6C">
      <w:pPr>
        <w:keepNext w:val="0"/>
        <w:keepLines w:val="0"/>
        <w:pageBreakBefore w:val="0"/>
        <w:widowControl w:val="0"/>
        <w:kinsoku w:val="0"/>
        <w:wordWrap/>
        <w:overflowPunct/>
        <w:topLinePunct w:val="0"/>
        <w:autoSpaceDE w:val="0"/>
        <w:autoSpaceDN w:val="0"/>
        <w:bidi w:val="0"/>
        <w:adjustRightInd/>
        <w:snapToGrid/>
        <w:spacing w:line="380" w:lineRule="exact"/>
        <w:ind w:right="-147" w:rightChars="-70" w:firstLine="420" w:firstLineChars="200"/>
        <w:textAlignment w:val="baseline"/>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4.3.2.2</w:t>
      </w:r>
      <w:r>
        <w:rPr>
          <w:rFonts w:hint="eastAsia" w:ascii="宋体" w:hAnsi="宋体" w:eastAsia="宋体" w:cs="宋体"/>
          <w:color w:val="auto"/>
          <w:spacing w:val="-10"/>
          <w:sz w:val="21"/>
          <w:szCs w:val="21"/>
          <w:highlight w:val="none"/>
        </w:rPr>
        <w:t>在进行测试和验收运行过程中发生的故障已被消除并得到招标人的认可。</w:t>
      </w:r>
    </w:p>
    <w:p w14:paraId="05E2FD1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4.3.2.3所有合同中规定的货物和材料都已提交。</w:t>
      </w:r>
    </w:p>
    <w:p w14:paraId="77D8200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4.3.2.4电梯使用之前需通过质量技术监督部门验收，并验收合格后交由招标人使用。</w:t>
      </w:r>
    </w:p>
    <w:p w14:paraId="3B360ED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4.3.2.5整套设备图纸及技术文件都已提交并得到接受。</w:t>
      </w:r>
    </w:p>
    <w:p w14:paraId="0436EE6E">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4.4售后服务</w:t>
      </w:r>
    </w:p>
    <w:p w14:paraId="76E9805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4.4.1本项目的维修保养工作必须由具有专业资质的维保公司负责。</w:t>
      </w:r>
    </w:p>
    <w:p w14:paraId="402FFB4D">
      <w:pPr>
        <w:keepNext w:val="0"/>
        <w:keepLines w:val="0"/>
        <w:pageBreakBefore w:val="0"/>
        <w:widowControl w:val="0"/>
        <w:tabs>
          <w:tab w:val="left" w:pos="900"/>
          <w:tab w:val="left" w:pos="1080"/>
        </w:tabs>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4.4.2乙方必须在项目地设有维保点（要求配置1-2名技师及相应的应急配件），可以处理所有的维修服务，且需提供24小时服务，维修人员需在接到维修电话后</w:t>
      </w:r>
      <w:r>
        <w:rPr>
          <w:rFonts w:hint="eastAsia" w:ascii="宋体" w:hAnsi="宋体" w:eastAsia="宋体" w:cs="宋体"/>
          <w:bCs/>
          <w:color w:val="auto"/>
          <w:sz w:val="21"/>
          <w:szCs w:val="21"/>
          <w:highlight w:val="none"/>
        </w:rPr>
        <w:t>1小时</w:t>
      </w:r>
      <w:r>
        <w:rPr>
          <w:rFonts w:hint="eastAsia" w:ascii="宋体" w:hAnsi="宋体" w:eastAsia="宋体" w:cs="宋体"/>
          <w:color w:val="auto"/>
          <w:sz w:val="21"/>
          <w:szCs w:val="21"/>
          <w:highlight w:val="none"/>
        </w:rPr>
        <w:t>内赶到现场，提供不间断的服务直到结束。维修点需提供足够的备件以适应招标人维修需求，如遇关人事故必须在30分钟内到现场。</w:t>
      </w:r>
    </w:p>
    <w:p w14:paraId="1F96CB7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4.4.3投标人须对合同中规定的整套电梯（含安全运行监控系统）提供24个月的质保期及免费维修和保养，时间从项目竣工验收合格之日起。</w:t>
      </w:r>
    </w:p>
    <w:p w14:paraId="1D0183B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在质量保证期内，投标人应负责修理和替换损坏的部件并承担费用，包括部件调换的内陆运输费用，急用部件应免费空运，部件或零件更换后的质量保证期为更换之日起顺延</w:t>
      </w:r>
      <w:r>
        <w:rPr>
          <w:rFonts w:hint="eastAsia" w:ascii="宋体" w:hAnsi="宋体" w:eastAsia="宋体" w:cs="宋体"/>
          <w:color w:val="auto"/>
          <w:sz w:val="21"/>
          <w:szCs w:val="21"/>
          <w:highlight w:val="none"/>
          <w:u w:val="single"/>
        </w:rPr>
        <w:t>24</w:t>
      </w:r>
      <w:r>
        <w:rPr>
          <w:rFonts w:hint="eastAsia" w:ascii="宋体" w:hAnsi="宋体" w:eastAsia="宋体" w:cs="宋体"/>
          <w:color w:val="auto"/>
          <w:sz w:val="21"/>
          <w:szCs w:val="21"/>
          <w:highlight w:val="none"/>
        </w:rPr>
        <w:t>个月。</w:t>
      </w:r>
      <w:r>
        <w:rPr>
          <w:rFonts w:hint="eastAsia" w:ascii="宋体" w:hAnsi="宋体" w:eastAsia="宋体" w:cs="宋体"/>
          <w:color w:val="auto"/>
          <w:sz w:val="21"/>
          <w:szCs w:val="21"/>
          <w:highlight w:val="none"/>
          <w:u w:val="single"/>
        </w:rPr>
        <w:t>质保期满前政府部门对电梯的年度检验所发生的费用由投标单位负责承担，将此费用含在投标报价中。</w:t>
      </w:r>
    </w:p>
    <w:p w14:paraId="557EC3C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4.4.4在</w:t>
      </w:r>
      <w:r>
        <w:rPr>
          <w:rFonts w:hint="eastAsia" w:ascii="宋体" w:hAnsi="宋体" w:eastAsia="宋体" w:cs="宋体"/>
          <w:bCs/>
          <w:color w:val="auto"/>
          <w:sz w:val="21"/>
          <w:szCs w:val="21"/>
          <w:highlight w:val="none"/>
        </w:rPr>
        <w:t>质保期内</w:t>
      </w:r>
      <w:r>
        <w:rPr>
          <w:rFonts w:hint="eastAsia" w:ascii="宋体" w:hAnsi="宋体" w:eastAsia="宋体" w:cs="宋体"/>
          <w:color w:val="auto"/>
          <w:sz w:val="21"/>
          <w:szCs w:val="21"/>
          <w:highlight w:val="none"/>
        </w:rPr>
        <w:t>的工作应包括对所有电梯</w:t>
      </w:r>
      <w:r>
        <w:rPr>
          <w:rFonts w:hint="eastAsia" w:ascii="宋体" w:hAnsi="宋体" w:eastAsia="宋体" w:cs="宋体"/>
          <w:bCs/>
          <w:color w:val="auto"/>
          <w:sz w:val="21"/>
          <w:szCs w:val="21"/>
          <w:highlight w:val="none"/>
          <w:u w:val="single"/>
        </w:rPr>
        <w:t>每月至少2次</w:t>
      </w:r>
      <w:r>
        <w:rPr>
          <w:rFonts w:hint="eastAsia" w:ascii="宋体" w:hAnsi="宋体" w:eastAsia="宋体" w:cs="宋体"/>
          <w:bCs/>
          <w:color w:val="auto"/>
          <w:sz w:val="21"/>
          <w:szCs w:val="21"/>
          <w:highlight w:val="none"/>
        </w:rPr>
        <w:t>的</w:t>
      </w:r>
      <w:r>
        <w:rPr>
          <w:rFonts w:hint="eastAsia" w:ascii="宋体" w:hAnsi="宋体" w:eastAsia="宋体" w:cs="宋体"/>
          <w:color w:val="auto"/>
          <w:sz w:val="21"/>
          <w:szCs w:val="21"/>
          <w:highlight w:val="none"/>
        </w:rPr>
        <w:t>常规检查、调整和润滑。具体的操作程序和内容须在投标时说明。每年一次安全检验。</w:t>
      </w:r>
    </w:p>
    <w:p w14:paraId="4C8BCEF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4.4.5</w:t>
      </w:r>
      <w:r>
        <w:rPr>
          <w:rFonts w:hint="eastAsia" w:ascii="宋体" w:hAnsi="宋体" w:eastAsia="宋体" w:cs="宋体"/>
          <w:b/>
          <w:bCs/>
          <w:color w:val="auto"/>
          <w:sz w:val="21"/>
          <w:szCs w:val="21"/>
          <w:highlight w:val="none"/>
        </w:rPr>
        <w:t xml:space="preserve"> </w:t>
      </w:r>
      <w:r>
        <w:rPr>
          <w:rFonts w:hint="eastAsia" w:ascii="宋体" w:hAnsi="宋体" w:eastAsia="宋体" w:cs="宋体"/>
          <w:bCs/>
          <w:color w:val="auto"/>
          <w:sz w:val="21"/>
          <w:szCs w:val="21"/>
          <w:highlight w:val="none"/>
        </w:rPr>
        <w:t>质保期内</w:t>
      </w:r>
      <w:r>
        <w:rPr>
          <w:rFonts w:hint="eastAsia" w:ascii="宋体" w:hAnsi="宋体" w:eastAsia="宋体" w:cs="宋体"/>
          <w:color w:val="auto"/>
          <w:sz w:val="21"/>
          <w:szCs w:val="21"/>
          <w:highlight w:val="none"/>
        </w:rPr>
        <w:t>投标人须自行付费，负责修理和替换任何由于设备自身的质量问题造成的损坏及故障。</w:t>
      </w:r>
    </w:p>
    <w:p w14:paraId="0358510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4.4.6在缺陷保修结束时，须由专业工程师对电梯进行另一次测试，任何故障须由中标人自费解决并取得招标人的同意。</w:t>
      </w:r>
    </w:p>
    <w:p w14:paraId="208B0C2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4.4.7修好后，中标人需一式两份报告给招标人，包括故障原因，解决措施，完成修理所费时间及恢复正常运行日期。</w:t>
      </w:r>
    </w:p>
    <w:p w14:paraId="6C042FA8">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4.4.8投标人须提供并承诺在质保期满后的维保费用：</w:t>
      </w:r>
    </w:p>
    <w:p w14:paraId="6C71A1A5">
      <w:pPr>
        <w:keepNext w:val="0"/>
        <w:keepLines w:val="0"/>
        <w:pageBreakBefore w:val="0"/>
        <w:widowControl w:val="0"/>
        <w:tabs>
          <w:tab w:val="left" w:pos="900"/>
          <w:tab w:val="left" w:pos="1080"/>
        </w:tabs>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a、电梯投运第3-5年清包价格/年（小包费）：包括电梯的维修和保养、不包括零配件等费用（即包工不包件）；</w:t>
      </w:r>
    </w:p>
    <w:p w14:paraId="409C4B15">
      <w:pPr>
        <w:keepNext w:val="0"/>
        <w:keepLines w:val="0"/>
        <w:pageBreakBefore w:val="0"/>
        <w:widowControl w:val="0"/>
        <w:tabs>
          <w:tab w:val="left" w:pos="900"/>
          <w:tab w:val="left" w:pos="1080"/>
        </w:tabs>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b、电梯投运第6-10年全包价格/年（大包费）：包括电梯的维修和保养、安全运行监控系统的信息流量费和平台使用费、零配件等费用（即包工并包所有需更换的备件费）。</w:t>
      </w:r>
    </w:p>
    <w:p w14:paraId="76838063">
      <w:pPr>
        <w:keepNext w:val="0"/>
        <w:keepLines w:val="0"/>
        <w:pageBreakBefore w:val="0"/>
        <w:widowControl w:val="0"/>
        <w:tabs>
          <w:tab w:val="left" w:pos="900"/>
          <w:tab w:val="left" w:pos="1080"/>
        </w:tabs>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其价格单列，不计入投标总价，但将作为评标因素考虑。</w:t>
      </w:r>
    </w:p>
    <w:p w14:paraId="6264976C">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4.5备件供应</w:t>
      </w:r>
    </w:p>
    <w:p w14:paraId="5C5BCDB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各种型号的设备须提供足够的备件、附件和易损件并保证是原厂生产的产品，以满足设备正常运行的需要。在电梯设备调试、试运行、指导安装、质保期满前所需的辅助材料、润滑剂、油等均需含在投标报价中，确保质保期内的使用量。在此过程中不得以任何理由向业主收取该项费用。</w:t>
      </w:r>
    </w:p>
    <w:p w14:paraId="0CEE5D03">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4.6检验和维修设备及工具</w:t>
      </w:r>
    </w:p>
    <w:p w14:paraId="1C4C84A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4.6.1 须免费提供足够的常用检修设备。推荐的检修设备须在投标文件中注明。</w:t>
      </w:r>
    </w:p>
    <w:p w14:paraId="049B3E0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4.6.2 所有测试需要的附件、零部件和中文操作维修手册应与检修设备一并免费提供。</w:t>
      </w:r>
    </w:p>
    <w:p w14:paraId="0FC092C9">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所有检修设备使用的交流电应为50Hz、220V、单相、三线，并能在±7%的压差下正常运行。</w:t>
      </w:r>
    </w:p>
    <w:p w14:paraId="78348CF9">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4.7产品质量和新技术</w:t>
      </w:r>
    </w:p>
    <w:p w14:paraId="0105E05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投标人提供的设备是高品质的，技术要求是最新的，详见招标文件技术规格和要求。</w:t>
      </w:r>
    </w:p>
    <w:p w14:paraId="347FF8DD">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4.8技术培训</w:t>
      </w:r>
    </w:p>
    <w:p w14:paraId="3F77632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4.8.1投标人须对招标人、使用方的技术操作人员4人(2人机械，2人电气)进行培训。投标人须在投标文件中提供详细的培训计划,包括培训内容、培训时间、培训费用等。</w:t>
      </w:r>
    </w:p>
    <w:p w14:paraId="1B3D082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4.8.2投标人提供的负责培训的人员应具备同类产品5年以上的维修经验。</w:t>
      </w:r>
    </w:p>
    <w:p w14:paraId="303374EC">
      <w:pPr>
        <w:pStyle w:val="3"/>
        <w:keepNext w:val="0"/>
        <w:keepLines w:val="0"/>
        <w:pageBreakBefore w:val="0"/>
        <w:widowControl w:val="0"/>
        <w:kinsoku w:val="0"/>
        <w:wordWrap/>
        <w:overflowPunct/>
        <w:topLinePunct w:val="0"/>
        <w:autoSpaceDE w:val="0"/>
        <w:autoSpaceDN w:val="0"/>
        <w:bidi w:val="0"/>
        <w:adjustRightInd/>
        <w:snapToGrid/>
        <w:spacing w:before="0" w:after="0" w:line="38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bookmarkStart w:id="64" w:name="OLE_LINK3"/>
      <w:r>
        <w:rPr>
          <w:rFonts w:hint="eastAsia" w:ascii="宋体" w:hAnsi="宋体" w:eastAsia="宋体" w:cs="宋体"/>
          <w:color w:val="auto"/>
          <w:sz w:val="21"/>
          <w:szCs w:val="21"/>
          <w:highlight w:val="none"/>
        </w:rPr>
        <w:t>招标设备</w:t>
      </w:r>
      <w:bookmarkEnd w:id="64"/>
      <w:r>
        <w:rPr>
          <w:rFonts w:hint="eastAsia" w:ascii="宋体" w:hAnsi="宋体" w:eastAsia="宋体" w:cs="宋体"/>
          <w:color w:val="auto"/>
          <w:sz w:val="21"/>
          <w:szCs w:val="21"/>
          <w:highlight w:val="none"/>
        </w:rPr>
        <w:t>需求一览表及技术规格和要求</w:t>
      </w:r>
    </w:p>
    <w:p w14:paraId="09EA2AC3">
      <w:pPr>
        <w:pStyle w:val="66"/>
        <w:keepNext w:val="0"/>
        <w:keepLines w:val="0"/>
        <w:pageBreakBefore w:val="0"/>
        <w:widowControl w:val="0"/>
        <w:kinsoku w:val="0"/>
        <w:wordWrap/>
        <w:overflowPunct/>
        <w:topLinePunct w:val="0"/>
        <w:autoSpaceDE w:val="0"/>
        <w:autoSpaceDN w:val="0"/>
        <w:bidi w:val="0"/>
        <w:adjustRightInd/>
        <w:snapToGrid/>
        <w:spacing w:afterLines="0" w:line="380" w:lineRule="exact"/>
        <w:ind w:firstLine="422" w:firstLineChars="200"/>
        <w:textAlignment w:val="baseline"/>
        <w:outlineLvl w:val="2"/>
        <w:rPr>
          <w:rFonts w:hint="eastAsia" w:ascii="宋体" w:hAnsi="宋体" w:eastAsia="宋体" w:cs="宋体"/>
          <w:b/>
          <w:color w:val="auto"/>
          <w:sz w:val="21"/>
          <w:szCs w:val="21"/>
          <w:highlight w:val="none"/>
          <w:u w:val="single"/>
          <w:lang w:val="zh-CN"/>
        </w:rPr>
      </w:pPr>
      <w:r>
        <w:rPr>
          <w:rFonts w:hint="eastAsia" w:ascii="宋体" w:hAnsi="宋体" w:eastAsia="宋体" w:cs="宋体"/>
          <w:b/>
          <w:color w:val="auto"/>
          <w:sz w:val="21"/>
          <w:szCs w:val="21"/>
          <w:highlight w:val="none"/>
          <w:u w:val="single"/>
        </w:rPr>
        <w:t>本次招标包含凤凰山高品质养老院建设工程电梯，合计垂直电梯19台，总计19台</w:t>
      </w:r>
      <w:r>
        <w:rPr>
          <w:rFonts w:hint="eastAsia" w:ascii="宋体" w:hAnsi="宋体" w:eastAsia="宋体" w:cs="宋体"/>
          <w:b/>
          <w:color w:val="auto"/>
          <w:sz w:val="21"/>
          <w:szCs w:val="21"/>
          <w:highlight w:val="none"/>
          <w:u w:val="single"/>
          <w:lang w:val="zh-CN"/>
        </w:rPr>
        <w:t>。</w:t>
      </w:r>
    </w:p>
    <w:p w14:paraId="2615A327">
      <w:pPr>
        <w:pStyle w:val="66"/>
        <w:keepNext w:val="0"/>
        <w:keepLines w:val="0"/>
        <w:pageBreakBefore w:val="0"/>
        <w:widowControl w:val="0"/>
        <w:kinsoku w:val="0"/>
        <w:wordWrap/>
        <w:overflowPunct/>
        <w:topLinePunct w:val="0"/>
        <w:autoSpaceDE w:val="0"/>
        <w:autoSpaceDN w:val="0"/>
        <w:bidi w:val="0"/>
        <w:adjustRightInd/>
        <w:snapToGrid/>
        <w:spacing w:afterLines="0" w:line="380" w:lineRule="exact"/>
        <w:ind w:firstLine="422" w:firstLineChars="200"/>
        <w:textAlignment w:val="baseline"/>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1、电梯技术规格和参数：详见图纸及附件。</w:t>
      </w:r>
    </w:p>
    <w:p w14:paraId="5B6B1840">
      <w:pPr>
        <w:pStyle w:val="66"/>
        <w:keepNext w:val="0"/>
        <w:keepLines w:val="0"/>
        <w:pageBreakBefore w:val="0"/>
        <w:widowControl w:val="0"/>
        <w:kinsoku w:val="0"/>
        <w:wordWrap/>
        <w:overflowPunct/>
        <w:topLinePunct w:val="0"/>
        <w:autoSpaceDE w:val="0"/>
        <w:autoSpaceDN w:val="0"/>
        <w:bidi w:val="0"/>
        <w:adjustRightInd/>
        <w:snapToGrid/>
        <w:spacing w:afterLines="0" w:line="380" w:lineRule="exact"/>
        <w:ind w:firstLine="422" w:firstLineChars="200"/>
        <w:textAlignment w:val="baseline"/>
        <w:outlineLvl w:val="2"/>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2、电梯装修要求</w:t>
      </w:r>
      <w:r>
        <w:rPr>
          <w:rFonts w:hint="eastAsia" w:ascii="宋体" w:hAnsi="宋体" w:eastAsia="宋体" w:cs="宋体"/>
          <w:b/>
          <w:color w:val="auto"/>
          <w:sz w:val="21"/>
          <w:szCs w:val="21"/>
          <w:highlight w:val="none"/>
        </w:rPr>
        <w:t>：详见图纸及附件。</w:t>
      </w:r>
    </w:p>
    <w:p w14:paraId="7BE00412">
      <w:pPr>
        <w:pStyle w:val="66"/>
        <w:keepNext w:val="0"/>
        <w:keepLines w:val="0"/>
        <w:pageBreakBefore w:val="0"/>
        <w:widowControl w:val="0"/>
        <w:kinsoku w:val="0"/>
        <w:wordWrap/>
        <w:overflowPunct/>
        <w:topLinePunct w:val="0"/>
        <w:autoSpaceDE w:val="0"/>
        <w:autoSpaceDN w:val="0"/>
        <w:bidi w:val="0"/>
        <w:adjustRightInd/>
        <w:snapToGrid/>
        <w:spacing w:afterLines="0" w:line="380" w:lineRule="exact"/>
        <w:ind w:firstLine="422" w:firstLineChars="200"/>
        <w:textAlignment w:val="baseline"/>
        <w:outlineLvl w:val="2"/>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5.3</w:t>
      </w:r>
      <w:r>
        <w:rPr>
          <w:rFonts w:hint="eastAsia" w:ascii="宋体" w:hAnsi="宋体" w:eastAsia="宋体" w:cs="宋体"/>
          <w:b/>
          <w:bCs/>
          <w:color w:val="auto"/>
          <w:sz w:val="21"/>
          <w:szCs w:val="21"/>
          <w:highlight w:val="none"/>
        </w:rPr>
        <w:t>、电梯</w:t>
      </w:r>
      <w:r>
        <w:rPr>
          <w:rFonts w:hint="eastAsia" w:ascii="宋体" w:hAnsi="宋体" w:eastAsia="宋体" w:cs="宋体"/>
          <w:b/>
          <w:color w:val="auto"/>
          <w:sz w:val="21"/>
          <w:szCs w:val="21"/>
          <w:highlight w:val="none"/>
        </w:rPr>
        <w:t>技术性能指标</w:t>
      </w:r>
      <w:r>
        <w:rPr>
          <w:rFonts w:hint="eastAsia" w:ascii="宋体" w:hAnsi="宋体" w:eastAsia="宋体" w:cs="宋体"/>
          <w:b/>
          <w:bCs/>
          <w:color w:val="auto"/>
          <w:sz w:val="21"/>
          <w:szCs w:val="21"/>
          <w:highlight w:val="none"/>
        </w:rPr>
        <w:t>要求</w:t>
      </w:r>
      <w:r>
        <w:rPr>
          <w:rFonts w:hint="eastAsia" w:ascii="宋体" w:hAnsi="宋体" w:eastAsia="宋体" w:cs="宋体"/>
          <w:b/>
          <w:color w:val="auto"/>
          <w:sz w:val="21"/>
          <w:szCs w:val="21"/>
          <w:highlight w:val="none"/>
        </w:rPr>
        <w:t>：详见图纸及附件。</w:t>
      </w:r>
    </w:p>
    <w:p w14:paraId="6E3ED43C">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5.4</w:t>
      </w:r>
      <w:r>
        <w:rPr>
          <w:rFonts w:hint="eastAsia" w:ascii="宋体" w:hAnsi="宋体" w:eastAsia="宋体" w:cs="宋体"/>
          <w:b/>
          <w:color w:val="auto"/>
          <w:sz w:val="21"/>
          <w:szCs w:val="21"/>
          <w:highlight w:val="none"/>
        </w:rPr>
        <w:t>、电梯主要功能和安全设备或功能：详见图纸及附件。</w:t>
      </w:r>
    </w:p>
    <w:p w14:paraId="4DE42E5F">
      <w:pPr>
        <w:pStyle w:val="59"/>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textAlignment w:val="baseline"/>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5.5</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垂梯的一般技术要求</w:t>
      </w:r>
    </w:p>
    <w:p w14:paraId="1583FD42">
      <w:pPr>
        <w:pStyle w:val="59"/>
        <w:keepNext w:val="0"/>
        <w:keepLines w:val="0"/>
        <w:pageBreakBefore w:val="0"/>
        <w:widowControl w:val="0"/>
        <w:kinsoku w:val="0"/>
        <w:wordWrap/>
        <w:overflowPunct/>
        <w:topLinePunct w:val="0"/>
        <w:autoSpaceDE w:val="0"/>
        <w:autoSpaceDN w:val="0"/>
        <w:bidi w:val="0"/>
        <w:adjustRightInd/>
        <w:snapToGrid/>
        <w:spacing w:line="38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.1电梯的工作情况</w:t>
      </w:r>
    </w:p>
    <w:p w14:paraId="3891B46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投标人提供的产品及服务须适应本招标文件所有条款，并运转顺利、正常、可靠。</w:t>
      </w:r>
    </w:p>
    <w:p w14:paraId="402D911A">
      <w:pPr>
        <w:pStyle w:val="59"/>
        <w:keepNext w:val="0"/>
        <w:keepLines w:val="0"/>
        <w:pageBreakBefore w:val="0"/>
        <w:widowControl w:val="0"/>
        <w:kinsoku w:val="0"/>
        <w:wordWrap/>
        <w:overflowPunct/>
        <w:topLinePunct w:val="0"/>
        <w:autoSpaceDE w:val="0"/>
        <w:autoSpaceDN w:val="0"/>
        <w:bidi w:val="0"/>
        <w:adjustRightInd/>
        <w:snapToGrid/>
        <w:spacing w:line="38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.2可靠性要求</w:t>
      </w:r>
    </w:p>
    <w:p w14:paraId="3D3F5082">
      <w:pPr>
        <w:pStyle w:val="59"/>
        <w:keepNext w:val="0"/>
        <w:keepLines w:val="0"/>
        <w:pageBreakBefore w:val="0"/>
        <w:widowControl w:val="0"/>
        <w:numPr>
          <w:ilvl w:val="0"/>
          <w:numId w:val="3"/>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要求连续工作每天24小时，全年365天。</w:t>
      </w:r>
    </w:p>
    <w:p w14:paraId="2B063868">
      <w:pPr>
        <w:pStyle w:val="59"/>
        <w:keepNext w:val="0"/>
        <w:keepLines w:val="0"/>
        <w:pageBreakBefore w:val="0"/>
        <w:widowControl w:val="0"/>
        <w:numPr>
          <w:ilvl w:val="0"/>
          <w:numId w:val="3"/>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电梯的使用寿命不少于20年，在投入使用20年内，制造商能保证配件的供应。</w:t>
      </w:r>
    </w:p>
    <w:p w14:paraId="224727F8">
      <w:pPr>
        <w:pStyle w:val="59"/>
        <w:keepNext w:val="0"/>
        <w:keepLines w:val="0"/>
        <w:pageBreakBefore w:val="0"/>
        <w:widowControl w:val="0"/>
        <w:numPr>
          <w:ilvl w:val="1"/>
          <w:numId w:val="4"/>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电梯技术指标要求</w:t>
      </w:r>
    </w:p>
    <w:p w14:paraId="1DE4D3BF">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平层精度：≤±3mm。</w:t>
      </w:r>
    </w:p>
    <w:p w14:paraId="6170FEDE">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电梯的平衡系数：40％～50％。</w:t>
      </w:r>
    </w:p>
    <w:p w14:paraId="303A6424">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运行故障：电梯每运行一年</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每起制动运行60000次失效(故障)次数不应超过2次，每次失效(故障)修复时间不应超过1h。</w:t>
      </w:r>
    </w:p>
    <w:p w14:paraId="74550FB9">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控制柜失效(故障)：电梯每起制动运行在一年内控制柜失效(故障)次数不应超过2次。</w:t>
      </w:r>
    </w:p>
    <w:p w14:paraId="0D2ADD6E">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噪声指数：轿内≤55dB（A）、开关门≤58dB（A），机房≤75dB。</w:t>
      </w:r>
    </w:p>
    <w:p w14:paraId="449540F2">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在确定认可的材质、工艺要求前提下，其外观质量和舒适感应有可比性的优越。</w:t>
      </w:r>
    </w:p>
    <w:p w14:paraId="10AC3CFB">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振动加速度：垂直≤120mm/s2，水平≤100mm/s2。</w:t>
      </w:r>
    </w:p>
    <w:p w14:paraId="12F327D7">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起制动加速度：垂直≥0.5m/s2，最大≤1.5m/s2。</w:t>
      </w:r>
    </w:p>
    <w:p w14:paraId="352A0B5C">
      <w:pPr>
        <w:pStyle w:val="59"/>
        <w:keepNext w:val="0"/>
        <w:keepLines w:val="0"/>
        <w:pageBreakBefore w:val="0"/>
        <w:widowControl w:val="0"/>
        <w:numPr>
          <w:ilvl w:val="0"/>
          <w:numId w:val="5"/>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称重装置误差：≤±1%。</w:t>
      </w:r>
    </w:p>
    <w:p w14:paraId="65091C6A">
      <w:pPr>
        <w:pStyle w:val="59"/>
        <w:keepNext w:val="0"/>
        <w:keepLines w:val="0"/>
        <w:pageBreakBefore w:val="0"/>
        <w:widowControl w:val="0"/>
        <w:numPr>
          <w:ilvl w:val="1"/>
          <w:numId w:val="4"/>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电梯配置要求（应包括但不限于或更优于下列条件）</w:t>
      </w:r>
    </w:p>
    <w:p w14:paraId="4A92D237">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投标电梯产品采用最新的可靠微处理器技术具有高效率、和舒适平稳的驱动性能，具有变频器能源再生功能和便于维修保养的故障诊断系统。</w:t>
      </w:r>
    </w:p>
    <w:p w14:paraId="67E86BF4">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机整机：采用高效节能具有良好动力特性的先进的永磁同步无齿轮曳引机，具备高效曳引能力、优越的舒适感、全面的降噪设计、出色的使用寿命和节约机房空间。要求与电梯同品牌（生产厂家为投标品牌）。</w:t>
      </w:r>
    </w:p>
    <w:p w14:paraId="4C0ADD66">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控制柜整柜：采用先进的串行通讯模块全电脑控制系统，微电脑双32位控制与模块化控制。要求与电梯同品牌（生产厂家为投标品牌）。</w:t>
      </w:r>
    </w:p>
    <w:p w14:paraId="37B13384">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门机整机：采用VVVF控制技术的全电脑控制的变频器门机，具备开关门力矩检测装置和采用光幕形式多重保护装置。要求整机与电梯同品牌（生产厂家为投标品牌）。</w:t>
      </w:r>
    </w:p>
    <w:p w14:paraId="6CFACD18">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电梯机房：要求按相关规范布置。</w:t>
      </w:r>
    </w:p>
    <w:p w14:paraId="0B1C614A">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在招标人提供的井道平面尺寸基础上，提供最大标准的轿厢，要求连接紧固，抗变形能力强，符合并高于国家安全标准。轿厢上下设置通风孔，轿厢净高不小于2.5米，轿厢采用亮丽型吊顶，轿厢后壁采用304镜面不锈钢，轿厢前壁和侧壁采用304发纹不锈钢，</w:t>
      </w:r>
      <w:r>
        <w:rPr>
          <w:rFonts w:hint="eastAsia" w:ascii="宋体" w:hAnsi="宋体" w:eastAsia="宋体" w:cs="宋体"/>
          <w:color w:val="auto"/>
          <w:sz w:val="21"/>
          <w:szCs w:val="21"/>
          <w:highlight w:val="none"/>
          <w:lang w:val="en-US" w:eastAsia="zh-CN"/>
        </w:rPr>
        <w:t>轿厢（除餐梯）的三面壁上设置高0.85-0.9m的扶手，</w:t>
      </w:r>
      <w:r>
        <w:rPr>
          <w:rFonts w:hint="eastAsia" w:ascii="宋体" w:hAnsi="宋体" w:eastAsia="宋体" w:cs="宋体"/>
          <w:color w:val="auto"/>
          <w:sz w:val="21"/>
          <w:szCs w:val="21"/>
          <w:highlight w:val="none"/>
        </w:rPr>
        <w:t>地面耐磨PVC地板或采用大理石，耐磨PVC地板、大理石、吊顶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扶手</w:t>
      </w:r>
      <w:r>
        <w:rPr>
          <w:rFonts w:hint="eastAsia" w:ascii="宋体" w:hAnsi="宋体" w:eastAsia="宋体" w:cs="宋体"/>
          <w:sz w:val="21"/>
          <w:szCs w:val="21"/>
          <w:highlight w:val="none"/>
        </w:rPr>
        <w:t>厂家提供样册，由业主在样本范围内任意选择。</w:t>
      </w:r>
    </w:p>
    <w:p w14:paraId="3907A57F">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电梯轿厢空调：除餐梯以外的所有电梯需配备1匹的单制冷空调，投标单位在投标文件中提供规格型号，并要求采用知名品牌。</w:t>
      </w:r>
    </w:p>
    <w:p w14:paraId="4ECBFFF4">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轿厢内操作面板：要求设有内层数显示器（具体要求与外层数显示器相同）、时显示。箭头式运行方向指示器须对应轿厢准备或正在运动的方向始终实时显示。提供给乘客方便的操作和显示电梯的主要运行状态。轿厢操作盘所有按钮都要制造成能够承受乘客的频繁使用。</w:t>
      </w:r>
    </w:p>
    <w:p w14:paraId="553F4456">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轿门：要求开关门时间短，灵活，安静快捷，材质采用304发纹不锈钢。具备高于国家标准的抗冲击能力和防扒开装置。</w:t>
      </w:r>
    </w:p>
    <w:p w14:paraId="70ECAC51">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光幕保护装置：要求射线上下端满至于门顶和门底，具备感应灵敏、平稳、抗干扰能力，光束≥154束。要求采用知名品牌。</w:t>
      </w:r>
    </w:p>
    <w:p w14:paraId="58A70B79">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层门（厅门）：安静快捷，采用304发纹不锈钢镀玫瑰金，具备高于国家标准的抗冲击能力和防扒开装置，满足消防规范耐火极限（不应低于2.0H）及等级要求。</w:t>
      </w:r>
    </w:p>
    <w:p w14:paraId="50CECD3F">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导轨：T形耐磨导轨，抗变形能力强，配重。</w:t>
      </w:r>
    </w:p>
    <w:p w14:paraId="125E07A9">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对重装置：对重架要求制作精密，抗变形能力强，符合国家安全标准。采用滑动式导靴，对重铁不得采用工业废料，应符合环保要求。</w:t>
      </w:r>
    </w:p>
    <w:p w14:paraId="3AB160E5">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随行电缆：要求采用电梯专用电缆，能满足规范要求。</w:t>
      </w:r>
    </w:p>
    <w:p w14:paraId="0382F630">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井道照明：设置井道照明。</w:t>
      </w:r>
    </w:p>
    <w:p w14:paraId="0E42757F">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限速器：要求采用高效耐用，使用寿命较长的限速器。垂直电梯要求采用知名品牌。</w:t>
      </w:r>
    </w:p>
    <w:p w14:paraId="4F3E2752">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安全钳：要求采用渐近式安全钳。垂直电梯要求采用知名品牌。</w:t>
      </w:r>
    </w:p>
    <w:p w14:paraId="4BC6650F">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门锁装置：采用电梯专用门锁，基站设在一层，并且要求锁梯后显示面板具有相应文字显示。</w:t>
      </w:r>
    </w:p>
    <w:p w14:paraId="53F936E6">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所有电梯，均需设置楼层显示。</w:t>
      </w:r>
    </w:p>
    <w:p w14:paraId="437D42BB">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群控电梯要求每台都能实现独立模式。</w:t>
      </w:r>
    </w:p>
    <w:p w14:paraId="296CA775">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缓冲器、轿厢上行保护装置、悬挂装置：按规范要求设置。</w:t>
      </w:r>
    </w:p>
    <w:p w14:paraId="74B1364C">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传动电机：采用VVVF型式。</w:t>
      </w:r>
    </w:p>
    <w:p w14:paraId="6B105FD3">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无障碍电梯需配置轿厢三面扶手，残疾人操纵箱，盲文按钮，语音报站，轿厢后壁镜面不锈钢。</w:t>
      </w:r>
    </w:p>
    <w:p w14:paraId="5F2B62E1">
      <w:pPr>
        <w:pStyle w:val="59"/>
        <w:keepNext w:val="0"/>
        <w:keepLines w:val="0"/>
        <w:pageBreakBefore w:val="0"/>
        <w:widowControl w:val="0"/>
        <w:numPr>
          <w:ilvl w:val="0"/>
          <w:numId w:val="6"/>
        </w:numPr>
        <w:kinsoku w:val="0"/>
        <w:wordWrap/>
        <w:overflowPunct/>
        <w:topLinePunct w:val="0"/>
        <w:autoSpaceDE w:val="0"/>
        <w:autoSpaceDN w:val="0"/>
        <w:bidi w:val="0"/>
        <w:adjustRightInd/>
        <w:snapToGrid/>
        <w:spacing w:line="380" w:lineRule="exact"/>
        <w:ind w:lef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投标人所投电梯须具有物联网功能，并提供RS485接口。</w:t>
      </w:r>
    </w:p>
    <w:p w14:paraId="335E39C5">
      <w:pPr>
        <w:keepNext w:val="0"/>
        <w:keepLines w:val="0"/>
        <w:pageBreakBefore w:val="0"/>
        <w:widowControl w:val="0"/>
        <w:kinsoku w:val="0"/>
        <w:wordWrap/>
        <w:overflowPunct/>
        <w:topLinePunct w:val="0"/>
        <w:autoSpaceDE w:val="0"/>
        <w:autoSpaceDN w:val="0"/>
        <w:bidi w:val="0"/>
        <w:adjustRightInd/>
        <w:snapToGrid/>
        <w:spacing w:line="380" w:lineRule="exact"/>
        <w:ind w:firstLine="422" w:firstLineChars="200"/>
        <w:contextualSpacing/>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5.6</w:t>
      </w:r>
      <w:r>
        <w:rPr>
          <w:rFonts w:hint="eastAsia" w:ascii="宋体" w:hAnsi="宋体" w:eastAsia="宋体" w:cs="宋体"/>
          <w:b/>
          <w:color w:val="auto"/>
          <w:sz w:val="21"/>
          <w:szCs w:val="21"/>
          <w:highlight w:val="none"/>
        </w:rPr>
        <w:t>、品牌推荐表（</w:t>
      </w:r>
      <w:r>
        <w:rPr>
          <w:rFonts w:hint="eastAsia" w:ascii="宋体" w:hAnsi="宋体" w:eastAsia="宋体" w:cs="宋体"/>
          <w:b/>
          <w:color w:val="auto"/>
          <w:sz w:val="21"/>
          <w:szCs w:val="21"/>
          <w:highlight w:val="none"/>
          <w:lang w:val="en-US" w:eastAsia="zh-CN"/>
        </w:rPr>
        <w:t>参照</w:t>
      </w:r>
      <w:r>
        <w:rPr>
          <w:rFonts w:hint="eastAsia" w:ascii="宋体" w:hAnsi="宋体" w:eastAsia="宋体" w:cs="宋体"/>
          <w:b/>
          <w:color w:val="auto"/>
          <w:sz w:val="21"/>
          <w:szCs w:val="21"/>
          <w:highlight w:val="none"/>
        </w:rPr>
        <w:t xml:space="preserve">或更优） </w:t>
      </w:r>
    </w:p>
    <w:tbl>
      <w:tblPr>
        <w:tblStyle w:val="30"/>
        <w:tblW w:w="8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4"/>
        <w:gridCol w:w="6242"/>
      </w:tblGrid>
      <w:tr w14:paraId="606E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64" w:type="dxa"/>
            <w:noWrap w:val="0"/>
            <w:vAlign w:val="center"/>
          </w:tcPr>
          <w:p w14:paraId="347B3EDC">
            <w:pPr>
              <w:keepNext w:val="0"/>
              <w:keepLines w:val="0"/>
              <w:pageBreakBefore w:val="0"/>
              <w:widowControl w:val="0"/>
              <w:kinsoku w:val="0"/>
              <w:wordWrap/>
              <w:overflowPunct/>
              <w:topLinePunct w:val="0"/>
              <w:autoSpaceDE w:val="0"/>
              <w:autoSpaceDN w:val="0"/>
              <w:bidi w:val="0"/>
              <w:adjustRightInd/>
              <w:snapToGrid/>
              <w:spacing w:line="38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垂直电梯</w:t>
            </w:r>
          </w:p>
          <w:p w14:paraId="79D98A44">
            <w:pPr>
              <w:keepNext w:val="0"/>
              <w:keepLines w:val="0"/>
              <w:pageBreakBefore w:val="0"/>
              <w:widowControl w:val="0"/>
              <w:kinsoku w:val="0"/>
              <w:wordWrap/>
              <w:overflowPunct/>
              <w:topLinePunct w:val="0"/>
              <w:autoSpaceDE w:val="0"/>
              <w:autoSpaceDN w:val="0"/>
              <w:bidi w:val="0"/>
              <w:adjustRightInd/>
              <w:snapToGrid/>
              <w:spacing w:line="38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（无机房、有机房）</w:t>
            </w:r>
          </w:p>
        </w:tc>
        <w:tc>
          <w:tcPr>
            <w:tcW w:w="6242" w:type="dxa"/>
            <w:noWrap w:val="0"/>
            <w:vAlign w:val="center"/>
          </w:tcPr>
          <w:p w14:paraId="203CB5A0">
            <w:pPr>
              <w:pStyle w:val="59"/>
              <w:keepNext w:val="0"/>
              <w:keepLines w:val="0"/>
              <w:pageBreakBefore w:val="0"/>
              <w:widowControl w:val="0"/>
              <w:numPr>
                <w:ilvl w:val="1"/>
                <w:numId w:val="0"/>
              </w:numPr>
              <w:kinsoku w:val="0"/>
              <w:wordWrap/>
              <w:overflowPunct/>
              <w:topLinePunct w:val="0"/>
              <w:autoSpaceDE w:val="0"/>
              <w:autoSpaceDN w:val="0"/>
              <w:bidi w:val="0"/>
              <w:adjustRightInd/>
              <w:snapToGrid/>
              <w:spacing w:line="38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lang w:val="en-US" w:eastAsia="zh-CN" w:bidi="ar-SA"/>
              </w:rPr>
              <w:t>①</w:t>
            </w:r>
            <w:r>
              <w:rPr>
                <w:rFonts w:hint="eastAsia" w:ascii="宋体" w:hAnsi="宋体" w:eastAsia="宋体" w:cs="宋体"/>
                <w:color w:val="auto"/>
                <w:sz w:val="21"/>
                <w:szCs w:val="21"/>
                <w:highlight w:val="none"/>
              </w:rPr>
              <w:t>日立、</w:t>
            </w:r>
            <w:r>
              <w:rPr>
                <w:rFonts w:hint="eastAsia" w:ascii="宋体" w:hAnsi="宋体" w:eastAsia="宋体" w:cs="宋体"/>
                <w:snapToGrid w:val="0"/>
                <w:color w:val="auto"/>
                <w:sz w:val="21"/>
                <w:szCs w:val="21"/>
                <w:highlight w:val="none"/>
                <w:lang w:val="en-US" w:eastAsia="zh-CN" w:bidi="ar-SA"/>
              </w:rPr>
              <w:t>②</w:t>
            </w:r>
            <w:r>
              <w:rPr>
                <w:rFonts w:hint="eastAsia" w:ascii="宋体" w:hAnsi="宋体" w:eastAsia="宋体" w:cs="宋体"/>
                <w:color w:val="auto"/>
                <w:sz w:val="21"/>
                <w:szCs w:val="21"/>
                <w:highlight w:val="none"/>
              </w:rPr>
              <w:t>蒂升、</w:t>
            </w:r>
            <w:r>
              <w:rPr>
                <w:rFonts w:hint="eastAsia" w:ascii="宋体" w:hAnsi="宋体" w:eastAsia="宋体" w:cs="宋体"/>
                <w:snapToGrid w:val="0"/>
                <w:color w:val="auto"/>
                <w:sz w:val="21"/>
                <w:szCs w:val="21"/>
                <w:highlight w:val="none"/>
                <w:lang w:val="en-US" w:eastAsia="zh-CN" w:bidi="ar-SA"/>
              </w:rPr>
              <w:t>③</w:t>
            </w:r>
            <w:r>
              <w:rPr>
                <w:rFonts w:hint="eastAsia" w:ascii="宋体" w:hAnsi="宋体" w:eastAsia="宋体" w:cs="宋体"/>
                <w:color w:val="auto"/>
                <w:sz w:val="21"/>
                <w:szCs w:val="21"/>
                <w:highlight w:val="none"/>
              </w:rPr>
              <w:t>奥的斯（中国）</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或同档次及以上品牌</w:t>
            </w:r>
          </w:p>
        </w:tc>
      </w:tr>
    </w:tbl>
    <w:p w14:paraId="44DB047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5.7</w:t>
      </w:r>
      <w:r>
        <w:rPr>
          <w:rFonts w:hint="eastAsia" w:ascii="宋体" w:hAnsi="宋体" w:eastAsia="宋体" w:cs="宋体"/>
          <w:color w:val="auto"/>
          <w:sz w:val="21"/>
          <w:szCs w:val="21"/>
          <w:highlight w:val="none"/>
        </w:rPr>
        <w:t>、电梯质量保证期：</w:t>
      </w:r>
      <w:r>
        <w:rPr>
          <w:rFonts w:hint="eastAsia" w:ascii="宋体" w:hAnsi="宋体" w:eastAsia="宋体" w:cs="宋体"/>
          <w:color w:val="auto"/>
          <w:sz w:val="21"/>
          <w:szCs w:val="21"/>
          <w:highlight w:val="none"/>
          <w:lang w:val="en-US" w:eastAsia="zh-CN"/>
        </w:rPr>
        <w:t>从项目</w:t>
      </w:r>
      <w:r>
        <w:rPr>
          <w:rFonts w:hint="eastAsia" w:ascii="宋体" w:hAnsi="宋体" w:eastAsia="宋体" w:cs="宋体"/>
          <w:color w:val="auto"/>
          <w:sz w:val="21"/>
          <w:szCs w:val="21"/>
          <w:highlight w:val="none"/>
        </w:rPr>
        <w:t xml:space="preserve">整体竣工验收合格之日起24个月。   </w:t>
      </w:r>
    </w:p>
    <w:p w14:paraId="1F49997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5.8</w:t>
      </w:r>
      <w:r>
        <w:rPr>
          <w:rFonts w:hint="eastAsia" w:ascii="宋体" w:hAnsi="宋体" w:eastAsia="宋体" w:cs="宋体"/>
          <w:color w:val="auto"/>
          <w:sz w:val="21"/>
          <w:szCs w:val="21"/>
          <w:highlight w:val="none"/>
        </w:rPr>
        <w:t>、其他要求</w:t>
      </w:r>
    </w:p>
    <w:p w14:paraId="3E0CECF1">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任何合理化建议或技术偏离，可专列章节说明，供业主方参考。</w:t>
      </w:r>
    </w:p>
    <w:p w14:paraId="55024B2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推荐产品应特别详细描述、说明整个电梯设备安装施工环节的处理方法、注意事项、规范、以及详细的施工、网络组织图；</w:t>
      </w:r>
    </w:p>
    <w:p w14:paraId="44ED1F13">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同采购人签订了设备供货合同后，须按建设进度要求提供下列资料（一式六份）：系统图、布置方案图、电路图、接线图、设计图、装配图、井道尺寸剖面图及其他有必要提供的其他文件和技术资料。业主方和代建方将进行图纸审查，内容包括：</w:t>
      </w:r>
    </w:p>
    <w:p w14:paraId="22F6E4D5">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1.所有对土建的要求符合现有的实际情况，包括荷载、打孔位置和尺寸、预埋件、吊装预留孔、吊装荷载、通道、预埋沟地基和用于固定的一些细节等；</w:t>
      </w:r>
    </w:p>
    <w:p w14:paraId="2EE4E276">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2.主要设备和装置额定值、外形、尺寸、表面装饰、维修、更换、安装方法等；</w:t>
      </w:r>
    </w:p>
    <w:p w14:paraId="4000FC87">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3.与其他设备的连接示意图及工作范围（例，防火系统、电气设备等）；</w:t>
      </w:r>
    </w:p>
    <w:p w14:paraId="0D229496">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4.主要设备的交货程序，外形尺寸、重量和预留吊装位置和吊勾；</w:t>
      </w:r>
    </w:p>
    <w:p w14:paraId="1F7886BE">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5.主要设备的电源负荷和通风降温要求；</w:t>
      </w:r>
    </w:p>
    <w:p w14:paraId="7CFEDE5F">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如果有任何图纸未被认可，须由供货方按招标人建议做好修改，并再次送审直到认可。</w:t>
      </w:r>
    </w:p>
    <w:p w14:paraId="7989EF62">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生效后，中标人在执行合同工程中，有责任完成与土建、安装公司及其他公司之间的技术协调，并对工作作出书面的计划，该计划还应取得采购人的书面同意和安排。如果发生争议，经协商一致后，各方都应遵守，并不得籍此要求增加费用或延长工期。</w:t>
      </w:r>
    </w:p>
    <w:p w14:paraId="7496CBFA">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中标人须在完成合同范围的安装和调试工作后，两星期内提交所有相关的安装记录和工序验收记录，并且在一个月内编写并提交竣工图。</w:t>
      </w:r>
    </w:p>
    <w:p w14:paraId="56EF9844">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这部份技术要求（规格）书只是对设备的一些原则性要求，并不是详尽的要求，供应商有责任对设计符合技术规范、标准负责。中标人应对投标内容所涉及的专利承担责任，并负责保护业主方的利益不受任何损害。一切由于文字、商标、技术和软件制作专利引起的法律裁决、诉讼和费用均与业主方无关。</w:t>
      </w:r>
    </w:p>
    <w:p w14:paraId="4E3EB0F3">
      <w:pPr>
        <w:pStyle w:val="22"/>
        <w:keepNext w:val="0"/>
        <w:keepLines w:val="0"/>
        <w:pageBreakBefore w:val="0"/>
        <w:widowControl w:val="0"/>
        <w:kinsoku w:val="0"/>
        <w:wordWrap/>
        <w:overflowPunct/>
        <w:topLinePunct w:val="0"/>
        <w:autoSpaceDE w:val="0"/>
        <w:autoSpaceDN w:val="0"/>
        <w:bidi w:val="0"/>
        <w:adjustRightInd/>
        <w:snapToGrid/>
        <w:spacing w:after="0" w:line="380" w:lineRule="exact"/>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合同签订前要求供货单位现场勘察；然后完善确认好电梯部位的设计图纸。</w:t>
      </w:r>
    </w:p>
    <w:p w14:paraId="141221AB">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主方提供的设计图纸和内容，后续有可能进行局部修改，中标人应根据修改后的图纸，相应地改变自己的施工方案；对照清单中电梯的井道尺寸、底坑深度、顶层高度基本已不能改变，但如招标单位或设计明确需要调整的，中标单位需无条件根据情况进行配合相应设备方面的调整。</w:t>
      </w:r>
    </w:p>
    <w:p w14:paraId="0496C5ED">
      <w:pPr>
        <w:keepNext w:val="0"/>
        <w:keepLines w:val="0"/>
        <w:pageBreakBefore w:val="0"/>
        <w:widowControl w:val="0"/>
        <w:kinsoku w:val="0"/>
        <w:wordWrap/>
        <w:overflowPunct/>
        <w:topLinePunct w:val="0"/>
        <w:autoSpaceDE w:val="0"/>
        <w:autoSpaceDN w:val="0"/>
        <w:bidi w:val="0"/>
        <w:adjustRightInd/>
        <w:snapToGrid/>
        <w:spacing w:line="380" w:lineRule="exact"/>
        <w:ind w:firstLine="420" w:firstLineChars="200"/>
        <w:textAlignment w:val="baseline"/>
        <w:rPr>
          <w:rFonts w:ascii="黑体" w:eastAsia="黑体"/>
          <w:color w:val="auto"/>
          <w:sz w:val="32"/>
          <w:szCs w:val="32"/>
          <w:highlight w:val="none"/>
        </w:rPr>
      </w:pPr>
      <w:r>
        <w:rPr>
          <w:rFonts w:hint="eastAsia" w:ascii="宋体" w:hAnsi="宋体" w:eastAsia="宋体" w:cs="宋体"/>
          <w:color w:val="auto"/>
          <w:sz w:val="21"/>
          <w:szCs w:val="21"/>
          <w:highlight w:val="none"/>
        </w:rPr>
        <w:t>电梯安装为交钥匙工程，报价即为电梯设备、安装等全部费用，纳入施工总承包工程款支付中按本次采购合同中付款方式转付给电梯中标单位。</w:t>
      </w:r>
    </w:p>
    <w:p w14:paraId="7EF55101">
      <w:pPr>
        <w:spacing w:line="500" w:lineRule="exact"/>
        <w:rPr>
          <w:rFonts w:ascii="黑体" w:eastAsia="黑体"/>
          <w:color w:val="auto"/>
          <w:sz w:val="32"/>
          <w:szCs w:val="32"/>
          <w:highlight w:val="none"/>
        </w:rPr>
        <w:sectPr>
          <w:pgSz w:w="11906" w:h="16838"/>
          <w:pgMar w:top="1440" w:right="1800" w:bottom="1440" w:left="1800" w:header="720" w:footer="720" w:gutter="0"/>
          <w:pgNumType w:fmt="decimal"/>
          <w:cols w:space="720" w:num="1"/>
          <w:docGrid w:type="lines" w:linePitch="312" w:charSpace="0"/>
        </w:sectPr>
      </w:pPr>
    </w:p>
    <w:tbl>
      <w:tblPr>
        <w:tblStyle w:val="30"/>
        <w:tblW w:w="5000" w:type="pct"/>
        <w:tblInd w:w="0" w:type="dxa"/>
        <w:tblLayout w:type="fixed"/>
        <w:tblCellMar>
          <w:top w:w="0" w:type="dxa"/>
          <w:left w:w="108" w:type="dxa"/>
          <w:bottom w:w="0" w:type="dxa"/>
          <w:right w:w="108" w:type="dxa"/>
        </w:tblCellMar>
      </w:tblPr>
      <w:tblGrid>
        <w:gridCol w:w="1132"/>
        <w:gridCol w:w="5740"/>
        <w:gridCol w:w="7302"/>
      </w:tblGrid>
      <w:tr w14:paraId="1A3C72C7">
        <w:tblPrEx>
          <w:tblCellMar>
            <w:top w:w="0" w:type="dxa"/>
            <w:left w:w="108" w:type="dxa"/>
            <w:bottom w:w="0" w:type="dxa"/>
            <w:right w:w="108" w:type="dxa"/>
          </w:tblCellMar>
        </w:tblPrEx>
        <w:trPr>
          <w:trHeight w:val="737" w:hRule="atLeast"/>
        </w:trPr>
        <w:tc>
          <w:tcPr>
            <w:tcW w:w="5000" w:type="pct"/>
            <w:gridSpan w:val="3"/>
            <w:tcBorders>
              <w:top w:val="nil"/>
              <w:left w:val="nil"/>
              <w:bottom w:val="nil"/>
              <w:right w:val="nil"/>
            </w:tcBorders>
            <w:shd w:val="clear" w:color="auto" w:fill="auto"/>
            <w:noWrap/>
            <w:vAlign w:val="center"/>
          </w:tcPr>
          <w:p w14:paraId="2431815C">
            <w:pPr>
              <w:pStyle w:val="21"/>
              <w:spacing w:line="250" w:lineRule="exact"/>
              <w:jc w:val="left"/>
              <w:rPr>
                <w:rFonts w:hint="eastAsia" w:ascii="等线" w:hAnsi="等线" w:eastAsia="等线" w:cs="等线"/>
                <w:i/>
                <w:iCs/>
                <w:color w:val="auto"/>
                <w:sz w:val="24"/>
                <w:szCs w:val="24"/>
                <w:highlight w:val="none"/>
                <w:u w:val="single"/>
              </w:rPr>
            </w:pPr>
            <w:r>
              <w:rPr>
                <w:rFonts w:hint="eastAsia"/>
                <w:color w:val="auto"/>
                <w:highlight w:val="none"/>
              </w:rPr>
              <w:t>附1：</w:t>
            </w:r>
            <w:r>
              <w:rPr>
                <w:rFonts w:hint="eastAsia" w:ascii="仿宋" w:hAnsi="仿宋" w:eastAsia="仿宋" w:cs="仿宋"/>
                <w:b w:val="0"/>
                <w:bCs w:val="0"/>
                <w:i/>
                <w:iCs/>
                <w:color w:val="auto"/>
                <w:kern w:val="2"/>
                <w:highlight w:val="none"/>
                <w:u w:val="single"/>
              </w:rPr>
              <w:t xml:space="preserve">施工界面              </w:t>
            </w:r>
            <w:r>
              <w:rPr>
                <w:rFonts w:hint="eastAsia" w:ascii="等线" w:hAnsi="等线" w:eastAsia="等线" w:cs="等线"/>
                <w:i/>
                <w:iCs/>
                <w:color w:val="auto"/>
                <w:kern w:val="0"/>
                <w:highlight w:val="none"/>
                <w:u w:val="single"/>
                <w:lang w:bidi="ar"/>
              </w:rPr>
              <w:t>电梯工程与施工总包工作界面划分</w:t>
            </w:r>
          </w:p>
        </w:tc>
      </w:tr>
      <w:tr w14:paraId="2C1C8BFB">
        <w:tblPrEx>
          <w:tblCellMar>
            <w:top w:w="0" w:type="dxa"/>
            <w:left w:w="108" w:type="dxa"/>
            <w:bottom w:w="0" w:type="dxa"/>
            <w:right w:w="108" w:type="dxa"/>
          </w:tblCellMar>
        </w:tblPrEx>
        <w:trPr>
          <w:trHeight w:val="640" w:hRule="atLeast"/>
        </w:trPr>
        <w:tc>
          <w:tcPr>
            <w:tcW w:w="3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F34B">
            <w:pPr>
              <w:spacing w:line="250" w:lineRule="exact"/>
              <w:jc w:val="center"/>
              <w:rPr>
                <w:rFonts w:hint="eastAsia" w:ascii="等线" w:hAnsi="等线" w:eastAsia="等线" w:cs="等线"/>
                <w:b/>
                <w:bCs/>
                <w:i/>
                <w:iCs/>
                <w:color w:val="auto"/>
                <w:sz w:val="28"/>
                <w:szCs w:val="28"/>
                <w:highlight w:val="none"/>
                <w:u w:val="single"/>
              </w:rPr>
            </w:pPr>
          </w:p>
        </w:tc>
        <w:tc>
          <w:tcPr>
            <w:tcW w:w="20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1442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center"/>
              <w:rPr>
                <w:rFonts w:hint="eastAsia" w:ascii="等线" w:hAnsi="等线" w:eastAsia="等线" w:cs="等线"/>
                <w:b/>
                <w:bCs/>
                <w:i/>
                <w:iCs/>
                <w:color w:val="auto"/>
                <w:sz w:val="28"/>
                <w:szCs w:val="28"/>
                <w:highlight w:val="none"/>
                <w:u w:val="single"/>
              </w:rPr>
            </w:pPr>
            <w:r>
              <w:rPr>
                <w:rFonts w:hint="eastAsia" w:ascii="等线" w:hAnsi="等线" w:eastAsia="等线" w:cs="等线"/>
                <w:b/>
                <w:bCs/>
                <w:i/>
                <w:iCs/>
                <w:color w:val="auto"/>
                <w:sz w:val="28"/>
                <w:szCs w:val="28"/>
                <w:highlight w:val="none"/>
                <w:u w:val="single"/>
                <w:lang w:bidi="ar"/>
              </w:rPr>
              <w:t>施工总承包在界面处的工作范围</w:t>
            </w:r>
          </w:p>
        </w:tc>
        <w:tc>
          <w:tcPr>
            <w:tcW w:w="2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B06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center"/>
              <w:rPr>
                <w:rFonts w:hint="eastAsia" w:ascii="等线" w:hAnsi="等线" w:eastAsia="等线" w:cs="等线"/>
                <w:b/>
                <w:bCs/>
                <w:i/>
                <w:iCs/>
                <w:color w:val="auto"/>
                <w:sz w:val="28"/>
                <w:szCs w:val="28"/>
                <w:highlight w:val="none"/>
                <w:u w:val="single"/>
              </w:rPr>
            </w:pPr>
            <w:r>
              <w:rPr>
                <w:rFonts w:hint="eastAsia" w:ascii="等线" w:hAnsi="等线" w:eastAsia="等线" w:cs="等线"/>
                <w:b/>
                <w:bCs/>
                <w:i/>
                <w:iCs/>
                <w:color w:val="auto"/>
                <w:sz w:val="28"/>
                <w:szCs w:val="28"/>
                <w:highlight w:val="none"/>
                <w:u w:val="single"/>
                <w:lang w:bidi="ar"/>
              </w:rPr>
              <w:t>电梯工程在界面处的工作范围</w:t>
            </w:r>
          </w:p>
        </w:tc>
      </w:tr>
      <w:tr w14:paraId="0D4962F5">
        <w:tblPrEx>
          <w:tblCellMar>
            <w:top w:w="0" w:type="dxa"/>
            <w:left w:w="108" w:type="dxa"/>
            <w:bottom w:w="0" w:type="dxa"/>
            <w:right w:w="108" w:type="dxa"/>
          </w:tblCellMar>
        </w:tblPrEx>
        <w:trPr>
          <w:trHeight w:val="1875" w:hRule="atLeast"/>
        </w:trPr>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2DBDF">
            <w:pPr>
              <w:spacing w:line="250" w:lineRule="exact"/>
              <w:jc w:val="center"/>
              <w:textAlignment w:val="center"/>
              <w:rPr>
                <w:rFonts w:hint="eastAsia" w:ascii="宋体" w:hAnsi="宋体" w:eastAsia="宋体" w:cs="宋体"/>
                <w:i/>
                <w:iCs/>
                <w:color w:val="auto"/>
                <w:sz w:val="22"/>
                <w:szCs w:val="22"/>
                <w:highlight w:val="none"/>
                <w:u w:val="single"/>
              </w:rPr>
            </w:pPr>
            <w:r>
              <w:rPr>
                <w:rFonts w:hint="eastAsia" w:ascii="等线" w:hAnsi="等线" w:eastAsia="等线" w:cs="等线"/>
                <w:b/>
                <w:bCs/>
                <w:i/>
                <w:iCs/>
                <w:color w:val="auto"/>
                <w:sz w:val="28"/>
                <w:szCs w:val="28"/>
                <w:highlight w:val="none"/>
                <w:u w:val="single"/>
                <w:lang w:bidi="ar"/>
              </w:rPr>
              <w:t>细化后</w:t>
            </w:r>
            <w:r>
              <w:rPr>
                <w:rFonts w:hint="eastAsia" w:ascii="等线" w:hAnsi="等线" w:eastAsia="等线" w:cs="等线"/>
                <w:b/>
                <w:bCs/>
                <w:i/>
                <w:iCs/>
                <w:color w:val="auto"/>
                <w:sz w:val="28"/>
                <w:szCs w:val="28"/>
                <w:highlight w:val="none"/>
                <w:u w:val="single"/>
                <w:lang w:bidi="ar"/>
              </w:rPr>
              <w:br w:type="textWrapping"/>
            </w:r>
            <w:r>
              <w:rPr>
                <w:rFonts w:hint="eastAsia" w:ascii="等线" w:hAnsi="等线" w:eastAsia="等线" w:cs="等线"/>
                <w:b/>
                <w:bCs/>
                <w:i/>
                <w:iCs/>
                <w:color w:val="auto"/>
                <w:sz w:val="28"/>
                <w:szCs w:val="28"/>
                <w:highlight w:val="none"/>
                <w:u w:val="single"/>
                <w:lang w:bidi="ar"/>
              </w:rPr>
              <w:t>界面划分</w:t>
            </w:r>
          </w:p>
        </w:tc>
        <w:tc>
          <w:tcPr>
            <w:tcW w:w="2025" w:type="pct"/>
            <w:tcBorders>
              <w:top w:val="single" w:color="000000" w:sz="4" w:space="0"/>
              <w:left w:val="single" w:color="000000" w:sz="4" w:space="0"/>
              <w:bottom w:val="single" w:color="000000" w:sz="4" w:space="0"/>
              <w:right w:val="single" w:color="000000" w:sz="4" w:space="0"/>
            </w:tcBorders>
            <w:shd w:val="clear" w:color="auto" w:fill="auto"/>
          </w:tcPr>
          <w:p w14:paraId="6029E2FC">
            <w:pPr>
              <w:spacing w:line="310" w:lineRule="exact"/>
              <w:textAlignment w:val="top"/>
              <w:rPr>
                <w:rStyle w:val="68"/>
                <w:rFonts w:hint="default"/>
                <w:color w:val="auto"/>
                <w:highlight w:val="none"/>
                <w:u w:val="single"/>
                <w:lang w:bidi="ar"/>
              </w:rPr>
            </w:pPr>
            <w:r>
              <w:rPr>
                <w:rStyle w:val="67"/>
                <w:color w:val="auto"/>
                <w:sz w:val="20"/>
                <w:szCs w:val="20"/>
                <w:highlight w:val="none"/>
                <w:u w:val="single"/>
                <w:lang w:bidi="ar"/>
              </w:rPr>
              <w:t>1、</w:t>
            </w:r>
            <w:r>
              <w:rPr>
                <w:rStyle w:val="67"/>
                <w:rFonts w:hint="default"/>
                <w:color w:val="auto"/>
                <w:sz w:val="20"/>
                <w:szCs w:val="20"/>
                <w:highlight w:val="none"/>
                <w:u w:val="single"/>
                <w:lang w:bidi="ar"/>
              </w:rPr>
              <w:t>预留洞口（包括按钮及楼层显示等）；</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2、负责除二次精装修区域外的电梯门框、预留洞口等的收头；</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3、电梯设备的基础施工</w:t>
            </w:r>
            <w:r>
              <w:rPr>
                <w:rStyle w:val="67"/>
                <w:color w:val="auto"/>
                <w:sz w:val="20"/>
                <w:szCs w:val="20"/>
                <w:highlight w:val="none"/>
                <w:u w:val="single"/>
                <w:lang w:bidi="ar"/>
              </w:rPr>
              <w:t>、</w:t>
            </w:r>
            <w:r>
              <w:rPr>
                <w:rStyle w:val="67"/>
                <w:rFonts w:hint="default"/>
                <w:color w:val="auto"/>
                <w:sz w:val="20"/>
                <w:szCs w:val="20"/>
                <w:highlight w:val="none"/>
                <w:u w:val="single"/>
                <w:lang w:bidi="ar"/>
              </w:rPr>
              <w:t>电梯专用摄像头的安装</w:t>
            </w:r>
            <w:r>
              <w:rPr>
                <w:rStyle w:val="67"/>
                <w:color w:val="auto"/>
                <w:sz w:val="20"/>
                <w:szCs w:val="20"/>
                <w:highlight w:val="none"/>
                <w:u w:val="single"/>
                <w:lang w:bidi="ar"/>
              </w:rPr>
              <w:t>、电梯轿厢保护。</w:t>
            </w:r>
            <w:r>
              <w:rPr>
                <w:rStyle w:val="67"/>
                <w:rFonts w:hint="default"/>
                <w:color w:val="auto"/>
                <w:sz w:val="20"/>
                <w:szCs w:val="20"/>
                <w:highlight w:val="none"/>
                <w:u w:val="single"/>
                <w:lang w:bidi="ar"/>
              </w:rPr>
              <w:t>；</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4、施工至电梯配电柜；</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5、电梯井道及机房爬梯，护栏及护罩、吊钩、供检修的通道等；</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6、消防报警线引至电梯信号输出界面处（消防控制室至电梯控制箱的消防联动配管及配线由总包单位负责，电梯单位负责配合接驳）。</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7、负责电梯基坑内防水处理及排水设施；</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8、负责电梯机房空调或通风设备；</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9、钢丝绳周边挡水砌筑等；</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10、按照电梯图纸和规范，</w:t>
            </w:r>
            <w:r>
              <w:rPr>
                <w:rStyle w:val="67"/>
                <w:color w:val="auto"/>
                <w:sz w:val="20"/>
                <w:szCs w:val="20"/>
                <w:highlight w:val="none"/>
                <w:u w:val="single"/>
                <w:lang w:bidi="ar"/>
              </w:rPr>
              <w:t>进行土建整改</w:t>
            </w:r>
            <w:r>
              <w:rPr>
                <w:rStyle w:val="67"/>
                <w:rFonts w:hint="default"/>
                <w:color w:val="auto"/>
                <w:sz w:val="20"/>
                <w:szCs w:val="20"/>
                <w:highlight w:val="none"/>
                <w:u w:val="single"/>
                <w:lang w:bidi="ar"/>
              </w:rPr>
              <w:t>；</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11、电梯控制箱至消防、安防控制室、弱电机房的桥架/管道；</w:t>
            </w:r>
          </w:p>
        </w:tc>
        <w:tc>
          <w:tcPr>
            <w:tcW w:w="2575" w:type="pct"/>
            <w:tcBorders>
              <w:top w:val="single" w:color="000000" w:sz="4" w:space="0"/>
              <w:left w:val="single" w:color="000000" w:sz="4" w:space="0"/>
              <w:bottom w:val="single" w:color="000000" w:sz="4" w:space="0"/>
              <w:right w:val="single" w:color="000000" w:sz="4" w:space="0"/>
            </w:tcBorders>
            <w:shd w:val="clear" w:color="auto" w:fill="auto"/>
          </w:tcPr>
          <w:p w14:paraId="41F5C9BE">
            <w:pPr>
              <w:spacing w:line="350" w:lineRule="exact"/>
              <w:textAlignment w:val="top"/>
              <w:rPr>
                <w:rFonts w:hint="eastAsia" w:ascii="宋体" w:hAnsi="宋体" w:eastAsia="宋体" w:cs="宋体"/>
                <w:color w:val="auto"/>
                <w:sz w:val="20"/>
                <w:szCs w:val="20"/>
                <w:highlight w:val="none"/>
                <w:u w:val="single"/>
              </w:rPr>
            </w:pPr>
            <w:r>
              <w:rPr>
                <w:rStyle w:val="67"/>
                <w:rFonts w:hint="default"/>
                <w:color w:val="auto"/>
                <w:sz w:val="20"/>
                <w:szCs w:val="20"/>
                <w:highlight w:val="none"/>
                <w:u w:val="single"/>
                <w:lang w:bidi="ar"/>
              </w:rPr>
              <w:t>1、电梯配电柜出线之后的所有电气设备与配线的提供与安装；</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2、将消防线连接至电梯通讯设备内，并负责参加消防系统的联动调试；</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3</w:t>
            </w:r>
            <w:r>
              <w:rPr>
                <w:rStyle w:val="67"/>
                <w:rFonts w:hint="default"/>
                <w:color w:val="auto"/>
                <w:sz w:val="20"/>
                <w:szCs w:val="20"/>
                <w:highlight w:val="none"/>
                <w:u w:val="single"/>
                <w:lang w:bidi="ar"/>
              </w:rPr>
              <w:t>、电梯随行电缆中需包含电源电缆，如视频监控、多媒体发布等；提供独立电源开关；配合弱电设备的安装及调试，</w:t>
            </w:r>
            <w:r>
              <w:rPr>
                <w:rStyle w:val="67"/>
                <w:color w:val="auto"/>
                <w:sz w:val="20"/>
                <w:szCs w:val="20"/>
                <w:highlight w:val="none"/>
                <w:u w:val="single"/>
                <w:lang w:bidi="ar"/>
              </w:rPr>
              <w:t>。</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4</w:t>
            </w:r>
            <w:r>
              <w:rPr>
                <w:rStyle w:val="67"/>
                <w:rFonts w:hint="default"/>
                <w:color w:val="auto"/>
                <w:sz w:val="20"/>
                <w:szCs w:val="20"/>
                <w:highlight w:val="none"/>
                <w:u w:val="single"/>
                <w:lang w:bidi="ar"/>
              </w:rPr>
              <w:t>、配合精装单位进行电梯门的饰面包封；</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5</w:t>
            </w:r>
            <w:r>
              <w:rPr>
                <w:rStyle w:val="67"/>
                <w:rFonts w:hint="default"/>
                <w:color w:val="auto"/>
                <w:sz w:val="20"/>
                <w:szCs w:val="20"/>
                <w:highlight w:val="none"/>
                <w:u w:val="single"/>
                <w:lang w:bidi="ar"/>
              </w:rPr>
              <w:t xml:space="preserve">、电梯井内的插座、照明，包括配管、配线及安装； </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6</w:t>
            </w:r>
            <w:r>
              <w:rPr>
                <w:rStyle w:val="67"/>
                <w:rFonts w:hint="default"/>
                <w:color w:val="auto"/>
                <w:sz w:val="20"/>
                <w:szCs w:val="20"/>
                <w:highlight w:val="none"/>
                <w:u w:val="single"/>
                <w:lang w:bidi="ar"/>
              </w:rPr>
              <w:t>、电梯设备至电梯机房或井道内预留的接地端子的接地线供应及安装；</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7</w:t>
            </w:r>
            <w:r>
              <w:rPr>
                <w:rStyle w:val="67"/>
                <w:rFonts w:hint="default"/>
                <w:color w:val="auto"/>
                <w:sz w:val="20"/>
                <w:szCs w:val="20"/>
                <w:highlight w:val="none"/>
                <w:u w:val="single"/>
                <w:lang w:bidi="ar"/>
              </w:rPr>
              <w:t>、电梯单位提供</w:t>
            </w:r>
            <w:r>
              <w:rPr>
                <w:rStyle w:val="67"/>
                <w:color w:val="auto"/>
                <w:sz w:val="20"/>
                <w:szCs w:val="20"/>
                <w:highlight w:val="none"/>
                <w:u w:val="single"/>
                <w:lang w:bidi="ar"/>
              </w:rPr>
              <w:t>RS485</w:t>
            </w:r>
            <w:r>
              <w:rPr>
                <w:rStyle w:val="67"/>
                <w:rFonts w:hint="default"/>
                <w:color w:val="auto"/>
                <w:sz w:val="20"/>
                <w:szCs w:val="20"/>
                <w:highlight w:val="none"/>
                <w:u w:val="single"/>
                <w:lang w:bidi="ar"/>
              </w:rPr>
              <w:t>接口；</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8</w:t>
            </w:r>
            <w:r>
              <w:rPr>
                <w:rStyle w:val="67"/>
                <w:rFonts w:hint="default"/>
                <w:color w:val="auto"/>
                <w:sz w:val="20"/>
                <w:szCs w:val="20"/>
                <w:highlight w:val="none"/>
                <w:u w:val="single"/>
                <w:lang w:bidi="ar"/>
              </w:rPr>
              <w:t>、电梯单位须向弱电单位提供电梯系统监视信号接口，供弱电单位接驳至楼控系统进行监视；</w:t>
            </w:r>
            <w:r>
              <w:rPr>
                <w:rStyle w:val="67"/>
                <w:rFonts w:hint="default"/>
                <w:color w:val="auto"/>
                <w:sz w:val="20"/>
                <w:szCs w:val="20"/>
                <w:highlight w:val="none"/>
                <w:u w:val="single"/>
                <w:lang w:bidi="ar"/>
              </w:rPr>
              <w:br w:type="textWrapping"/>
            </w:r>
            <w:r>
              <w:rPr>
                <w:rStyle w:val="67"/>
                <w:color w:val="auto"/>
                <w:sz w:val="20"/>
                <w:szCs w:val="20"/>
                <w:highlight w:val="none"/>
                <w:u w:val="single"/>
                <w:lang w:bidi="ar"/>
              </w:rPr>
              <w:t>9</w:t>
            </w:r>
            <w:r>
              <w:rPr>
                <w:rStyle w:val="67"/>
                <w:rFonts w:hint="default"/>
                <w:color w:val="auto"/>
                <w:sz w:val="20"/>
                <w:szCs w:val="20"/>
                <w:highlight w:val="none"/>
                <w:u w:val="single"/>
                <w:lang w:bidi="ar"/>
              </w:rPr>
              <w:t>、电梯控制箱连接电梯相关设备的控制电缆管线的敷设；</w:t>
            </w:r>
            <w:r>
              <w:rPr>
                <w:rStyle w:val="67"/>
                <w:rFonts w:hint="default"/>
                <w:color w:val="auto"/>
                <w:sz w:val="20"/>
                <w:szCs w:val="20"/>
                <w:highlight w:val="none"/>
                <w:u w:val="single"/>
                <w:lang w:bidi="ar"/>
              </w:rPr>
              <w:br w:type="textWrapping"/>
            </w:r>
            <w:r>
              <w:rPr>
                <w:rStyle w:val="67"/>
                <w:rFonts w:hint="default"/>
                <w:color w:val="auto"/>
                <w:sz w:val="20"/>
                <w:szCs w:val="20"/>
                <w:highlight w:val="none"/>
                <w:u w:val="single"/>
                <w:lang w:bidi="ar"/>
              </w:rPr>
              <w:t>1</w:t>
            </w:r>
            <w:r>
              <w:rPr>
                <w:rStyle w:val="67"/>
                <w:color w:val="auto"/>
                <w:sz w:val="20"/>
                <w:szCs w:val="20"/>
                <w:highlight w:val="none"/>
                <w:u w:val="single"/>
                <w:lang w:bidi="ar"/>
              </w:rPr>
              <w:t>0</w:t>
            </w:r>
            <w:r>
              <w:rPr>
                <w:rStyle w:val="67"/>
                <w:rFonts w:hint="default"/>
                <w:color w:val="auto"/>
                <w:sz w:val="20"/>
                <w:szCs w:val="20"/>
                <w:highlight w:val="none"/>
                <w:u w:val="single"/>
                <w:lang w:bidi="ar"/>
              </w:rPr>
              <w:t>、负责五方对讲系统等的安装，</w:t>
            </w:r>
            <w:r>
              <w:rPr>
                <w:rStyle w:val="67"/>
                <w:color w:val="auto"/>
                <w:sz w:val="20"/>
                <w:szCs w:val="20"/>
                <w:highlight w:val="none"/>
                <w:u w:val="single"/>
                <w:lang w:bidi="ar"/>
              </w:rPr>
              <w:t>实现电梯轿厢、轿顶、底坑、机房与监控中心之间的紧急联络，井道内到控制柜五方通话的电缆由中标单位铺设，机房到监控室的电缆由甲方负责）</w:t>
            </w:r>
          </w:p>
        </w:tc>
      </w:tr>
    </w:tbl>
    <w:p w14:paraId="5365F7D1">
      <w:pPr>
        <w:rPr>
          <w:rFonts w:ascii="宋体" w:hAnsi="宋体"/>
          <w:b/>
          <w:bCs/>
          <w:color w:val="auto"/>
          <w:sz w:val="24"/>
          <w:highlight w:val="none"/>
        </w:rPr>
        <w:sectPr>
          <w:pgSz w:w="16838" w:h="11906" w:orient="landscape"/>
          <w:pgMar w:top="1800" w:right="1440" w:bottom="1800" w:left="1440" w:header="720" w:footer="720" w:gutter="0"/>
          <w:pgNumType w:fmt="decimal"/>
          <w:cols w:space="720" w:num="1"/>
          <w:docGrid w:type="lines" w:linePitch="312" w:charSpace="0"/>
        </w:sectPr>
      </w:pPr>
    </w:p>
    <w:p w14:paraId="09E0EA37">
      <w:pPr>
        <w:pStyle w:val="21"/>
        <w:jc w:val="both"/>
        <w:rPr>
          <w:rFonts w:hint="eastAsia" w:ascii="宋体" w:hAnsi="宋体" w:eastAsia="宋体" w:cs="宋体"/>
          <w:b w:val="0"/>
          <w:bCs w:val="0"/>
          <w:i/>
          <w:iCs/>
          <w:color w:val="auto"/>
          <w:kern w:val="2"/>
          <w:highlight w:val="none"/>
          <w:u w:val="single"/>
        </w:rPr>
      </w:pPr>
      <w:r>
        <w:rPr>
          <w:rFonts w:hint="eastAsia" w:ascii="宋体" w:hAnsi="宋体" w:eastAsia="宋体" w:cs="宋体"/>
          <w:color w:val="auto"/>
          <w:highlight w:val="none"/>
        </w:rPr>
        <w:t>附2:</w:t>
      </w:r>
      <w:r>
        <w:rPr>
          <w:rFonts w:hint="eastAsia" w:ascii="宋体" w:hAnsi="宋体" w:eastAsia="宋体" w:cs="宋体"/>
          <w:b w:val="0"/>
          <w:bCs w:val="0"/>
          <w:i/>
          <w:iCs/>
          <w:color w:val="auto"/>
          <w:kern w:val="2"/>
          <w:highlight w:val="none"/>
          <w:u w:val="single"/>
        </w:rPr>
        <w:t>计划工期和进度节点设置</w:t>
      </w:r>
    </w:p>
    <w:p w14:paraId="1485F8EE">
      <w:pPr>
        <w:spacing w:line="360" w:lineRule="auto"/>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u w:val="singl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月底完成安装及验收，具体配合土建进度完成。</w:t>
      </w:r>
    </w:p>
    <w:p w14:paraId="72AB77BB">
      <w:pPr>
        <w:pStyle w:val="59"/>
        <w:ind w:left="360" w:firstLine="0" w:firstLineChars="0"/>
        <w:rPr>
          <w:rFonts w:hint="eastAsia" w:ascii="仿宋" w:hAnsi="仿宋" w:eastAsia="仿宋" w:cs="仿宋"/>
          <w:i/>
          <w:iCs/>
          <w:color w:val="auto"/>
          <w:kern w:val="2"/>
          <w:sz w:val="32"/>
          <w:szCs w:val="32"/>
          <w:highlight w:val="none"/>
          <w:u w:val="single"/>
        </w:rPr>
      </w:pPr>
    </w:p>
    <w:p w14:paraId="4E0EFABB">
      <w:pPr>
        <w:pStyle w:val="59"/>
        <w:ind w:left="360" w:firstLine="0" w:firstLineChars="0"/>
        <w:rPr>
          <w:rFonts w:hint="eastAsia" w:ascii="仿宋" w:hAnsi="仿宋" w:eastAsia="仿宋" w:cs="仿宋"/>
          <w:i/>
          <w:iCs/>
          <w:color w:val="auto"/>
          <w:kern w:val="2"/>
          <w:sz w:val="32"/>
          <w:szCs w:val="32"/>
          <w:highlight w:val="none"/>
          <w:u w:val="single"/>
        </w:rPr>
      </w:pPr>
      <w:r>
        <w:rPr>
          <w:rFonts w:hint="eastAsia" w:ascii="仿宋" w:hAnsi="仿宋" w:eastAsia="仿宋" w:cs="仿宋"/>
          <w:i/>
          <w:iCs/>
          <w:color w:val="auto"/>
          <w:kern w:val="2"/>
          <w:sz w:val="32"/>
          <w:szCs w:val="32"/>
          <w:highlight w:val="none"/>
          <w:u w:val="single"/>
        </w:rPr>
        <w:t>电梯技术参数表：（最终电梯参数以图纸为准）</w:t>
      </w:r>
    </w:p>
    <w:p w14:paraId="03E7E78F">
      <w:pPr>
        <w:keepNext w:val="0"/>
        <w:keepLines w:val="0"/>
        <w:pageBreakBefore w:val="0"/>
        <w:widowControl/>
        <w:kinsoku w:val="0"/>
        <w:wordWrap/>
        <w:overflowPunct/>
        <w:topLinePunct w:val="0"/>
        <w:autoSpaceDE w:val="0"/>
        <w:autoSpaceDN w:val="0"/>
        <w:bidi w:val="0"/>
        <w:adjustRightInd/>
        <w:snapToGrid/>
        <w:spacing w:line="360" w:lineRule="auto"/>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1#楼垂直电梯参数表</w:t>
      </w:r>
    </w:p>
    <w:tbl>
      <w:tblPr>
        <w:tblStyle w:val="31"/>
        <w:tblW w:w="9532"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027"/>
        <w:gridCol w:w="848"/>
        <w:gridCol w:w="729"/>
        <w:gridCol w:w="111"/>
        <w:gridCol w:w="720"/>
        <w:gridCol w:w="135"/>
        <w:gridCol w:w="870"/>
        <w:gridCol w:w="75"/>
        <w:gridCol w:w="689"/>
        <w:gridCol w:w="226"/>
        <w:gridCol w:w="659"/>
        <w:gridCol w:w="661"/>
        <w:gridCol w:w="208"/>
        <w:gridCol w:w="482"/>
        <w:gridCol w:w="525"/>
        <w:gridCol w:w="150"/>
        <w:gridCol w:w="668"/>
      </w:tblGrid>
      <w:tr w14:paraId="083C2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1898F2B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27" w:type="dxa"/>
            <w:noWrap w:val="0"/>
            <w:vAlign w:val="center"/>
          </w:tcPr>
          <w:p w14:paraId="29509D7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电梯类型</w:t>
            </w:r>
          </w:p>
        </w:tc>
        <w:tc>
          <w:tcPr>
            <w:tcW w:w="1577" w:type="dxa"/>
            <w:gridSpan w:val="2"/>
            <w:noWrap w:val="0"/>
            <w:vAlign w:val="center"/>
          </w:tcPr>
          <w:p w14:paraId="4ABE14F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功能</w:t>
            </w:r>
          </w:p>
        </w:tc>
        <w:tc>
          <w:tcPr>
            <w:tcW w:w="831" w:type="dxa"/>
            <w:gridSpan w:val="2"/>
            <w:noWrap w:val="0"/>
            <w:vAlign w:val="center"/>
          </w:tcPr>
          <w:p w14:paraId="69990C4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无</w:t>
            </w:r>
            <w:r>
              <w:rPr>
                <w:rFonts w:hint="eastAsia" w:ascii="宋体" w:hAnsi="宋体" w:eastAsia="宋体" w:cs="宋体"/>
                <w:color w:val="auto"/>
                <w:sz w:val="22"/>
                <w:szCs w:val="22"/>
                <w:highlight w:val="none"/>
              </w:rPr>
              <w:t>障碍设施</w:t>
            </w:r>
          </w:p>
        </w:tc>
        <w:tc>
          <w:tcPr>
            <w:tcW w:w="1005" w:type="dxa"/>
            <w:gridSpan w:val="2"/>
            <w:noWrap w:val="0"/>
            <w:vAlign w:val="center"/>
          </w:tcPr>
          <w:p w14:paraId="2254A67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服务楼层</w:t>
            </w:r>
          </w:p>
        </w:tc>
        <w:tc>
          <w:tcPr>
            <w:tcW w:w="764" w:type="dxa"/>
            <w:gridSpan w:val="2"/>
            <w:noWrap w:val="0"/>
            <w:vAlign w:val="center"/>
          </w:tcPr>
          <w:p w14:paraId="1C9A2B2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服务总层数</w:t>
            </w:r>
          </w:p>
        </w:tc>
        <w:tc>
          <w:tcPr>
            <w:tcW w:w="885" w:type="dxa"/>
            <w:gridSpan w:val="2"/>
            <w:noWrap w:val="0"/>
            <w:vAlign w:val="center"/>
          </w:tcPr>
          <w:p w14:paraId="2DBF1BD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提升高度(m)</w:t>
            </w:r>
          </w:p>
        </w:tc>
        <w:tc>
          <w:tcPr>
            <w:tcW w:w="869" w:type="dxa"/>
            <w:gridSpan w:val="2"/>
            <w:noWrap w:val="0"/>
            <w:vAlign w:val="center"/>
          </w:tcPr>
          <w:p w14:paraId="4743A30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电梯数目</w:t>
            </w:r>
          </w:p>
        </w:tc>
        <w:tc>
          <w:tcPr>
            <w:tcW w:w="1007" w:type="dxa"/>
            <w:gridSpan w:val="2"/>
            <w:noWrap w:val="0"/>
            <w:vAlign w:val="center"/>
          </w:tcPr>
          <w:p w14:paraId="1EB75B1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载重(kg)</w:t>
            </w:r>
          </w:p>
        </w:tc>
        <w:tc>
          <w:tcPr>
            <w:tcW w:w="818" w:type="dxa"/>
            <w:gridSpan w:val="2"/>
            <w:noWrap w:val="0"/>
            <w:vAlign w:val="center"/>
          </w:tcPr>
          <w:p w14:paraId="28C9A7B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速度(m/s)</w:t>
            </w:r>
          </w:p>
        </w:tc>
      </w:tr>
      <w:tr w14:paraId="0220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57E23D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DT-01</w:t>
            </w:r>
          </w:p>
        </w:tc>
        <w:tc>
          <w:tcPr>
            <w:tcW w:w="1027" w:type="dxa"/>
            <w:noWrap w:val="0"/>
            <w:vAlign w:val="center"/>
          </w:tcPr>
          <w:p w14:paraId="2731E0C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消防电梯&amp;污物电梯</w:t>
            </w:r>
          </w:p>
        </w:tc>
        <w:tc>
          <w:tcPr>
            <w:tcW w:w="1577" w:type="dxa"/>
            <w:gridSpan w:val="2"/>
            <w:noWrap w:val="0"/>
            <w:vAlign w:val="center"/>
          </w:tcPr>
          <w:p w14:paraId="0764B40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1-11层后勤及污物、地下机动车库</w:t>
            </w:r>
          </w:p>
        </w:tc>
        <w:tc>
          <w:tcPr>
            <w:tcW w:w="831" w:type="dxa"/>
            <w:gridSpan w:val="2"/>
            <w:noWrap w:val="0"/>
            <w:vAlign w:val="center"/>
          </w:tcPr>
          <w:p w14:paraId="5784718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1005" w:type="dxa"/>
            <w:gridSpan w:val="2"/>
            <w:noWrap w:val="0"/>
            <w:vAlign w:val="center"/>
          </w:tcPr>
          <w:p w14:paraId="36965B4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B1F、1F~11F</w:t>
            </w:r>
          </w:p>
        </w:tc>
        <w:tc>
          <w:tcPr>
            <w:tcW w:w="764" w:type="dxa"/>
            <w:gridSpan w:val="2"/>
            <w:noWrap w:val="0"/>
            <w:vAlign w:val="center"/>
          </w:tcPr>
          <w:p w14:paraId="4FDA663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885" w:type="dxa"/>
            <w:gridSpan w:val="2"/>
            <w:noWrap w:val="0"/>
            <w:vAlign w:val="center"/>
          </w:tcPr>
          <w:p w14:paraId="4B153A2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46.19</w:t>
            </w:r>
          </w:p>
        </w:tc>
        <w:tc>
          <w:tcPr>
            <w:tcW w:w="869" w:type="dxa"/>
            <w:gridSpan w:val="2"/>
            <w:noWrap w:val="0"/>
            <w:vAlign w:val="center"/>
          </w:tcPr>
          <w:p w14:paraId="25B343C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07" w:type="dxa"/>
            <w:gridSpan w:val="2"/>
            <w:noWrap w:val="0"/>
            <w:vAlign w:val="center"/>
          </w:tcPr>
          <w:p w14:paraId="1220A39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18" w:type="dxa"/>
            <w:gridSpan w:val="2"/>
            <w:noWrap w:val="0"/>
            <w:vAlign w:val="center"/>
          </w:tcPr>
          <w:p w14:paraId="4D9E879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2AEB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20A2D35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DT-02</w:t>
            </w:r>
            <w:r>
              <w:rPr>
                <w:rFonts w:hint="eastAsia" w:ascii="微软雅黑" w:hAnsi="微软雅黑" w:eastAsia="微软雅黑" w:cs="微软雅黑"/>
                <w:color w:val="auto"/>
                <w:sz w:val="22"/>
                <w:szCs w:val="22"/>
                <w:highlight w:val="none"/>
              </w:rPr>
              <w:t>~</w:t>
            </w:r>
            <w:r>
              <w:rPr>
                <w:rFonts w:hint="eastAsia" w:ascii="宋体" w:hAnsi="宋体" w:eastAsia="宋体" w:cs="宋体"/>
                <w:color w:val="auto"/>
                <w:sz w:val="22"/>
                <w:szCs w:val="22"/>
                <w:highlight w:val="none"/>
              </w:rPr>
              <w:t>DT-05</w:t>
            </w:r>
          </w:p>
        </w:tc>
        <w:tc>
          <w:tcPr>
            <w:tcW w:w="1027" w:type="dxa"/>
            <w:noWrap w:val="0"/>
            <w:vAlign w:val="center"/>
          </w:tcPr>
          <w:p w14:paraId="7378D15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医用电梯&amp;无</w:t>
            </w:r>
            <w:r>
              <w:rPr>
                <w:rFonts w:hint="eastAsia" w:ascii="宋体" w:hAnsi="宋体" w:eastAsia="宋体" w:cs="宋体"/>
                <w:color w:val="auto"/>
                <w:sz w:val="22"/>
                <w:szCs w:val="22"/>
                <w:highlight w:val="none"/>
                <w:lang w:val="en-US" w:eastAsia="zh-CN"/>
              </w:rPr>
              <w:t>障碍</w:t>
            </w:r>
            <w:r>
              <w:rPr>
                <w:rFonts w:hint="eastAsia" w:ascii="宋体" w:hAnsi="宋体" w:eastAsia="宋体" w:cs="宋体"/>
                <w:color w:val="auto"/>
                <w:sz w:val="22"/>
                <w:szCs w:val="22"/>
                <w:highlight w:val="none"/>
              </w:rPr>
              <w:t>电梯</w:t>
            </w:r>
          </w:p>
        </w:tc>
        <w:tc>
          <w:tcPr>
            <w:tcW w:w="1577" w:type="dxa"/>
            <w:gridSpan w:val="2"/>
            <w:noWrap w:val="0"/>
            <w:vAlign w:val="center"/>
          </w:tcPr>
          <w:p w14:paraId="5A6D948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1-11层客梯及医用电梯、地下机动车库</w:t>
            </w:r>
          </w:p>
        </w:tc>
        <w:tc>
          <w:tcPr>
            <w:tcW w:w="831" w:type="dxa"/>
            <w:gridSpan w:val="2"/>
            <w:noWrap w:val="0"/>
            <w:vAlign w:val="center"/>
          </w:tcPr>
          <w:p w14:paraId="1A431A36">
            <w:pPr>
              <w:widowControl/>
              <w:spacing w:line="3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有</w:t>
            </w:r>
          </w:p>
        </w:tc>
        <w:tc>
          <w:tcPr>
            <w:tcW w:w="1005" w:type="dxa"/>
            <w:gridSpan w:val="2"/>
            <w:noWrap w:val="0"/>
            <w:vAlign w:val="center"/>
          </w:tcPr>
          <w:p w14:paraId="3C63AE3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B1F、1F~11F</w:t>
            </w:r>
          </w:p>
        </w:tc>
        <w:tc>
          <w:tcPr>
            <w:tcW w:w="764" w:type="dxa"/>
            <w:gridSpan w:val="2"/>
            <w:noWrap w:val="0"/>
            <w:vAlign w:val="center"/>
          </w:tcPr>
          <w:p w14:paraId="63D690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885" w:type="dxa"/>
            <w:gridSpan w:val="2"/>
            <w:noWrap w:val="0"/>
            <w:vAlign w:val="center"/>
          </w:tcPr>
          <w:p w14:paraId="54DE778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46.19</w:t>
            </w:r>
          </w:p>
        </w:tc>
        <w:tc>
          <w:tcPr>
            <w:tcW w:w="869" w:type="dxa"/>
            <w:gridSpan w:val="2"/>
            <w:noWrap w:val="0"/>
            <w:vAlign w:val="center"/>
          </w:tcPr>
          <w:p w14:paraId="0E54E62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007" w:type="dxa"/>
            <w:gridSpan w:val="2"/>
            <w:noWrap w:val="0"/>
            <w:vAlign w:val="center"/>
          </w:tcPr>
          <w:p w14:paraId="4358DD1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18" w:type="dxa"/>
            <w:gridSpan w:val="2"/>
            <w:noWrap w:val="0"/>
            <w:vAlign w:val="center"/>
          </w:tcPr>
          <w:p w14:paraId="6728F5D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7323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7308889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DT-06</w:t>
            </w:r>
          </w:p>
        </w:tc>
        <w:tc>
          <w:tcPr>
            <w:tcW w:w="1027" w:type="dxa"/>
            <w:noWrap w:val="0"/>
            <w:vAlign w:val="center"/>
          </w:tcPr>
          <w:p w14:paraId="719DA21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医用电梯</w:t>
            </w:r>
          </w:p>
        </w:tc>
        <w:tc>
          <w:tcPr>
            <w:tcW w:w="1577" w:type="dxa"/>
            <w:gridSpan w:val="2"/>
            <w:noWrap w:val="0"/>
            <w:vAlign w:val="center"/>
          </w:tcPr>
          <w:p w14:paraId="59B768C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1-11层客梯及医用电梯、地下机动车库</w:t>
            </w:r>
          </w:p>
        </w:tc>
        <w:tc>
          <w:tcPr>
            <w:tcW w:w="831" w:type="dxa"/>
            <w:gridSpan w:val="2"/>
            <w:noWrap w:val="0"/>
            <w:vAlign w:val="center"/>
          </w:tcPr>
          <w:p w14:paraId="4CBC62B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1005" w:type="dxa"/>
            <w:gridSpan w:val="2"/>
            <w:noWrap w:val="0"/>
            <w:vAlign w:val="center"/>
          </w:tcPr>
          <w:p w14:paraId="3C07A2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B1F、1F~11F</w:t>
            </w:r>
          </w:p>
        </w:tc>
        <w:tc>
          <w:tcPr>
            <w:tcW w:w="764" w:type="dxa"/>
            <w:gridSpan w:val="2"/>
            <w:noWrap w:val="0"/>
            <w:vAlign w:val="center"/>
          </w:tcPr>
          <w:p w14:paraId="5752922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885" w:type="dxa"/>
            <w:gridSpan w:val="2"/>
            <w:noWrap w:val="0"/>
            <w:vAlign w:val="center"/>
          </w:tcPr>
          <w:p w14:paraId="5749C18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46.19</w:t>
            </w:r>
          </w:p>
        </w:tc>
        <w:tc>
          <w:tcPr>
            <w:tcW w:w="869" w:type="dxa"/>
            <w:gridSpan w:val="2"/>
            <w:noWrap w:val="0"/>
            <w:vAlign w:val="center"/>
          </w:tcPr>
          <w:p w14:paraId="5A45697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07" w:type="dxa"/>
            <w:gridSpan w:val="2"/>
            <w:noWrap w:val="0"/>
            <w:vAlign w:val="center"/>
          </w:tcPr>
          <w:p w14:paraId="6F06983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18" w:type="dxa"/>
            <w:gridSpan w:val="2"/>
            <w:noWrap w:val="0"/>
            <w:vAlign w:val="center"/>
          </w:tcPr>
          <w:p w14:paraId="4A60D1F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332F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2" w:type="dxa"/>
            <w:gridSpan w:val="18"/>
            <w:noWrap w:val="0"/>
            <w:vAlign w:val="center"/>
          </w:tcPr>
          <w:p w14:paraId="784A313C">
            <w:pPr>
              <w:widowControl/>
              <w:spacing w:line="300" w:lineRule="exact"/>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注:医用电梯兼做单架电梯</w:t>
            </w:r>
          </w:p>
        </w:tc>
      </w:tr>
      <w:tr w14:paraId="049C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7015B3D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27" w:type="dxa"/>
            <w:noWrap w:val="0"/>
            <w:vAlign w:val="center"/>
          </w:tcPr>
          <w:p w14:paraId="5E51441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井道尺寸</w:t>
            </w:r>
          </w:p>
          <w:p w14:paraId="72AA8E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(宽x深)</w:t>
            </w:r>
          </w:p>
          <w:p w14:paraId="0E15DFB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48" w:type="dxa"/>
            <w:noWrap w:val="0"/>
            <w:vAlign w:val="center"/>
          </w:tcPr>
          <w:p w14:paraId="78C5420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门洞土建尺寸（宽</w:t>
            </w:r>
            <w:r>
              <w:rPr>
                <w:rFonts w:eastAsia="宋体"/>
                <w:color w:val="auto"/>
                <w:sz w:val="22"/>
                <w:szCs w:val="22"/>
                <w:highlight w:val="none"/>
              </w:rPr>
              <w:t>×</w:t>
            </w:r>
            <w:r>
              <w:rPr>
                <w:rFonts w:hint="eastAsia" w:ascii="宋体" w:hAnsi="宋体" w:eastAsia="宋体" w:cs="宋体"/>
                <w:color w:val="auto"/>
                <w:sz w:val="22"/>
                <w:szCs w:val="22"/>
                <w:highlight w:val="none"/>
              </w:rPr>
              <w:t>高）（mm)</w:t>
            </w:r>
          </w:p>
        </w:tc>
        <w:tc>
          <w:tcPr>
            <w:tcW w:w="840" w:type="dxa"/>
            <w:gridSpan w:val="2"/>
            <w:noWrap w:val="0"/>
            <w:vAlign w:val="center"/>
          </w:tcPr>
          <w:p w14:paraId="494F263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开门净尺寸（宽×高）</w:t>
            </w:r>
          </w:p>
          <w:p w14:paraId="0E23A43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55" w:type="dxa"/>
            <w:gridSpan w:val="2"/>
            <w:noWrap w:val="0"/>
            <w:vAlign w:val="center"/>
          </w:tcPr>
          <w:p w14:paraId="1369533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底坑深度</w:t>
            </w:r>
          </w:p>
          <w:p w14:paraId="154B0D3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45" w:type="dxa"/>
            <w:gridSpan w:val="2"/>
            <w:noWrap w:val="0"/>
            <w:vAlign w:val="center"/>
          </w:tcPr>
          <w:p w14:paraId="5266B2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顶层层高</w:t>
            </w:r>
          </w:p>
          <w:p w14:paraId="34517AE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15" w:type="dxa"/>
            <w:gridSpan w:val="2"/>
            <w:noWrap w:val="0"/>
            <w:vAlign w:val="center"/>
          </w:tcPr>
          <w:p w14:paraId="481A66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机房层高</w:t>
            </w:r>
          </w:p>
          <w:p w14:paraId="335595B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659" w:type="dxa"/>
            <w:noWrap w:val="0"/>
            <w:vAlign w:val="center"/>
          </w:tcPr>
          <w:p w14:paraId="5180BFB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轿厢门类型</w:t>
            </w:r>
          </w:p>
        </w:tc>
        <w:tc>
          <w:tcPr>
            <w:tcW w:w="661" w:type="dxa"/>
            <w:noWrap w:val="0"/>
            <w:vAlign w:val="center"/>
          </w:tcPr>
          <w:p w14:paraId="614C1995">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轿厢类型</w:t>
            </w:r>
          </w:p>
        </w:tc>
        <w:tc>
          <w:tcPr>
            <w:tcW w:w="690" w:type="dxa"/>
            <w:gridSpan w:val="2"/>
            <w:noWrap w:val="0"/>
            <w:vAlign w:val="center"/>
          </w:tcPr>
          <w:p w14:paraId="2F0A67D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控制方式</w:t>
            </w:r>
          </w:p>
        </w:tc>
        <w:tc>
          <w:tcPr>
            <w:tcW w:w="675" w:type="dxa"/>
            <w:gridSpan w:val="2"/>
            <w:noWrap w:val="0"/>
            <w:vAlign w:val="center"/>
          </w:tcPr>
          <w:p w14:paraId="497A11C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对重位置</w:t>
            </w:r>
          </w:p>
        </w:tc>
        <w:tc>
          <w:tcPr>
            <w:tcW w:w="668" w:type="dxa"/>
            <w:noWrap w:val="0"/>
            <w:vAlign w:val="center"/>
          </w:tcPr>
          <w:p w14:paraId="0027089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对重安全钳</w:t>
            </w:r>
          </w:p>
        </w:tc>
      </w:tr>
      <w:tr w14:paraId="2275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49" w:type="dxa"/>
            <w:noWrap w:val="0"/>
            <w:vAlign w:val="center"/>
          </w:tcPr>
          <w:p w14:paraId="324ACF1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DT-01</w:t>
            </w:r>
          </w:p>
        </w:tc>
        <w:tc>
          <w:tcPr>
            <w:tcW w:w="1027" w:type="dxa"/>
            <w:noWrap w:val="0"/>
            <w:vAlign w:val="center"/>
          </w:tcPr>
          <w:p w14:paraId="68C5EFA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2700x3000</w:t>
            </w:r>
          </w:p>
        </w:tc>
        <w:tc>
          <w:tcPr>
            <w:tcW w:w="848" w:type="dxa"/>
            <w:noWrap w:val="0"/>
            <w:vAlign w:val="center"/>
          </w:tcPr>
          <w:p w14:paraId="60C414F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1500x2400</w:t>
            </w:r>
          </w:p>
        </w:tc>
        <w:tc>
          <w:tcPr>
            <w:tcW w:w="840" w:type="dxa"/>
            <w:gridSpan w:val="2"/>
            <w:noWrap w:val="0"/>
            <w:vAlign w:val="center"/>
          </w:tcPr>
          <w:p w14:paraId="725145F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1300x2300</w:t>
            </w:r>
          </w:p>
        </w:tc>
        <w:tc>
          <w:tcPr>
            <w:tcW w:w="855" w:type="dxa"/>
            <w:gridSpan w:val="2"/>
            <w:noWrap w:val="0"/>
            <w:vAlign w:val="center"/>
          </w:tcPr>
          <w:p w14:paraId="1D96BEC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2000</w:t>
            </w:r>
          </w:p>
        </w:tc>
        <w:tc>
          <w:tcPr>
            <w:tcW w:w="945" w:type="dxa"/>
            <w:gridSpan w:val="2"/>
            <w:noWrap w:val="0"/>
            <w:vAlign w:val="center"/>
          </w:tcPr>
          <w:p w14:paraId="368F6F6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4850</w:t>
            </w:r>
          </w:p>
        </w:tc>
        <w:tc>
          <w:tcPr>
            <w:tcW w:w="915" w:type="dxa"/>
            <w:gridSpan w:val="2"/>
            <w:noWrap w:val="0"/>
            <w:vAlign w:val="center"/>
          </w:tcPr>
          <w:p w14:paraId="2AA91FD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3000</w:t>
            </w:r>
          </w:p>
        </w:tc>
        <w:tc>
          <w:tcPr>
            <w:tcW w:w="659" w:type="dxa"/>
            <w:noWrap w:val="0"/>
            <w:vAlign w:val="center"/>
          </w:tcPr>
          <w:p w14:paraId="6FCE4FC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旁开</w:t>
            </w:r>
          </w:p>
        </w:tc>
        <w:tc>
          <w:tcPr>
            <w:tcW w:w="661" w:type="dxa"/>
            <w:noWrap w:val="0"/>
            <w:vAlign w:val="center"/>
          </w:tcPr>
          <w:p w14:paraId="225E61A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7D3D32C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75" w:type="dxa"/>
            <w:gridSpan w:val="2"/>
            <w:noWrap w:val="0"/>
            <w:vAlign w:val="center"/>
          </w:tcPr>
          <w:p w14:paraId="1E2EA2A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415C46E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25B8F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655F847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DT-02</w:t>
            </w:r>
            <w:r>
              <w:rPr>
                <w:rFonts w:hint="eastAsia" w:ascii="微软雅黑" w:hAnsi="微软雅黑" w:eastAsia="微软雅黑" w:cs="微软雅黑"/>
                <w:color w:val="auto"/>
                <w:sz w:val="22"/>
                <w:szCs w:val="22"/>
                <w:highlight w:val="none"/>
              </w:rPr>
              <w:t>~</w:t>
            </w:r>
            <w:r>
              <w:rPr>
                <w:rFonts w:hint="eastAsia" w:ascii="宋体" w:hAnsi="宋体" w:eastAsia="宋体" w:cs="宋体"/>
                <w:color w:val="auto"/>
                <w:sz w:val="22"/>
                <w:szCs w:val="22"/>
                <w:highlight w:val="none"/>
              </w:rPr>
              <w:t>DT-05</w:t>
            </w:r>
          </w:p>
        </w:tc>
        <w:tc>
          <w:tcPr>
            <w:tcW w:w="1027" w:type="dxa"/>
            <w:noWrap w:val="0"/>
            <w:vAlign w:val="center"/>
          </w:tcPr>
          <w:p w14:paraId="72BFD4E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DT-02,04:</w:t>
            </w:r>
          </w:p>
          <w:p w14:paraId="6D319DB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2950*3000</w:t>
            </w:r>
          </w:p>
          <w:p w14:paraId="1AA3DC2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DT-03,05:</w:t>
            </w:r>
          </w:p>
          <w:p w14:paraId="1B4E624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2850*3000</w:t>
            </w:r>
          </w:p>
        </w:tc>
        <w:tc>
          <w:tcPr>
            <w:tcW w:w="848" w:type="dxa"/>
            <w:noWrap w:val="0"/>
            <w:vAlign w:val="center"/>
          </w:tcPr>
          <w:p w14:paraId="40EDC6F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1500x2400</w:t>
            </w:r>
          </w:p>
        </w:tc>
        <w:tc>
          <w:tcPr>
            <w:tcW w:w="840" w:type="dxa"/>
            <w:gridSpan w:val="2"/>
            <w:noWrap w:val="0"/>
            <w:vAlign w:val="center"/>
          </w:tcPr>
          <w:p w14:paraId="5D08045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1300x2300</w:t>
            </w:r>
          </w:p>
        </w:tc>
        <w:tc>
          <w:tcPr>
            <w:tcW w:w="855" w:type="dxa"/>
            <w:gridSpan w:val="2"/>
            <w:noWrap w:val="0"/>
            <w:vAlign w:val="center"/>
          </w:tcPr>
          <w:p w14:paraId="21DBB4D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2000</w:t>
            </w:r>
          </w:p>
        </w:tc>
        <w:tc>
          <w:tcPr>
            <w:tcW w:w="945" w:type="dxa"/>
            <w:gridSpan w:val="2"/>
            <w:noWrap w:val="0"/>
            <w:vAlign w:val="center"/>
          </w:tcPr>
          <w:p w14:paraId="0E28069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4850</w:t>
            </w:r>
          </w:p>
        </w:tc>
        <w:tc>
          <w:tcPr>
            <w:tcW w:w="915" w:type="dxa"/>
            <w:gridSpan w:val="2"/>
            <w:noWrap w:val="0"/>
            <w:vAlign w:val="center"/>
          </w:tcPr>
          <w:p w14:paraId="2A2E714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3000</w:t>
            </w:r>
          </w:p>
        </w:tc>
        <w:tc>
          <w:tcPr>
            <w:tcW w:w="659" w:type="dxa"/>
            <w:noWrap w:val="0"/>
            <w:vAlign w:val="center"/>
          </w:tcPr>
          <w:p w14:paraId="24AF677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旁开</w:t>
            </w:r>
          </w:p>
        </w:tc>
        <w:tc>
          <w:tcPr>
            <w:tcW w:w="661" w:type="dxa"/>
            <w:noWrap w:val="0"/>
            <w:vAlign w:val="center"/>
          </w:tcPr>
          <w:p w14:paraId="5F83566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47C7E7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四台群控</w:t>
            </w:r>
          </w:p>
        </w:tc>
        <w:tc>
          <w:tcPr>
            <w:tcW w:w="675" w:type="dxa"/>
            <w:gridSpan w:val="2"/>
            <w:noWrap w:val="0"/>
            <w:vAlign w:val="center"/>
          </w:tcPr>
          <w:p w14:paraId="1BAE796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2F6756B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5835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center"/>
          </w:tcPr>
          <w:p w14:paraId="47AE432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DT-06</w:t>
            </w:r>
          </w:p>
        </w:tc>
        <w:tc>
          <w:tcPr>
            <w:tcW w:w="1027" w:type="dxa"/>
            <w:noWrap w:val="0"/>
            <w:vAlign w:val="center"/>
          </w:tcPr>
          <w:p w14:paraId="57999E7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2550x3000</w:t>
            </w:r>
          </w:p>
        </w:tc>
        <w:tc>
          <w:tcPr>
            <w:tcW w:w="848" w:type="dxa"/>
            <w:noWrap w:val="0"/>
            <w:vAlign w:val="center"/>
          </w:tcPr>
          <w:p w14:paraId="2CD56EA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1500x2400</w:t>
            </w:r>
          </w:p>
        </w:tc>
        <w:tc>
          <w:tcPr>
            <w:tcW w:w="840" w:type="dxa"/>
            <w:gridSpan w:val="2"/>
            <w:noWrap w:val="0"/>
            <w:vAlign w:val="center"/>
          </w:tcPr>
          <w:p w14:paraId="47B8D71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1300x2300</w:t>
            </w:r>
          </w:p>
        </w:tc>
        <w:tc>
          <w:tcPr>
            <w:tcW w:w="855" w:type="dxa"/>
            <w:gridSpan w:val="2"/>
            <w:noWrap w:val="0"/>
            <w:vAlign w:val="center"/>
          </w:tcPr>
          <w:p w14:paraId="3C4FF6F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2000</w:t>
            </w:r>
          </w:p>
        </w:tc>
        <w:tc>
          <w:tcPr>
            <w:tcW w:w="945" w:type="dxa"/>
            <w:gridSpan w:val="2"/>
            <w:noWrap w:val="0"/>
            <w:vAlign w:val="center"/>
          </w:tcPr>
          <w:p w14:paraId="047C89D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4850</w:t>
            </w:r>
          </w:p>
        </w:tc>
        <w:tc>
          <w:tcPr>
            <w:tcW w:w="915" w:type="dxa"/>
            <w:gridSpan w:val="2"/>
            <w:noWrap w:val="0"/>
            <w:vAlign w:val="center"/>
          </w:tcPr>
          <w:p w14:paraId="49A257C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3000</w:t>
            </w:r>
          </w:p>
        </w:tc>
        <w:tc>
          <w:tcPr>
            <w:tcW w:w="659" w:type="dxa"/>
            <w:noWrap w:val="0"/>
            <w:vAlign w:val="center"/>
          </w:tcPr>
          <w:p w14:paraId="07E2CC8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旁开</w:t>
            </w:r>
          </w:p>
        </w:tc>
        <w:tc>
          <w:tcPr>
            <w:tcW w:w="661" w:type="dxa"/>
            <w:noWrap w:val="0"/>
            <w:vAlign w:val="center"/>
          </w:tcPr>
          <w:p w14:paraId="3BFAF2E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1B31691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75" w:type="dxa"/>
            <w:gridSpan w:val="2"/>
            <w:noWrap w:val="0"/>
            <w:vAlign w:val="center"/>
          </w:tcPr>
          <w:p w14:paraId="0BB569A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7DB62BC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bl>
    <w:p w14:paraId="49D132BE">
      <w:pPr>
        <w:rPr>
          <w:highlight w:val="none"/>
        </w:rPr>
      </w:pPr>
    </w:p>
    <w:p w14:paraId="62A9860B">
      <w:pPr>
        <w:pStyle w:val="20"/>
        <w:jc w:val="center"/>
        <w:rPr>
          <w:rFonts w:hint="eastAsia"/>
          <w:sz w:val="24"/>
          <w:szCs w:val="24"/>
          <w:highlight w:val="none"/>
        </w:rPr>
      </w:pPr>
    </w:p>
    <w:p w14:paraId="5638A0BB">
      <w:pPr>
        <w:pStyle w:val="20"/>
        <w:keepNext w:val="0"/>
        <w:keepLines w:val="0"/>
        <w:pageBreakBefore w:val="0"/>
        <w:widowControl/>
        <w:kinsoku/>
        <w:wordWrap/>
        <w:overflowPunct/>
        <w:topLinePunct w:val="0"/>
        <w:autoSpaceDE/>
        <w:autoSpaceDN/>
        <w:bidi w:val="0"/>
        <w:adjustRightInd/>
        <w:snapToGrid/>
        <w:spacing w:after="0"/>
        <w:jc w:val="center"/>
        <w:textAlignment w:val="auto"/>
        <w:rPr>
          <w:sz w:val="24"/>
          <w:szCs w:val="24"/>
          <w:highlight w:val="none"/>
        </w:rPr>
      </w:pPr>
      <w:r>
        <w:rPr>
          <w:rFonts w:hint="eastAsia"/>
          <w:sz w:val="24"/>
          <w:szCs w:val="24"/>
          <w:highlight w:val="none"/>
        </w:rPr>
        <w:t>2#楼垂直电梯参数表</w:t>
      </w:r>
    </w:p>
    <w:tbl>
      <w:tblPr>
        <w:tblStyle w:val="31"/>
        <w:tblW w:w="9631"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000"/>
        <w:gridCol w:w="848"/>
        <w:gridCol w:w="729"/>
        <w:gridCol w:w="111"/>
        <w:gridCol w:w="720"/>
        <w:gridCol w:w="135"/>
        <w:gridCol w:w="885"/>
        <w:gridCol w:w="60"/>
        <w:gridCol w:w="705"/>
        <w:gridCol w:w="210"/>
        <w:gridCol w:w="659"/>
        <w:gridCol w:w="676"/>
        <w:gridCol w:w="193"/>
        <w:gridCol w:w="497"/>
        <w:gridCol w:w="525"/>
        <w:gridCol w:w="135"/>
        <w:gridCol w:w="668"/>
      </w:tblGrid>
      <w:tr w14:paraId="613FA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6F42502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5F73DA1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电梯类型</w:t>
            </w:r>
          </w:p>
        </w:tc>
        <w:tc>
          <w:tcPr>
            <w:tcW w:w="1577" w:type="dxa"/>
            <w:gridSpan w:val="2"/>
            <w:noWrap w:val="0"/>
            <w:vAlign w:val="center"/>
          </w:tcPr>
          <w:p w14:paraId="2FB9874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功能</w:t>
            </w:r>
          </w:p>
        </w:tc>
        <w:tc>
          <w:tcPr>
            <w:tcW w:w="831" w:type="dxa"/>
            <w:gridSpan w:val="2"/>
            <w:noWrap w:val="0"/>
            <w:vAlign w:val="center"/>
          </w:tcPr>
          <w:p w14:paraId="5F31C98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无</w:t>
            </w:r>
            <w:r>
              <w:rPr>
                <w:rFonts w:hint="eastAsia" w:ascii="宋体" w:hAnsi="宋体" w:eastAsia="宋体" w:cs="宋体"/>
                <w:color w:val="auto"/>
                <w:sz w:val="22"/>
                <w:szCs w:val="22"/>
                <w:highlight w:val="none"/>
              </w:rPr>
              <w:t>障碍设施</w:t>
            </w:r>
          </w:p>
        </w:tc>
        <w:tc>
          <w:tcPr>
            <w:tcW w:w="1020" w:type="dxa"/>
            <w:gridSpan w:val="2"/>
            <w:noWrap w:val="0"/>
            <w:vAlign w:val="center"/>
          </w:tcPr>
          <w:p w14:paraId="4F3D1C6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服务楼层</w:t>
            </w:r>
          </w:p>
        </w:tc>
        <w:tc>
          <w:tcPr>
            <w:tcW w:w="765" w:type="dxa"/>
            <w:gridSpan w:val="2"/>
            <w:noWrap w:val="0"/>
            <w:vAlign w:val="center"/>
          </w:tcPr>
          <w:p w14:paraId="00E52CE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服务总层数</w:t>
            </w:r>
          </w:p>
        </w:tc>
        <w:tc>
          <w:tcPr>
            <w:tcW w:w="869" w:type="dxa"/>
            <w:gridSpan w:val="2"/>
            <w:noWrap w:val="0"/>
            <w:vAlign w:val="center"/>
          </w:tcPr>
          <w:p w14:paraId="58D8C90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提升高度(m)</w:t>
            </w:r>
          </w:p>
        </w:tc>
        <w:tc>
          <w:tcPr>
            <w:tcW w:w="869" w:type="dxa"/>
            <w:gridSpan w:val="2"/>
            <w:noWrap w:val="0"/>
            <w:vAlign w:val="center"/>
          </w:tcPr>
          <w:p w14:paraId="63F85AF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电梯数目</w:t>
            </w:r>
          </w:p>
        </w:tc>
        <w:tc>
          <w:tcPr>
            <w:tcW w:w="1022" w:type="dxa"/>
            <w:gridSpan w:val="2"/>
            <w:noWrap w:val="0"/>
            <w:vAlign w:val="center"/>
          </w:tcPr>
          <w:p w14:paraId="57044BA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载</w:t>
            </w:r>
            <w:r>
              <w:rPr>
                <w:rFonts w:hint="eastAsia" w:ascii="宋体" w:hAnsi="宋体" w:eastAsia="宋体" w:cs="宋体"/>
                <w:color w:val="auto"/>
                <w:sz w:val="22"/>
                <w:szCs w:val="22"/>
                <w:highlight w:val="none"/>
              </w:rPr>
              <w:t>重</w:t>
            </w:r>
          </w:p>
          <w:p w14:paraId="3292CD5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(kg)</w:t>
            </w:r>
          </w:p>
        </w:tc>
        <w:tc>
          <w:tcPr>
            <w:tcW w:w="803" w:type="dxa"/>
            <w:gridSpan w:val="2"/>
            <w:noWrap w:val="0"/>
            <w:vAlign w:val="center"/>
          </w:tcPr>
          <w:p w14:paraId="1C9CB69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速度</w:t>
            </w:r>
          </w:p>
          <w:p w14:paraId="4F0EAF3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(m/s)</w:t>
            </w:r>
          </w:p>
        </w:tc>
      </w:tr>
      <w:tr w14:paraId="7489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DBE119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DT-07</w:t>
            </w:r>
          </w:p>
        </w:tc>
        <w:tc>
          <w:tcPr>
            <w:tcW w:w="1000" w:type="dxa"/>
            <w:noWrap w:val="0"/>
            <w:vAlign w:val="center"/>
          </w:tcPr>
          <w:p w14:paraId="691938C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消防电梯&amp;医用电梯</w:t>
            </w:r>
          </w:p>
        </w:tc>
        <w:tc>
          <w:tcPr>
            <w:tcW w:w="1577" w:type="dxa"/>
            <w:gridSpan w:val="2"/>
            <w:noWrap w:val="0"/>
            <w:vAlign w:val="center"/>
          </w:tcPr>
          <w:p w14:paraId="4AA4548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1-14层医用电彬、消防电样、地下机动车库</w:t>
            </w:r>
          </w:p>
        </w:tc>
        <w:tc>
          <w:tcPr>
            <w:tcW w:w="831" w:type="dxa"/>
            <w:gridSpan w:val="2"/>
            <w:noWrap w:val="0"/>
            <w:vAlign w:val="center"/>
          </w:tcPr>
          <w:p w14:paraId="437B02B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1020" w:type="dxa"/>
            <w:gridSpan w:val="2"/>
            <w:noWrap w:val="0"/>
            <w:vAlign w:val="center"/>
          </w:tcPr>
          <w:p w14:paraId="59AE1FB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B1F、1F~14F</w:t>
            </w:r>
          </w:p>
        </w:tc>
        <w:tc>
          <w:tcPr>
            <w:tcW w:w="765" w:type="dxa"/>
            <w:gridSpan w:val="2"/>
            <w:noWrap w:val="0"/>
            <w:vAlign w:val="center"/>
          </w:tcPr>
          <w:p w14:paraId="02FC63A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p>
        </w:tc>
        <w:tc>
          <w:tcPr>
            <w:tcW w:w="869" w:type="dxa"/>
            <w:gridSpan w:val="2"/>
            <w:noWrap w:val="0"/>
            <w:vAlign w:val="center"/>
          </w:tcPr>
          <w:p w14:paraId="1BCE52F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57.69</w:t>
            </w:r>
          </w:p>
        </w:tc>
        <w:tc>
          <w:tcPr>
            <w:tcW w:w="869" w:type="dxa"/>
            <w:gridSpan w:val="2"/>
            <w:noWrap w:val="0"/>
            <w:vAlign w:val="center"/>
          </w:tcPr>
          <w:p w14:paraId="7F62DB0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0844F66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0E9B715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38A9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40948EB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DT-08</w:t>
            </w:r>
          </w:p>
        </w:tc>
        <w:tc>
          <w:tcPr>
            <w:tcW w:w="1000" w:type="dxa"/>
            <w:noWrap w:val="0"/>
            <w:vAlign w:val="center"/>
          </w:tcPr>
          <w:p w14:paraId="26CE601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医用电梯&amp;无障碍电梯</w:t>
            </w:r>
          </w:p>
        </w:tc>
        <w:tc>
          <w:tcPr>
            <w:tcW w:w="1577" w:type="dxa"/>
            <w:gridSpan w:val="2"/>
            <w:noWrap w:val="0"/>
            <w:vAlign w:val="center"/>
          </w:tcPr>
          <w:p w14:paraId="5867BFA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1-14 层医用电梯及客梯、地下机动车库</w:t>
            </w:r>
          </w:p>
        </w:tc>
        <w:tc>
          <w:tcPr>
            <w:tcW w:w="831" w:type="dxa"/>
            <w:gridSpan w:val="2"/>
            <w:noWrap w:val="0"/>
            <w:vAlign w:val="center"/>
          </w:tcPr>
          <w:p w14:paraId="77A7F52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176EED9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B1F、1F~14F</w:t>
            </w:r>
          </w:p>
        </w:tc>
        <w:tc>
          <w:tcPr>
            <w:tcW w:w="765" w:type="dxa"/>
            <w:gridSpan w:val="2"/>
            <w:noWrap w:val="0"/>
            <w:vAlign w:val="center"/>
          </w:tcPr>
          <w:p w14:paraId="572BC45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p>
        </w:tc>
        <w:tc>
          <w:tcPr>
            <w:tcW w:w="869" w:type="dxa"/>
            <w:gridSpan w:val="2"/>
            <w:noWrap w:val="0"/>
            <w:vAlign w:val="center"/>
          </w:tcPr>
          <w:p w14:paraId="2B40B1B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57.69</w:t>
            </w:r>
          </w:p>
        </w:tc>
        <w:tc>
          <w:tcPr>
            <w:tcW w:w="869" w:type="dxa"/>
            <w:gridSpan w:val="2"/>
            <w:noWrap w:val="0"/>
            <w:vAlign w:val="center"/>
          </w:tcPr>
          <w:p w14:paraId="00BF09E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47CABE8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393DAA1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5129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0FEB365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DT-09</w:t>
            </w:r>
          </w:p>
        </w:tc>
        <w:tc>
          <w:tcPr>
            <w:tcW w:w="1000" w:type="dxa"/>
            <w:noWrap w:val="0"/>
            <w:vAlign w:val="center"/>
          </w:tcPr>
          <w:p w14:paraId="2C9784B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客梯&amp;无障碍电梯</w:t>
            </w:r>
          </w:p>
        </w:tc>
        <w:tc>
          <w:tcPr>
            <w:tcW w:w="1577" w:type="dxa"/>
            <w:gridSpan w:val="2"/>
            <w:noWrap w:val="0"/>
            <w:vAlign w:val="center"/>
          </w:tcPr>
          <w:p w14:paraId="55398D5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1-12层客梯、地下机动车库</w:t>
            </w:r>
          </w:p>
        </w:tc>
        <w:tc>
          <w:tcPr>
            <w:tcW w:w="831" w:type="dxa"/>
            <w:gridSpan w:val="2"/>
            <w:noWrap w:val="0"/>
            <w:vAlign w:val="center"/>
          </w:tcPr>
          <w:p w14:paraId="14ACD51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3E82E74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B1F、1F~12F</w:t>
            </w:r>
          </w:p>
        </w:tc>
        <w:tc>
          <w:tcPr>
            <w:tcW w:w="765" w:type="dxa"/>
            <w:gridSpan w:val="2"/>
            <w:noWrap w:val="0"/>
            <w:vAlign w:val="center"/>
          </w:tcPr>
          <w:p w14:paraId="6BCBB04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869" w:type="dxa"/>
            <w:gridSpan w:val="2"/>
            <w:noWrap w:val="0"/>
            <w:vAlign w:val="center"/>
          </w:tcPr>
          <w:p w14:paraId="4F0FD80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49.89</w:t>
            </w:r>
          </w:p>
        </w:tc>
        <w:tc>
          <w:tcPr>
            <w:tcW w:w="869" w:type="dxa"/>
            <w:gridSpan w:val="2"/>
            <w:noWrap w:val="0"/>
            <w:vAlign w:val="center"/>
          </w:tcPr>
          <w:p w14:paraId="0E176EA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792DC1D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1050</w:t>
            </w:r>
          </w:p>
        </w:tc>
        <w:tc>
          <w:tcPr>
            <w:tcW w:w="803" w:type="dxa"/>
            <w:gridSpan w:val="2"/>
            <w:noWrap w:val="0"/>
            <w:vAlign w:val="center"/>
          </w:tcPr>
          <w:p w14:paraId="6DC8446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6EEF1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0C3998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DT-10</w:t>
            </w:r>
            <w:r>
              <w:rPr>
                <w:rFonts w:hint="eastAsia" w:ascii="微软雅黑" w:hAnsi="微软雅黑" w:eastAsia="微软雅黑" w:cs="微软雅黑"/>
                <w:color w:val="auto"/>
                <w:sz w:val="22"/>
                <w:szCs w:val="22"/>
                <w:highlight w:val="none"/>
              </w:rPr>
              <w:t>~</w:t>
            </w:r>
            <w:r>
              <w:rPr>
                <w:rFonts w:hint="eastAsia" w:ascii="宋体" w:hAnsi="宋体" w:eastAsia="宋体" w:cs="宋体"/>
                <w:color w:val="auto"/>
                <w:sz w:val="22"/>
                <w:szCs w:val="22"/>
                <w:highlight w:val="none"/>
              </w:rPr>
              <w:t>DT-11</w:t>
            </w:r>
          </w:p>
        </w:tc>
        <w:tc>
          <w:tcPr>
            <w:tcW w:w="1000" w:type="dxa"/>
            <w:noWrap w:val="0"/>
            <w:vAlign w:val="center"/>
          </w:tcPr>
          <w:p w14:paraId="75720C5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客梯&amp;无障碍电梯</w:t>
            </w:r>
          </w:p>
        </w:tc>
        <w:tc>
          <w:tcPr>
            <w:tcW w:w="1577" w:type="dxa"/>
            <w:gridSpan w:val="2"/>
            <w:noWrap w:val="0"/>
            <w:vAlign w:val="center"/>
          </w:tcPr>
          <w:p w14:paraId="188E9B1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首层至二层餐厅</w:t>
            </w:r>
          </w:p>
        </w:tc>
        <w:tc>
          <w:tcPr>
            <w:tcW w:w="831" w:type="dxa"/>
            <w:gridSpan w:val="2"/>
            <w:noWrap w:val="0"/>
            <w:vAlign w:val="center"/>
          </w:tcPr>
          <w:p w14:paraId="102424C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271CEDF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1F~2F</w:t>
            </w:r>
          </w:p>
        </w:tc>
        <w:tc>
          <w:tcPr>
            <w:tcW w:w="765" w:type="dxa"/>
            <w:gridSpan w:val="2"/>
            <w:noWrap w:val="0"/>
            <w:vAlign w:val="center"/>
          </w:tcPr>
          <w:p w14:paraId="6A62987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869" w:type="dxa"/>
            <w:gridSpan w:val="2"/>
            <w:noWrap w:val="0"/>
            <w:vAlign w:val="center"/>
          </w:tcPr>
          <w:p w14:paraId="2718BC6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4.79</w:t>
            </w:r>
          </w:p>
        </w:tc>
        <w:tc>
          <w:tcPr>
            <w:tcW w:w="869" w:type="dxa"/>
            <w:gridSpan w:val="2"/>
            <w:noWrap w:val="0"/>
            <w:vAlign w:val="center"/>
          </w:tcPr>
          <w:p w14:paraId="1B5465C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22" w:type="dxa"/>
            <w:gridSpan w:val="2"/>
            <w:noWrap w:val="0"/>
            <w:vAlign w:val="center"/>
          </w:tcPr>
          <w:p w14:paraId="4CF4DA7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1050</w:t>
            </w:r>
          </w:p>
        </w:tc>
        <w:tc>
          <w:tcPr>
            <w:tcW w:w="803" w:type="dxa"/>
            <w:gridSpan w:val="2"/>
            <w:noWrap w:val="0"/>
            <w:vAlign w:val="center"/>
          </w:tcPr>
          <w:p w14:paraId="263CFBE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r>
      <w:tr w14:paraId="69CC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08DA002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DT12</w:t>
            </w:r>
          </w:p>
        </w:tc>
        <w:tc>
          <w:tcPr>
            <w:tcW w:w="1000" w:type="dxa"/>
            <w:noWrap w:val="0"/>
            <w:vAlign w:val="center"/>
          </w:tcPr>
          <w:p w14:paraId="45F3421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餐</w:t>
            </w:r>
            <w:r>
              <w:rPr>
                <w:rFonts w:hint="eastAsia" w:ascii="宋体" w:hAnsi="宋体" w:eastAsia="宋体" w:cs="宋体"/>
                <w:color w:val="auto"/>
                <w:sz w:val="22"/>
                <w:szCs w:val="22"/>
                <w:highlight w:val="none"/>
              </w:rPr>
              <w:t>梯</w:t>
            </w:r>
          </w:p>
        </w:tc>
        <w:tc>
          <w:tcPr>
            <w:tcW w:w="1577" w:type="dxa"/>
            <w:gridSpan w:val="2"/>
            <w:noWrap w:val="0"/>
            <w:vAlign w:val="center"/>
          </w:tcPr>
          <w:p w14:paraId="570EF35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食堂送餐</w:t>
            </w:r>
          </w:p>
        </w:tc>
        <w:tc>
          <w:tcPr>
            <w:tcW w:w="831" w:type="dxa"/>
            <w:gridSpan w:val="2"/>
            <w:noWrap w:val="0"/>
            <w:vAlign w:val="center"/>
          </w:tcPr>
          <w:p w14:paraId="1FEA29F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1020" w:type="dxa"/>
            <w:gridSpan w:val="2"/>
            <w:noWrap w:val="0"/>
            <w:vAlign w:val="center"/>
          </w:tcPr>
          <w:p w14:paraId="010D031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1F~2F</w:t>
            </w:r>
          </w:p>
        </w:tc>
        <w:tc>
          <w:tcPr>
            <w:tcW w:w="765" w:type="dxa"/>
            <w:gridSpan w:val="2"/>
            <w:noWrap w:val="0"/>
            <w:vAlign w:val="center"/>
          </w:tcPr>
          <w:p w14:paraId="0FF78BA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869" w:type="dxa"/>
            <w:gridSpan w:val="2"/>
            <w:noWrap w:val="0"/>
            <w:vAlign w:val="center"/>
          </w:tcPr>
          <w:p w14:paraId="03DDBB2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4.79</w:t>
            </w:r>
          </w:p>
        </w:tc>
        <w:tc>
          <w:tcPr>
            <w:tcW w:w="869" w:type="dxa"/>
            <w:gridSpan w:val="2"/>
            <w:noWrap w:val="0"/>
            <w:vAlign w:val="center"/>
          </w:tcPr>
          <w:p w14:paraId="070E82B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2BF1CF5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w:t>
            </w:r>
          </w:p>
        </w:tc>
        <w:tc>
          <w:tcPr>
            <w:tcW w:w="803" w:type="dxa"/>
            <w:gridSpan w:val="2"/>
            <w:noWrap w:val="0"/>
            <w:vAlign w:val="center"/>
          </w:tcPr>
          <w:p w14:paraId="245EED7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0.4</w:t>
            </w:r>
          </w:p>
        </w:tc>
      </w:tr>
      <w:tr w14:paraId="1D66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1" w:type="dxa"/>
            <w:gridSpan w:val="18"/>
            <w:noWrap w:val="0"/>
            <w:vAlign w:val="center"/>
          </w:tcPr>
          <w:p w14:paraId="35FB8140">
            <w:pPr>
              <w:widowControl/>
              <w:spacing w:line="300" w:lineRule="exact"/>
              <w:jc w:val="both"/>
              <w:rPr>
                <w:rFonts w:hint="eastAsia" w:ascii="宋体" w:hAnsi="宋体" w:eastAsia="宋体" w:cs="宋体"/>
                <w:color w:val="auto"/>
                <w:sz w:val="22"/>
                <w:szCs w:val="22"/>
                <w:highlight w:val="none"/>
              </w:rPr>
            </w:pPr>
          </w:p>
        </w:tc>
      </w:tr>
      <w:tr w14:paraId="711A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14130E6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6C06C45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井道尺寸</w:t>
            </w:r>
          </w:p>
          <w:p w14:paraId="7D67E0F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(宽x深)</w:t>
            </w:r>
          </w:p>
          <w:p w14:paraId="6B25A0C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48" w:type="dxa"/>
            <w:noWrap w:val="0"/>
            <w:vAlign w:val="center"/>
          </w:tcPr>
          <w:p w14:paraId="0556524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门洞土建尺寸（宽</w:t>
            </w:r>
            <w:r>
              <w:rPr>
                <w:rFonts w:eastAsia="宋体"/>
                <w:color w:val="auto"/>
                <w:sz w:val="22"/>
                <w:szCs w:val="22"/>
                <w:highlight w:val="none"/>
              </w:rPr>
              <w:t>×</w:t>
            </w:r>
            <w:r>
              <w:rPr>
                <w:rFonts w:hint="eastAsia" w:ascii="宋体" w:hAnsi="宋体" w:eastAsia="宋体" w:cs="宋体"/>
                <w:color w:val="auto"/>
                <w:sz w:val="22"/>
                <w:szCs w:val="22"/>
                <w:highlight w:val="none"/>
              </w:rPr>
              <w:t>高）（mm)</w:t>
            </w:r>
          </w:p>
        </w:tc>
        <w:tc>
          <w:tcPr>
            <w:tcW w:w="840" w:type="dxa"/>
            <w:gridSpan w:val="2"/>
            <w:noWrap w:val="0"/>
            <w:vAlign w:val="center"/>
          </w:tcPr>
          <w:p w14:paraId="66C4337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开门净尺寸（宽×高）</w:t>
            </w:r>
          </w:p>
          <w:p w14:paraId="6AA7F89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55" w:type="dxa"/>
            <w:gridSpan w:val="2"/>
            <w:noWrap w:val="0"/>
            <w:vAlign w:val="center"/>
          </w:tcPr>
          <w:p w14:paraId="7D37679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底坑深度（mm)</w:t>
            </w:r>
          </w:p>
        </w:tc>
        <w:tc>
          <w:tcPr>
            <w:tcW w:w="945" w:type="dxa"/>
            <w:gridSpan w:val="2"/>
            <w:noWrap w:val="0"/>
            <w:vAlign w:val="center"/>
          </w:tcPr>
          <w:p w14:paraId="6397A1C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顶层层高</w:t>
            </w:r>
          </w:p>
          <w:p w14:paraId="574E220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15" w:type="dxa"/>
            <w:gridSpan w:val="2"/>
            <w:noWrap w:val="0"/>
            <w:vAlign w:val="center"/>
          </w:tcPr>
          <w:p w14:paraId="596E935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机房层高</w:t>
            </w:r>
          </w:p>
          <w:p w14:paraId="21746E7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659" w:type="dxa"/>
            <w:noWrap w:val="0"/>
            <w:vAlign w:val="center"/>
          </w:tcPr>
          <w:p w14:paraId="41A6D54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轿厢门类型</w:t>
            </w:r>
          </w:p>
        </w:tc>
        <w:tc>
          <w:tcPr>
            <w:tcW w:w="676" w:type="dxa"/>
            <w:noWrap w:val="0"/>
            <w:vAlign w:val="center"/>
          </w:tcPr>
          <w:p w14:paraId="0755E0E9">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轿厢类型</w:t>
            </w:r>
          </w:p>
        </w:tc>
        <w:tc>
          <w:tcPr>
            <w:tcW w:w="690" w:type="dxa"/>
            <w:gridSpan w:val="2"/>
            <w:noWrap w:val="0"/>
            <w:vAlign w:val="center"/>
          </w:tcPr>
          <w:p w14:paraId="720A302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控制方式</w:t>
            </w:r>
          </w:p>
        </w:tc>
        <w:tc>
          <w:tcPr>
            <w:tcW w:w="660" w:type="dxa"/>
            <w:gridSpan w:val="2"/>
            <w:noWrap w:val="0"/>
            <w:vAlign w:val="center"/>
          </w:tcPr>
          <w:p w14:paraId="3FDF22E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对重位置</w:t>
            </w:r>
          </w:p>
        </w:tc>
        <w:tc>
          <w:tcPr>
            <w:tcW w:w="668" w:type="dxa"/>
            <w:noWrap w:val="0"/>
            <w:vAlign w:val="center"/>
          </w:tcPr>
          <w:p w14:paraId="5E6BBD9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对重安全钳</w:t>
            </w:r>
          </w:p>
        </w:tc>
      </w:tr>
      <w:tr w14:paraId="093A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75" w:type="dxa"/>
            <w:noWrap w:val="0"/>
            <w:vAlign w:val="center"/>
          </w:tcPr>
          <w:p w14:paraId="2D64384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DT-07</w:t>
            </w:r>
          </w:p>
        </w:tc>
        <w:tc>
          <w:tcPr>
            <w:tcW w:w="1000" w:type="dxa"/>
            <w:noWrap w:val="0"/>
            <w:vAlign w:val="center"/>
          </w:tcPr>
          <w:p w14:paraId="3CDF865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2650x3000</w:t>
            </w:r>
          </w:p>
        </w:tc>
        <w:tc>
          <w:tcPr>
            <w:tcW w:w="848" w:type="dxa"/>
            <w:noWrap w:val="0"/>
            <w:vAlign w:val="center"/>
          </w:tcPr>
          <w:p w14:paraId="03ACBA8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1500x2400</w:t>
            </w:r>
          </w:p>
        </w:tc>
        <w:tc>
          <w:tcPr>
            <w:tcW w:w="840" w:type="dxa"/>
            <w:gridSpan w:val="2"/>
            <w:noWrap w:val="0"/>
            <w:vAlign w:val="center"/>
          </w:tcPr>
          <w:p w14:paraId="63F9F41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1300x2300</w:t>
            </w:r>
          </w:p>
        </w:tc>
        <w:tc>
          <w:tcPr>
            <w:tcW w:w="855" w:type="dxa"/>
            <w:gridSpan w:val="2"/>
            <w:noWrap w:val="0"/>
            <w:vAlign w:val="center"/>
          </w:tcPr>
          <w:p w14:paraId="42F6D74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2000</w:t>
            </w:r>
          </w:p>
        </w:tc>
        <w:tc>
          <w:tcPr>
            <w:tcW w:w="945" w:type="dxa"/>
            <w:gridSpan w:val="2"/>
            <w:noWrap w:val="0"/>
            <w:vAlign w:val="center"/>
          </w:tcPr>
          <w:p w14:paraId="73569F8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4850</w:t>
            </w:r>
          </w:p>
        </w:tc>
        <w:tc>
          <w:tcPr>
            <w:tcW w:w="915" w:type="dxa"/>
            <w:gridSpan w:val="2"/>
            <w:noWrap w:val="0"/>
            <w:vAlign w:val="center"/>
          </w:tcPr>
          <w:p w14:paraId="195453E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00</w:t>
            </w:r>
          </w:p>
        </w:tc>
        <w:tc>
          <w:tcPr>
            <w:tcW w:w="659" w:type="dxa"/>
            <w:noWrap w:val="0"/>
            <w:vAlign w:val="center"/>
          </w:tcPr>
          <w:p w14:paraId="7580910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旁开</w:t>
            </w:r>
          </w:p>
        </w:tc>
        <w:tc>
          <w:tcPr>
            <w:tcW w:w="676" w:type="dxa"/>
            <w:noWrap w:val="0"/>
            <w:vAlign w:val="center"/>
          </w:tcPr>
          <w:p w14:paraId="0A87673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7A40DA6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60" w:type="dxa"/>
            <w:gridSpan w:val="2"/>
            <w:noWrap w:val="0"/>
            <w:vAlign w:val="center"/>
          </w:tcPr>
          <w:p w14:paraId="7A19E1C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15233BD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13F9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1D3CF30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DT-08</w:t>
            </w:r>
          </w:p>
        </w:tc>
        <w:tc>
          <w:tcPr>
            <w:tcW w:w="1000" w:type="dxa"/>
            <w:noWrap w:val="0"/>
            <w:vAlign w:val="center"/>
          </w:tcPr>
          <w:p w14:paraId="4D15DC6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2600x3000</w:t>
            </w:r>
          </w:p>
        </w:tc>
        <w:tc>
          <w:tcPr>
            <w:tcW w:w="848" w:type="dxa"/>
            <w:noWrap w:val="0"/>
            <w:vAlign w:val="center"/>
          </w:tcPr>
          <w:p w14:paraId="6497B42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1500x2400</w:t>
            </w:r>
          </w:p>
        </w:tc>
        <w:tc>
          <w:tcPr>
            <w:tcW w:w="840" w:type="dxa"/>
            <w:gridSpan w:val="2"/>
            <w:noWrap w:val="0"/>
            <w:vAlign w:val="center"/>
          </w:tcPr>
          <w:p w14:paraId="09D03E8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1300x2300</w:t>
            </w:r>
          </w:p>
        </w:tc>
        <w:tc>
          <w:tcPr>
            <w:tcW w:w="855" w:type="dxa"/>
            <w:gridSpan w:val="2"/>
            <w:noWrap w:val="0"/>
            <w:vAlign w:val="center"/>
          </w:tcPr>
          <w:p w14:paraId="54AED3F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2000</w:t>
            </w:r>
          </w:p>
        </w:tc>
        <w:tc>
          <w:tcPr>
            <w:tcW w:w="945" w:type="dxa"/>
            <w:gridSpan w:val="2"/>
            <w:noWrap w:val="0"/>
            <w:vAlign w:val="center"/>
          </w:tcPr>
          <w:p w14:paraId="3C5C699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4850</w:t>
            </w:r>
          </w:p>
        </w:tc>
        <w:tc>
          <w:tcPr>
            <w:tcW w:w="915" w:type="dxa"/>
            <w:gridSpan w:val="2"/>
            <w:noWrap w:val="0"/>
            <w:vAlign w:val="center"/>
          </w:tcPr>
          <w:p w14:paraId="457BD56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00</w:t>
            </w:r>
          </w:p>
        </w:tc>
        <w:tc>
          <w:tcPr>
            <w:tcW w:w="659" w:type="dxa"/>
            <w:noWrap w:val="0"/>
            <w:vAlign w:val="center"/>
          </w:tcPr>
          <w:p w14:paraId="1E62670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旁开</w:t>
            </w:r>
          </w:p>
        </w:tc>
        <w:tc>
          <w:tcPr>
            <w:tcW w:w="676" w:type="dxa"/>
            <w:noWrap w:val="0"/>
            <w:vAlign w:val="center"/>
          </w:tcPr>
          <w:p w14:paraId="5B33EB0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72F8270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60" w:type="dxa"/>
            <w:gridSpan w:val="2"/>
            <w:noWrap w:val="0"/>
            <w:vAlign w:val="center"/>
          </w:tcPr>
          <w:p w14:paraId="789A309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43038B0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0689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648E0D79">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DT-09</w:t>
            </w:r>
          </w:p>
        </w:tc>
        <w:tc>
          <w:tcPr>
            <w:tcW w:w="1000" w:type="dxa"/>
            <w:noWrap w:val="0"/>
            <w:vAlign w:val="center"/>
          </w:tcPr>
          <w:p w14:paraId="398D9D29">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2650x2400</w:t>
            </w:r>
          </w:p>
        </w:tc>
        <w:tc>
          <w:tcPr>
            <w:tcW w:w="848" w:type="dxa"/>
            <w:noWrap w:val="0"/>
            <w:vAlign w:val="center"/>
          </w:tcPr>
          <w:p w14:paraId="1B223677">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1500x2400</w:t>
            </w:r>
          </w:p>
        </w:tc>
        <w:tc>
          <w:tcPr>
            <w:tcW w:w="840" w:type="dxa"/>
            <w:gridSpan w:val="2"/>
            <w:noWrap w:val="0"/>
            <w:vAlign w:val="center"/>
          </w:tcPr>
          <w:p w14:paraId="3A5741D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1100*2300</w:t>
            </w:r>
          </w:p>
        </w:tc>
        <w:tc>
          <w:tcPr>
            <w:tcW w:w="855" w:type="dxa"/>
            <w:gridSpan w:val="2"/>
            <w:noWrap w:val="0"/>
            <w:vAlign w:val="center"/>
          </w:tcPr>
          <w:p w14:paraId="3843282B">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2000</w:t>
            </w:r>
          </w:p>
        </w:tc>
        <w:tc>
          <w:tcPr>
            <w:tcW w:w="945" w:type="dxa"/>
            <w:gridSpan w:val="2"/>
            <w:noWrap w:val="0"/>
            <w:vAlign w:val="center"/>
          </w:tcPr>
          <w:p w14:paraId="09100A8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5600</w:t>
            </w:r>
          </w:p>
        </w:tc>
        <w:tc>
          <w:tcPr>
            <w:tcW w:w="915" w:type="dxa"/>
            <w:gridSpan w:val="2"/>
            <w:noWrap w:val="0"/>
            <w:vAlign w:val="center"/>
          </w:tcPr>
          <w:p w14:paraId="593EAE2B">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2A98D8DB">
            <w:pPr>
              <w:widowControl/>
              <w:spacing w:line="300" w:lineRule="exact"/>
              <w:jc w:val="center"/>
              <w:rPr>
                <w:sz w:val="22"/>
                <w:szCs w:val="22"/>
                <w:highlight w:val="none"/>
              </w:rPr>
            </w:pPr>
            <w:r>
              <w:rPr>
                <w:rFonts w:ascii="宋体" w:hAnsi="宋体" w:eastAsia="宋体" w:cs="宋体"/>
                <w:color w:val="auto"/>
                <w:sz w:val="22"/>
                <w:szCs w:val="22"/>
                <w:highlight w:val="none"/>
              </w:rPr>
              <w:t>中开</w:t>
            </w:r>
          </w:p>
        </w:tc>
        <w:tc>
          <w:tcPr>
            <w:tcW w:w="676" w:type="dxa"/>
            <w:noWrap w:val="0"/>
            <w:vAlign w:val="center"/>
          </w:tcPr>
          <w:p w14:paraId="4A1AB6DA">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单层轿厢</w:t>
            </w:r>
          </w:p>
        </w:tc>
        <w:tc>
          <w:tcPr>
            <w:tcW w:w="690" w:type="dxa"/>
            <w:gridSpan w:val="2"/>
            <w:noWrap w:val="0"/>
            <w:vAlign w:val="center"/>
          </w:tcPr>
          <w:p w14:paraId="1DC6576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60" w:type="dxa"/>
            <w:gridSpan w:val="2"/>
            <w:noWrap w:val="0"/>
            <w:vAlign w:val="center"/>
          </w:tcPr>
          <w:p w14:paraId="520F581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6ECFF8B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302F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02DDAB80">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DT-10</w:t>
            </w:r>
            <w:r>
              <w:rPr>
                <w:rFonts w:hint="eastAsia" w:ascii="微软雅黑" w:hAnsi="微软雅黑" w:eastAsia="微软雅黑" w:cs="微软雅黑"/>
                <w:color w:val="auto"/>
                <w:sz w:val="22"/>
                <w:szCs w:val="22"/>
                <w:highlight w:val="none"/>
              </w:rPr>
              <w:t>~</w:t>
            </w:r>
            <w:r>
              <w:rPr>
                <w:rFonts w:ascii="宋体" w:hAnsi="宋体" w:eastAsia="宋体" w:cs="宋体"/>
                <w:color w:val="auto"/>
                <w:sz w:val="22"/>
                <w:szCs w:val="22"/>
                <w:highlight w:val="none"/>
              </w:rPr>
              <w:t>DT-11</w:t>
            </w:r>
          </w:p>
        </w:tc>
        <w:tc>
          <w:tcPr>
            <w:tcW w:w="1000" w:type="dxa"/>
            <w:noWrap w:val="0"/>
            <w:vAlign w:val="center"/>
          </w:tcPr>
          <w:p w14:paraId="1E25A55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2700*2200</w:t>
            </w:r>
          </w:p>
        </w:tc>
        <w:tc>
          <w:tcPr>
            <w:tcW w:w="848" w:type="dxa"/>
            <w:noWrap w:val="0"/>
            <w:vAlign w:val="center"/>
          </w:tcPr>
          <w:p w14:paraId="7FF158F7">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1300x2400</w:t>
            </w:r>
          </w:p>
        </w:tc>
        <w:tc>
          <w:tcPr>
            <w:tcW w:w="840" w:type="dxa"/>
            <w:gridSpan w:val="2"/>
            <w:noWrap w:val="0"/>
            <w:vAlign w:val="center"/>
          </w:tcPr>
          <w:p w14:paraId="71513C57">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1100x2300</w:t>
            </w:r>
          </w:p>
        </w:tc>
        <w:tc>
          <w:tcPr>
            <w:tcW w:w="855" w:type="dxa"/>
            <w:gridSpan w:val="2"/>
            <w:noWrap w:val="0"/>
            <w:vAlign w:val="center"/>
          </w:tcPr>
          <w:p w14:paraId="368C4425">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1600</w:t>
            </w:r>
          </w:p>
        </w:tc>
        <w:tc>
          <w:tcPr>
            <w:tcW w:w="945" w:type="dxa"/>
            <w:gridSpan w:val="2"/>
            <w:noWrap w:val="0"/>
            <w:vAlign w:val="center"/>
          </w:tcPr>
          <w:p w14:paraId="6DEEBAD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4820</w:t>
            </w:r>
          </w:p>
        </w:tc>
        <w:tc>
          <w:tcPr>
            <w:tcW w:w="915" w:type="dxa"/>
            <w:gridSpan w:val="2"/>
            <w:noWrap w:val="0"/>
            <w:vAlign w:val="center"/>
          </w:tcPr>
          <w:p w14:paraId="12390537">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0D91B93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中开</w:t>
            </w:r>
          </w:p>
        </w:tc>
        <w:tc>
          <w:tcPr>
            <w:tcW w:w="676" w:type="dxa"/>
            <w:noWrap w:val="0"/>
            <w:vAlign w:val="center"/>
          </w:tcPr>
          <w:p w14:paraId="3B7F537C">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单层轿厢</w:t>
            </w:r>
          </w:p>
        </w:tc>
        <w:tc>
          <w:tcPr>
            <w:tcW w:w="690" w:type="dxa"/>
            <w:gridSpan w:val="2"/>
            <w:noWrap w:val="0"/>
            <w:vAlign w:val="center"/>
          </w:tcPr>
          <w:p w14:paraId="5556E53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7296493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070880A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r>
      <w:tr w14:paraId="3C84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2DA27A59">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DT12</w:t>
            </w:r>
          </w:p>
        </w:tc>
        <w:tc>
          <w:tcPr>
            <w:tcW w:w="1000" w:type="dxa"/>
            <w:noWrap w:val="0"/>
            <w:vAlign w:val="center"/>
          </w:tcPr>
          <w:p w14:paraId="50FFE31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1800*1900</w:t>
            </w:r>
          </w:p>
        </w:tc>
        <w:tc>
          <w:tcPr>
            <w:tcW w:w="848" w:type="dxa"/>
            <w:noWrap w:val="0"/>
            <w:vAlign w:val="center"/>
          </w:tcPr>
          <w:p w14:paraId="1C8CE7AA">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900x1000</w:t>
            </w:r>
          </w:p>
        </w:tc>
        <w:tc>
          <w:tcPr>
            <w:tcW w:w="840" w:type="dxa"/>
            <w:gridSpan w:val="2"/>
            <w:noWrap w:val="0"/>
            <w:vAlign w:val="center"/>
          </w:tcPr>
          <w:p w14:paraId="15BA45A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w:t>
            </w:r>
            <w:r>
              <w:rPr>
                <w:rFonts w:ascii="宋体" w:hAnsi="宋体" w:eastAsia="宋体" w:cs="宋体"/>
                <w:color w:val="auto"/>
                <w:sz w:val="22"/>
                <w:szCs w:val="22"/>
                <w:highlight w:val="none"/>
              </w:rPr>
              <w:t>00x</w:t>
            </w:r>
            <w:r>
              <w:rPr>
                <w:rFonts w:hint="eastAsia" w:ascii="宋体" w:hAnsi="宋体" w:eastAsia="宋体" w:cs="宋体"/>
                <w:color w:val="auto"/>
                <w:sz w:val="22"/>
                <w:szCs w:val="22"/>
                <w:highlight w:val="none"/>
                <w:lang w:val="en-US" w:eastAsia="zh-CN"/>
              </w:rPr>
              <w:t>8</w:t>
            </w:r>
            <w:r>
              <w:rPr>
                <w:rFonts w:ascii="宋体" w:hAnsi="宋体" w:eastAsia="宋体" w:cs="宋体"/>
                <w:color w:val="auto"/>
                <w:sz w:val="22"/>
                <w:szCs w:val="22"/>
                <w:highlight w:val="none"/>
              </w:rPr>
              <w:t>00</w:t>
            </w:r>
          </w:p>
        </w:tc>
        <w:tc>
          <w:tcPr>
            <w:tcW w:w="855" w:type="dxa"/>
            <w:gridSpan w:val="2"/>
            <w:noWrap w:val="0"/>
            <w:vAlign w:val="center"/>
          </w:tcPr>
          <w:p w14:paraId="1921FE5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945" w:type="dxa"/>
            <w:gridSpan w:val="2"/>
            <w:noWrap w:val="0"/>
            <w:vAlign w:val="center"/>
          </w:tcPr>
          <w:p w14:paraId="4DF6F71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3900</w:t>
            </w:r>
          </w:p>
        </w:tc>
        <w:tc>
          <w:tcPr>
            <w:tcW w:w="915" w:type="dxa"/>
            <w:gridSpan w:val="2"/>
            <w:noWrap w:val="0"/>
            <w:vAlign w:val="center"/>
          </w:tcPr>
          <w:p w14:paraId="1B8CD2D6">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0358D19A">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中开</w:t>
            </w:r>
          </w:p>
        </w:tc>
        <w:tc>
          <w:tcPr>
            <w:tcW w:w="676" w:type="dxa"/>
            <w:noWrap w:val="0"/>
            <w:vAlign w:val="center"/>
          </w:tcPr>
          <w:p w14:paraId="31A9DECD">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单层轿厢</w:t>
            </w:r>
          </w:p>
        </w:tc>
        <w:tc>
          <w:tcPr>
            <w:tcW w:w="690" w:type="dxa"/>
            <w:gridSpan w:val="2"/>
            <w:noWrap w:val="0"/>
            <w:vAlign w:val="center"/>
          </w:tcPr>
          <w:p w14:paraId="5A16B78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60" w:type="dxa"/>
            <w:gridSpan w:val="2"/>
            <w:noWrap w:val="0"/>
            <w:vAlign w:val="center"/>
          </w:tcPr>
          <w:p w14:paraId="429DB7B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329FCC1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r>
    </w:tbl>
    <w:p w14:paraId="27F52E5D">
      <w:pPr>
        <w:pStyle w:val="20"/>
        <w:rPr>
          <w:highlight w:val="none"/>
        </w:rPr>
      </w:pPr>
    </w:p>
    <w:p w14:paraId="17EF00A9">
      <w:pPr>
        <w:rPr>
          <w:highlight w:val="none"/>
        </w:rPr>
      </w:pPr>
    </w:p>
    <w:p w14:paraId="4D5543F3">
      <w:pPr>
        <w:pStyle w:val="20"/>
        <w:rPr>
          <w:highlight w:val="none"/>
        </w:rPr>
      </w:pPr>
    </w:p>
    <w:p w14:paraId="7D655EF9">
      <w:pPr>
        <w:pStyle w:val="20"/>
        <w:jc w:val="center"/>
        <w:rPr>
          <w:rFonts w:hint="eastAsia"/>
          <w:sz w:val="24"/>
          <w:szCs w:val="24"/>
          <w:highlight w:val="none"/>
          <w:lang w:val="en-US" w:eastAsia="zh-CN"/>
        </w:rPr>
      </w:pPr>
    </w:p>
    <w:p w14:paraId="4E1A49CC">
      <w:pPr>
        <w:rPr>
          <w:rFonts w:hint="eastAsia"/>
          <w:sz w:val="24"/>
          <w:szCs w:val="24"/>
          <w:highlight w:val="none"/>
          <w:lang w:val="en-US" w:eastAsia="zh-CN"/>
        </w:rPr>
      </w:pPr>
      <w:r>
        <w:rPr>
          <w:rFonts w:hint="eastAsia"/>
          <w:sz w:val="24"/>
          <w:szCs w:val="24"/>
          <w:highlight w:val="none"/>
          <w:lang w:val="en-US" w:eastAsia="zh-CN"/>
        </w:rPr>
        <w:br w:type="page"/>
      </w:r>
    </w:p>
    <w:p w14:paraId="49850C35">
      <w:pPr>
        <w:pStyle w:val="20"/>
        <w:keepNext w:val="0"/>
        <w:keepLines w:val="0"/>
        <w:pageBreakBefore w:val="0"/>
        <w:widowControl/>
        <w:kinsoku/>
        <w:wordWrap/>
        <w:overflowPunct/>
        <w:topLinePunct w:val="0"/>
        <w:autoSpaceDE/>
        <w:autoSpaceDN/>
        <w:bidi w:val="0"/>
        <w:adjustRightInd/>
        <w:snapToGrid/>
        <w:spacing w:after="0"/>
        <w:jc w:val="center"/>
        <w:textAlignment w:val="auto"/>
        <w:rPr>
          <w:highlight w:val="none"/>
        </w:rPr>
      </w:pPr>
      <w:r>
        <w:rPr>
          <w:rFonts w:hint="eastAsia"/>
          <w:sz w:val="24"/>
          <w:szCs w:val="24"/>
          <w:highlight w:val="none"/>
          <w:lang w:val="en-US" w:eastAsia="zh-CN"/>
        </w:rPr>
        <w:t>3</w:t>
      </w:r>
      <w:r>
        <w:rPr>
          <w:rFonts w:hint="eastAsia"/>
          <w:sz w:val="24"/>
          <w:szCs w:val="24"/>
          <w:highlight w:val="none"/>
        </w:rPr>
        <w:t>#楼垂直电梯参数表</w:t>
      </w:r>
    </w:p>
    <w:tbl>
      <w:tblPr>
        <w:tblStyle w:val="31"/>
        <w:tblW w:w="9631"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000"/>
        <w:gridCol w:w="863"/>
        <w:gridCol w:w="714"/>
        <w:gridCol w:w="111"/>
        <w:gridCol w:w="720"/>
        <w:gridCol w:w="135"/>
        <w:gridCol w:w="885"/>
        <w:gridCol w:w="60"/>
        <w:gridCol w:w="705"/>
        <w:gridCol w:w="210"/>
        <w:gridCol w:w="659"/>
        <w:gridCol w:w="676"/>
        <w:gridCol w:w="193"/>
        <w:gridCol w:w="497"/>
        <w:gridCol w:w="525"/>
        <w:gridCol w:w="135"/>
        <w:gridCol w:w="668"/>
      </w:tblGrid>
      <w:tr w14:paraId="3BD2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36FF53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34F1D51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电梯类型</w:t>
            </w:r>
          </w:p>
        </w:tc>
        <w:tc>
          <w:tcPr>
            <w:tcW w:w="1577" w:type="dxa"/>
            <w:gridSpan w:val="2"/>
            <w:noWrap w:val="0"/>
            <w:vAlign w:val="center"/>
          </w:tcPr>
          <w:p w14:paraId="26F61E6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功能</w:t>
            </w:r>
          </w:p>
        </w:tc>
        <w:tc>
          <w:tcPr>
            <w:tcW w:w="831" w:type="dxa"/>
            <w:gridSpan w:val="2"/>
            <w:noWrap w:val="0"/>
            <w:vAlign w:val="center"/>
          </w:tcPr>
          <w:p w14:paraId="089C129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无障碍设施</w:t>
            </w:r>
          </w:p>
        </w:tc>
        <w:tc>
          <w:tcPr>
            <w:tcW w:w="1020" w:type="dxa"/>
            <w:gridSpan w:val="2"/>
            <w:noWrap w:val="0"/>
            <w:vAlign w:val="center"/>
          </w:tcPr>
          <w:p w14:paraId="5D0C052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服务楼层</w:t>
            </w:r>
          </w:p>
        </w:tc>
        <w:tc>
          <w:tcPr>
            <w:tcW w:w="765" w:type="dxa"/>
            <w:gridSpan w:val="2"/>
            <w:noWrap w:val="0"/>
            <w:vAlign w:val="center"/>
          </w:tcPr>
          <w:p w14:paraId="63A7B41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服务总层数</w:t>
            </w:r>
          </w:p>
        </w:tc>
        <w:tc>
          <w:tcPr>
            <w:tcW w:w="869" w:type="dxa"/>
            <w:gridSpan w:val="2"/>
            <w:noWrap w:val="0"/>
            <w:vAlign w:val="center"/>
          </w:tcPr>
          <w:p w14:paraId="2E9CCFA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提升高度(m)</w:t>
            </w:r>
          </w:p>
        </w:tc>
        <w:tc>
          <w:tcPr>
            <w:tcW w:w="869" w:type="dxa"/>
            <w:gridSpan w:val="2"/>
            <w:noWrap w:val="0"/>
            <w:vAlign w:val="center"/>
          </w:tcPr>
          <w:p w14:paraId="53DEE85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电梯数目</w:t>
            </w:r>
          </w:p>
        </w:tc>
        <w:tc>
          <w:tcPr>
            <w:tcW w:w="1022" w:type="dxa"/>
            <w:gridSpan w:val="2"/>
            <w:noWrap w:val="0"/>
            <w:vAlign w:val="center"/>
          </w:tcPr>
          <w:p w14:paraId="6BA41C2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载</w:t>
            </w:r>
            <w:r>
              <w:rPr>
                <w:rFonts w:hint="eastAsia" w:ascii="宋体" w:hAnsi="宋体" w:eastAsia="宋体" w:cs="宋体"/>
                <w:color w:val="auto"/>
                <w:sz w:val="22"/>
                <w:szCs w:val="22"/>
                <w:highlight w:val="none"/>
              </w:rPr>
              <w:t>重</w:t>
            </w:r>
          </w:p>
          <w:p w14:paraId="1779BB5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(kg)</w:t>
            </w:r>
          </w:p>
        </w:tc>
        <w:tc>
          <w:tcPr>
            <w:tcW w:w="803" w:type="dxa"/>
            <w:gridSpan w:val="2"/>
            <w:noWrap w:val="0"/>
            <w:vAlign w:val="center"/>
          </w:tcPr>
          <w:p w14:paraId="4EE64D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速度</w:t>
            </w:r>
          </w:p>
          <w:p w14:paraId="332EBB5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(m/s)</w:t>
            </w:r>
          </w:p>
        </w:tc>
      </w:tr>
      <w:tr w14:paraId="67BE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012E232F">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DT-1</w:t>
            </w:r>
          </w:p>
        </w:tc>
        <w:tc>
          <w:tcPr>
            <w:tcW w:w="1000" w:type="dxa"/>
            <w:noWrap w:val="0"/>
            <w:vAlign w:val="center"/>
          </w:tcPr>
          <w:p w14:paraId="43CFCD43">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无障碍担架电梯</w:t>
            </w:r>
          </w:p>
        </w:tc>
        <w:tc>
          <w:tcPr>
            <w:tcW w:w="1577" w:type="dxa"/>
            <w:gridSpan w:val="2"/>
            <w:noWrap w:val="0"/>
            <w:vAlign w:val="center"/>
          </w:tcPr>
          <w:p w14:paraId="522C698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14</w:t>
            </w:r>
            <w:r>
              <w:rPr>
                <w:rFonts w:hint="eastAsia" w:ascii="宋体" w:hAnsi="宋体" w:eastAsia="宋体" w:cs="宋体"/>
                <w:color w:val="auto"/>
                <w:sz w:val="22"/>
                <w:szCs w:val="22"/>
                <w:highlight w:val="none"/>
              </w:rPr>
              <w:t>层客梯、地下机动车库</w:t>
            </w:r>
          </w:p>
        </w:tc>
        <w:tc>
          <w:tcPr>
            <w:tcW w:w="831" w:type="dxa"/>
            <w:gridSpan w:val="2"/>
            <w:noWrap w:val="0"/>
            <w:vAlign w:val="center"/>
          </w:tcPr>
          <w:p w14:paraId="752E8D6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54E65B3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14</w:t>
            </w:r>
            <w:r>
              <w:rPr>
                <w:rFonts w:hint="eastAsia" w:ascii="宋体" w:hAnsi="宋体" w:eastAsia="宋体" w:cs="宋体"/>
                <w:color w:val="auto"/>
                <w:sz w:val="22"/>
                <w:szCs w:val="22"/>
                <w:highlight w:val="none"/>
              </w:rPr>
              <w:t>F</w:t>
            </w:r>
          </w:p>
        </w:tc>
        <w:tc>
          <w:tcPr>
            <w:tcW w:w="765" w:type="dxa"/>
            <w:gridSpan w:val="2"/>
            <w:noWrap w:val="0"/>
            <w:vAlign w:val="center"/>
          </w:tcPr>
          <w:p w14:paraId="50295EC3">
            <w:pPr>
              <w:widowControl/>
              <w:spacing w:line="3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p>
        </w:tc>
        <w:tc>
          <w:tcPr>
            <w:tcW w:w="869" w:type="dxa"/>
            <w:gridSpan w:val="2"/>
            <w:noWrap w:val="0"/>
            <w:vAlign w:val="center"/>
          </w:tcPr>
          <w:p w14:paraId="464886B4">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5</w:t>
            </w:r>
            <w:r>
              <w:rPr>
                <w:rFonts w:hint="eastAsia" w:ascii="宋体" w:hAnsi="宋体" w:eastAsia="宋体" w:cs="宋体"/>
                <w:color w:val="auto"/>
                <w:sz w:val="22"/>
                <w:szCs w:val="22"/>
                <w:highlight w:val="none"/>
                <w:lang w:val="en-US" w:eastAsia="zh-CN"/>
              </w:rPr>
              <w:t>3.79</w:t>
            </w:r>
          </w:p>
        </w:tc>
        <w:tc>
          <w:tcPr>
            <w:tcW w:w="869" w:type="dxa"/>
            <w:gridSpan w:val="2"/>
            <w:noWrap w:val="0"/>
            <w:vAlign w:val="center"/>
          </w:tcPr>
          <w:p w14:paraId="71F831E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6A97A41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4D5349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56EC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3F5EB541">
            <w:pPr>
              <w:widowControl/>
              <w:spacing w:line="300" w:lineRule="exact"/>
              <w:jc w:val="center"/>
              <w:rPr>
                <w:rFonts w:hint="eastAsia" w:ascii="宋体" w:hAnsi="宋体" w:eastAsia="宋体" w:cs="宋体"/>
                <w:color w:val="auto"/>
                <w:sz w:val="22"/>
                <w:szCs w:val="22"/>
                <w:highlight w:val="none"/>
                <w:lang w:val="en-US" w:eastAsia="zh-CN"/>
              </w:rPr>
            </w:pPr>
            <w:r>
              <w:rPr>
                <w:rFonts w:hint="eastAsia" w:ascii="宋体" w:hAnsi="宋体" w:cs="宋体"/>
                <w:highlight w:val="none"/>
              </w:rPr>
              <w:t>DT-</w:t>
            </w:r>
            <w:r>
              <w:rPr>
                <w:rFonts w:hint="eastAsia" w:ascii="宋体" w:hAnsi="宋体" w:eastAsia="宋体" w:cs="宋体"/>
                <w:highlight w:val="none"/>
                <w:lang w:val="en-US" w:eastAsia="zh-CN"/>
              </w:rPr>
              <w:t>2</w:t>
            </w:r>
          </w:p>
        </w:tc>
        <w:tc>
          <w:tcPr>
            <w:tcW w:w="1000" w:type="dxa"/>
            <w:noWrap w:val="0"/>
            <w:vAlign w:val="center"/>
          </w:tcPr>
          <w:p w14:paraId="0C51C95D">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客梯兼消防电梯</w:t>
            </w:r>
          </w:p>
        </w:tc>
        <w:tc>
          <w:tcPr>
            <w:tcW w:w="1577" w:type="dxa"/>
            <w:gridSpan w:val="2"/>
            <w:noWrap w:val="0"/>
            <w:vAlign w:val="center"/>
          </w:tcPr>
          <w:p w14:paraId="41B87CC3">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14</w:t>
            </w:r>
            <w:r>
              <w:rPr>
                <w:rFonts w:hint="eastAsia" w:ascii="宋体" w:hAnsi="宋体" w:eastAsia="宋体" w:cs="宋体"/>
                <w:color w:val="auto"/>
                <w:sz w:val="22"/>
                <w:szCs w:val="22"/>
                <w:highlight w:val="none"/>
              </w:rPr>
              <w:t>层客梯、消防电</w:t>
            </w:r>
            <w:r>
              <w:rPr>
                <w:rFonts w:hint="eastAsia" w:ascii="宋体" w:hAnsi="宋体" w:eastAsia="宋体" w:cs="宋体"/>
                <w:color w:val="auto"/>
                <w:sz w:val="22"/>
                <w:szCs w:val="22"/>
                <w:highlight w:val="none"/>
                <w:lang w:val="en-US" w:eastAsia="zh-CN"/>
              </w:rPr>
              <w:t>梯</w:t>
            </w:r>
            <w:r>
              <w:rPr>
                <w:rFonts w:hint="eastAsia" w:ascii="宋体" w:hAnsi="宋体" w:eastAsia="宋体" w:cs="宋体"/>
                <w:color w:val="auto"/>
                <w:sz w:val="22"/>
                <w:szCs w:val="22"/>
                <w:highlight w:val="none"/>
              </w:rPr>
              <w:t>、地下机动车库</w:t>
            </w:r>
          </w:p>
        </w:tc>
        <w:tc>
          <w:tcPr>
            <w:tcW w:w="831" w:type="dxa"/>
            <w:gridSpan w:val="2"/>
            <w:noWrap w:val="0"/>
            <w:vAlign w:val="center"/>
          </w:tcPr>
          <w:p w14:paraId="74B09FF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c>
          <w:tcPr>
            <w:tcW w:w="1020" w:type="dxa"/>
            <w:gridSpan w:val="2"/>
            <w:noWrap w:val="0"/>
            <w:vAlign w:val="center"/>
          </w:tcPr>
          <w:p w14:paraId="513724B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14</w:t>
            </w:r>
            <w:r>
              <w:rPr>
                <w:rFonts w:hint="eastAsia" w:ascii="宋体" w:hAnsi="宋体" w:eastAsia="宋体" w:cs="宋体"/>
                <w:color w:val="auto"/>
                <w:sz w:val="22"/>
                <w:szCs w:val="22"/>
                <w:highlight w:val="none"/>
              </w:rPr>
              <w:t>F</w:t>
            </w:r>
          </w:p>
        </w:tc>
        <w:tc>
          <w:tcPr>
            <w:tcW w:w="765" w:type="dxa"/>
            <w:gridSpan w:val="2"/>
            <w:noWrap w:val="0"/>
            <w:vAlign w:val="center"/>
          </w:tcPr>
          <w:p w14:paraId="5A48AA60">
            <w:pPr>
              <w:widowControl/>
              <w:spacing w:line="3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p>
        </w:tc>
        <w:tc>
          <w:tcPr>
            <w:tcW w:w="869" w:type="dxa"/>
            <w:gridSpan w:val="2"/>
            <w:noWrap w:val="0"/>
            <w:vAlign w:val="center"/>
          </w:tcPr>
          <w:p w14:paraId="1DC8B498">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53.79</w:t>
            </w:r>
          </w:p>
        </w:tc>
        <w:tc>
          <w:tcPr>
            <w:tcW w:w="869" w:type="dxa"/>
            <w:gridSpan w:val="2"/>
            <w:noWrap w:val="0"/>
            <w:vAlign w:val="center"/>
          </w:tcPr>
          <w:p w14:paraId="350597A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3E8BCFB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1050</w:t>
            </w:r>
          </w:p>
        </w:tc>
        <w:tc>
          <w:tcPr>
            <w:tcW w:w="803" w:type="dxa"/>
            <w:gridSpan w:val="2"/>
            <w:noWrap w:val="0"/>
            <w:vAlign w:val="center"/>
          </w:tcPr>
          <w:p w14:paraId="523778E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51EC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1" w:type="dxa"/>
            <w:gridSpan w:val="18"/>
            <w:noWrap w:val="0"/>
            <w:vAlign w:val="center"/>
          </w:tcPr>
          <w:p w14:paraId="546193B3">
            <w:pPr>
              <w:widowControl/>
              <w:spacing w:line="300" w:lineRule="exact"/>
              <w:jc w:val="both"/>
              <w:rPr>
                <w:rFonts w:hint="eastAsia" w:ascii="宋体" w:hAnsi="宋体" w:eastAsia="宋体" w:cs="宋体"/>
                <w:color w:val="auto"/>
                <w:sz w:val="22"/>
                <w:szCs w:val="22"/>
                <w:highlight w:val="none"/>
              </w:rPr>
            </w:pPr>
          </w:p>
        </w:tc>
      </w:tr>
      <w:tr w14:paraId="792B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5D6B9C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2576821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井道尺寸</w:t>
            </w:r>
          </w:p>
          <w:p w14:paraId="7F4D4C0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(宽x深)</w:t>
            </w:r>
          </w:p>
          <w:p w14:paraId="7AC358C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63" w:type="dxa"/>
            <w:noWrap w:val="0"/>
            <w:vAlign w:val="center"/>
          </w:tcPr>
          <w:p w14:paraId="2BEBA60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门洞土建尺寸（宽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5A60819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25" w:type="dxa"/>
            <w:gridSpan w:val="2"/>
            <w:noWrap w:val="0"/>
            <w:vAlign w:val="center"/>
          </w:tcPr>
          <w:p w14:paraId="04E7643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开门</w:t>
            </w:r>
            <w:r>
              <w:rPr>
                <w:rFonts w:hint="eastAsia" w:ascii="宋体" w:hAnsi="宋体" w:eastAsia="宋体" w:cs="宋体"/>
                <w:color w:val="auto"/>
                <w:sz w:val="22"/>
                <w:szCs w:val="22"/>
                <w:highlight w:val="none"/>
              </w:rPr>
              <w:t>净尺寸（宽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01B5990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55" w:type="dxa"/>
            <w:gridSpan w:val="2"/>
            <w:noWrap w:val="0"/>
            <w:vAlign w:val="center"/>
          </w:tcPr>
          <w:p w14:paraId="201666C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底坑深度（mm)</w:t>
            </w:r>
          </w:p>
        </w:tc>
        <w:tc>
          <w:tcPr>
            <w:tcW w:w="945" w:type="dxa"/>
            <w:gridSpan w:val="2"/>
            <w:noWrap w:val="0"/>
            <w:vAlign w:val="center"/>
          </w:tcPr>
          <w:p w14:paraId="2A44AF4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顶层层高</w:t>
            </w:r>
          </w:p>
          <w:p w14:paraId="693BD9D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15" w:type="dxa"/>
            <w:gridSpan w:val="2"/>
            <w:noWrap w:val="0"/>
            <w:vAlign w:val="center"/>
          </w:tcPr>
          <w:p w14:paraId="2626266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机房层高</w:t>
            </w:r>
          </w:p>
          <w:p w14:paraId="12924EB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659" w:type="dxa"/>
            <w:noWrap w:val="0"/>
            <w:vAlign w:val="center"/>
          </w:tcPr>
          <w:p w14:paraId="59A74F1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轿厢门类型</w:t>
            </w:r>
          </w:p>
        </w:tc>
        <w:tc>
          <w:tcPr>
            <w:tcW w:w="676" w:type="dxa"/>
            <w:noWrap w:val="0"/>
            <w:vAlign w:val="center"/>
          </w:tcPr>
          <w:p w14:paraId="09962AE6">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轿厢类型</w:t>
            </w:r>
          </w:p>
        </w:tc>
        <w:tc>
          <w:tcPr>
            <w:tcW w:w="690" w:type="dxa"/>
            <w:gridSpan w:val="2"/>
            <w:noWrap w:val="0"/>
            <w:vAlign w:val="center"/>
          </w:tcPr>
          <w:p w14:paraId="234ECF5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控制方式</w:t>
            </w:r>
          </w:p>
        </w:tc>
        <w:tc>
          <w:tcPr>
            <w:tcW w:w="660" w:type="dxa"/>
            <w:gridSpan w:val="2"/>
            <w:noWrap w:val="0"/>
            <w:vAlign w:val="center"/>
          </w:tcPr>
          <w:p w14:paraId="58AE1B4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对重位置</w:t>
            </w:r>
          </w:p>
        </w:tc>
        <w:tc>
          <w:tcPr>
            <w:tcW w:w="668" w:type="dxa"/>
            <w:noWrap w:val="0"/>
            <w:vAlign w:val="center"/>
          </w:tcPr>
          <w:p w14:paraId="6F2E3A5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对重安全钳</w:t>
            </w:r>
          </w:p>
        </w:tc>
      </w:tr>
      <w:tr w14:paraId="04095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75" w:type="dxa"/>
            <w:noWrap w:val="0"/>
            <w:vAlign w:val="center"/>
          </w:tcPr>
          <w:p w14:paraId="46408653">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DT-1</w:t>
            </w:r>
          </w:p>
        </w:tc>
        <w:tc>
          <w:tcPr>
            <w:tcW w:w="1000" w:type="dxa"/>
            <w:noWrap w:val="0"/>
            <w:vAlign w:val="center"/>
          </w:tcPr>
          <w:p w14:paraId="73945A02">
            <w:pPr>
              <w:pStyle w:val="20"/>
              <w:widowControl w:val="0"/>
              <w:jc w:val="center"/>
              <w:rPr>
                <w:rFonts w:hint="eastAsia" w:ascii="宋体" w:hAnsi="宋体" w:eastAsia="宋体" w:cs="宋体"/>
                <w:color w:val="auto"/>
                <w:sz w:val="22"/>
                <w:szCs w:val="22"/>
                <w:highlight w:val="none"/>
              </w:rPr>
            </w:pPr>
            <w:r>
              <w:rPr>
                <w:rFonts w:hint="eastAsia" w:ascii="宋体" w:hAnsi="宋体" w:cs="宋体"/>
                <w:color w:val="auto"/>
                <w:highlight w:val="none"/>
              </w:rPr>
              <w:t>2500x3000</w:t>
            </w:r>
          </w:p>
        </w:tc>
        <w:tc>
          <w:tcPr>
            <w:tcW w:w="863" w:type="dxa"/>
            <w:noWrap w:val="0"/>
            <w:vAlign w:val="center"/>
          </w:tcPr>
          <w:p w14:paraId="446CABAD">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1500x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25A695DC">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cs="宋体"/>
                <w:color w:val="auto"/>
                <w:highlight w:val="none"/>
              </w:rPr>
              <w:t>00×</w:t>
            </w:r>
            <w:r>
              <w:rPr>
                <w:rFonts w:hint="eastAsia" w:ascii="宋体" w:hAnsi="宋体" w:eastAsia="宋体" w:cs="宋体"/>
                <w:color w:val="auto"/>
                <w:highlight w:val="none"/>
                <w:lang w:val="en-US" w:eastAsia="zh-CN"/>
              </w:rPr>
              <w:t>2100</w:t>
            </w:r>
          </w:p>
        </w:tc>
        <w:tc>
          <w:tcPr>
            <w:tcW w:w="855" w:type="dxa"/>
            <w:gridSpan w:val="2"/>
            <w:noWrap w:val="0"/>
            <w:vAlign w:val="center"/>
          </w:tcPr>
          <w:p w14:paraId="6B8EA606">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2</w:t>
            </w:r>
            <w:r>
              <w:rPr>
                <w:rFonts w:hint="eastAsia" w:ascii="宋体" w:hAnsi="宋体" w:eastAsia="宋体" w:cs="宋体"/>
                <w:color w:val="auto"/>
                <w:sz w:val="22"/>
                <w:szCs w:val="22"/>
                <w:highlight w:val="none"/>
                <w:lang w:val="en-US" w:eastAsia="zh-CN"/>
              </w:rPr>
              <w:t>000</w:t>
            </w:r>
          </w:p>
        </w:tc>
        <w:tc>
          <w:tcPr>
            <w:tcW w:w="945" w:type="dxa"/>
            <w:gridSpan w:val="2"/>
            <w:noWrap w:val="0"/>
            <w:vAlign w:val="center"/>
          </w:tcPr>
          <w:p w14:paraId="4B50A1A9">
            <w:pPr>
              <w:widowControl/>
              <w:spacing w:line="300" w:lineRule="exac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4850</w:t>
            </w:r>
          </w:p>
        </w:tc>
        <w:tc>
          <w:tcPr>
            <w:tcW w:w="915" w:type="dxa"/>
            <w:gridSpan w:val="2"/>
            <w:noWrap w:val="0"/>
            <w:vAlign w:val="center"/>
          </w:tcPr>
          <w:p w14:paraId="5DA4B7B5">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rPr>
              <w:t>3400</w:t>
            </w:r>
          </w:p>
        </w:tc>
        <w:tc>
          <w:tcPr>
            <w:tcW w:w="659" w:type="dxa"/>
            <w:noWrap w:val="0"/>
            <w:vAlign w:val="center"/>
          </w:tcPr>
          <w:p w14:paraId="7C62E983">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旁开</w:t>
            </w:r>
          </w:p>
        </w:tc>
        <w:tc>
          <w:tcPr>
            <w:tcW w:w="676" w:type="dxa"/>
            <w:noWrap w:val="0"/>
            <w:vAlign w:val="center"/>
          </w:tcPr>
          <w:p w14:paraId="78F7471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073C647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3C1D600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0E3B716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15DFA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45080FE4">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DT-</w:t>
            </w:r>
            <w:r>
              <w:rPr>
                <w:rFonts w:hint="eastAsia" w:ascii="宋体" w:hAnsi="宋体" w:eastAsia="宋体" w:cs="宋体"/>
                <w:color w:val="auto"/>
                <w:highlight w:val="none"/>
                <w:lang w:val="en-US" w:eastAsia="zh-CN"/>
              </w:rPr>
              <w:t>2</w:t>
            </w:r>
          </w:p>
        </w:tc>
        <w:tc>
          <w:tcPr>
            <w:tcW w:w="1000" w:type="dxa"/>
            <w:noWrap w:val="0"/>
            <w:vAlign w:val="center"/>
          </w:tcPr>
          <w:p w14:paraId="58D30835">
            <w:pPr>
              <w:pStyle w:val="20"/>
              <w:widowControl w:val="0"/>
              <w:jc w:val="center"/>
              <w:rPr>
                <w:rFonts w:hint="eastAsia" w:ascii="宋体" w:hAnsi="宋体" w:eastAsia="宋体" w:cs="宋体"/>
                <w:snapToGrid/>
                <w:color w:val="auto"/>
                <w:sz w:val="22"/>
                <w:szCs w:val="22"/>
                <w:highlight w:val="none"/>
                <w:lang w:val="en-US" w:eastAsia="zh-CN" w:bidi="ar-SA"/>
              </w:rPr>
            </w:pPr>
            <w:r>
              <w:rPr>
                <w:rFonts w:hint="eastAsia" w:ascii="宋体" w:hAnsi="宋体" w:cs="宋体"/>
                <w:color w:val="auto"/>
                <w:highlight w:val="none"/>
              </w:rPr>
              <w:t>2400x2400</w:t>
            </w:r>
          </w:p>
        </w:tc>
        <w:tc>
          <w:tcPr>
            <w:tcW w:w="863" w:type="dxa"/>
            <w:noWrap w:val="0"/>
            <w:vAlign w:val="center"/>
          </w:tcPr>
          <w:p w14:paraId="70F6CADE">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490247BD">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cs="宋体"/>
                <w:color w:val="auto"/>
                <w:highlight w:val="none"/>
              </w:rPr>
              <w:t>00x</w:t>
            </w:r>
            <w:r>
              <w:rPr>
                <w:rFonts w:hint="eastAsia" w:ascii="宋体" w:hAnsi="宋体" w:eastAsia="宋体" w:cs="宋体"/>
                <w:color w:val="auto"/>
                <w:highlight w:val="none"/>
                <w:lang w:val="en-US" w:eastAsia="zh-CN"/>
              </w:rPr>
              <w:t>2100</w:t>
            </w:r>
          </w:p>
        </w:tc>
        <w:tc>
          <w:tcPr>
            <w:tcW w:w="855" w:type="dxa"/>
            <w:gridSpan w:val="2"/>
            <w:noWrap w:val="0"/>
            <w:vAlign w:val="center"/>
          </w:tcPr>
          <w:p w14:paraId="5285C626">
            <w:pPr>
              <w:widowControl/>
              <w:spacing w:line="300" w:lineRule="exact"/>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20</w:t>
            </w:r>
            <w:r>
              <w:rPr>
                <w:rFonts w:hint="default" w:ascii="宋体" w:hAnsi="宋体" w:eastAsia="宋体" w:cs="宋体"/>
                <w:color w:val="auto"/>
                <w:sz w:val="22"/>
                <w:szCs w:val="22"/>
                <w:highlight w:val="none"/>
                <w:lang w:val="en-US"/>
              </w:rPr>
              <w:t>00</w:t>
            </w:r>
          </w:p>
        </w:tc>
        <w:tc>
          <w:tcPr>
            <w:tcW w:w="945" w:type="dxa"/>
            <w:gridSpan w:val="2"/>
            <w:noWrap w:val="0"/>
            <w:vAlign w:val="center"/>
          </w:tcPr>
          <w:p w14:paraId="5BD02D8A">
            <w:pPr>
              <w:widowControl/>
              <w:spacing w:line="300" w:lineRule="exact"/>
              <w:jc w:val="center"/>
              <w:rPr>
                <w:rFonts w:hint="eastAsia" w:ascii="宋体" w:hAnsi="宋体" w:cs="宋体"/>
                <w:color w:val="auto"/>
                <w:highlight w:val="none"/>
              </w:rPr>
            </w:pPr>
            <w:r>
              <w:rPr>
                <w:rFonts w:hint="eastAsia" w:ascii="宋体" w:hAnsi="宋体" w:eastAsia="宋体" w:cs="宋体"/>
                <w:color w:val="auto"/>
                <w:highlight w:val="none"/>
                <w:lang w:val="en-US" w:eastAsia="zh-CN"/>
              </w:rPr>
              <w:t>8200</w:t>
            </w:r>
          </w:p>
        </w:tc>
        <w:tc>
          <w:tcPr>
            <w:tcW w:w="915" w:type="dxa"/>
            <w:gridSpan w:val="2"/>
            <w:noWrap w:val="0"/>
            <w:vAlign w:val="center"/>
          </w:tcPr>
          <w:p w14:paraId="0480AA88">
            <w:pPr>
              <w:widowControl/>
              <w:spacing w:line="300" w:lineRule="exact"/>
              <w:jc w:val="center"/>
              <w:rPr>
                <w:rFonts w:hint="default" w:ascii="宋体" w:hAnsi="宋体" w:eastAsia="宋体" w:cs="宋体"/>
                <w:color w:val="auto"/>
                <w:highlight w:val="none"/>
                <w:lang w:val="en-US" w:eastAsia="zh-CN"/>
              </w:rPr>
            </w:pPr>
            <w:r>
              <w:rPr>
                <w:rFonts w:ascii="宋体" w:hAnsi="宋体" w:eastAsia="宋体" w:cs="宋体"/>
                <w:color w:val="auto"/>
                <w:sz w:val="22"/>
                <w:szCs w:val="22"/>
                <w:highlight w:val="none"/>
              </w:rPr>
              <w:t>无机房</w:t>
            </w:r>
          </w:p>
        </w:tc>
        <w:tc>
          <w:tcPr>
            <w:tcW w:w="659" w:type="dxa"/>
            <w:noWrap w:val="0"/>
            <w:vAlign w:val="center"/>
          </w:tcPr>
          <w:p w14:paraId="6ABA7EBB">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中开</w:t>
            </w:r>
          </w:p>
        </w:tc>
        <w:tc>
          <w:tcPr>
            <w:tcW w:w="676" w:type="dxa"/>
            <w:noWrap w:val="0"/>
            <w:vAlign w:val="center"/>
          </w:tcPr>
          <w:p w14:paraId="16B1FBE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4CCEDDB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33FE8E1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35BED3D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bl>
    <w:p w14:paraId="2DB14C36">
      <w:pPr>
        <w:rPr>
          <w:highlight w:val="none"/>
        </w:rPr>
      </w:pPr>
    </w:p>
    <w:p w14:paraId="1D0DD0E9">
      <w:pPr>
        <w:rPr>
          <w:rFonts w:hint="eastAsia"/>
          <w:sz w:val="24"/>
          <w:szCs w:val="24"/>
          <w:highlight w:val="none"/>
          <w:lang w:val="en-US" w:eastAsia="zh-CN"/>
        </w:rPr>
      </w:pPr>
      <w:r>
        <w:rPr>
          <w:rFonts w:hint="eastAsia"/>
          <w:sz w:val="24"/>
          <w:szCs w:val="24"/>
          <w:highlight w:val="none"/>
          <w:lang w:val="en-US" w:eastAsia="zh-CN"/>
        </w:rPr>
        <w:br w:type="page"/>
      </w:r>
    </w:p>
    <w:p w14:paraId="5F168C81">
      <w:pPr>
        <w:pStyle w:val="20"/>
        <w:jc w:val="center"/>
        <w:rPr>
          <w:sz w:val="24"/>
          <w:szCs w:val="24"/>
          <w:highlight w:val="none"/>
        </w:rPr>
      </w:pPr>
      <w:r>
        <w:rPr>
          <w:rFonts w:hint="eastAsia"/>
          <w:sz w:val="24"/>
          <w:szCs w:val="24"/>
          <w:highlight w:val="none"/>
          <w:lang w:val="en-US" w:eastAsia="zh-CN"/>
        </w:rPr>
        <w:t>4</w:t>
      </w:r>
      <w:r>
        <w:rPr>
          <w:rFonts w:hint="eastAsia"/>
          <w:sz w:val="24"/>
          <w:szCs w:val="24"/>
          <w:highlight w:val="none"/>
        </w:rPr>
        <w:t>#楼垂直电梯参数表</w:t>
      </w:r>
    </w:p>
    <w:tbl>
      <w:tblPr>
        <w:tblStyle w:val="31"/>
        <w:tblW w:w="9631"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000"/>
        <w:gridCol w:w="878"/>
        <w:gridCol w:w="699"/>
        <w:gridCol w:w="126"/>
        <w:gridCol w:w="705"/>
        <w:gridCol w:w="135"/>
        <w:gridCol w:w="885"/>
        <w:gridCol w:w="60"/>
        <w:gridCol w:w="705"/>
        <w:gridCol w:w="210"/>
        <w:gridCol w:w="659"/>
        <w:gridCol w:w="676"/>
        <w:gridCol w:w="193"/>
        <w:gridCol w:w="497"/>
        <w:gridCol w:w="525"/>
        <w:gridCol w:w="135"/>
        <w:gridCol w:w="668"/>
      </w:tblGrid>
      <w:tr w14:paraId="04A7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67698D9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7AF892F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电梯类型</w:t>
            </w:r>
          </w:p>
        </w:tc>
        <w:tc>
          <w:tcPr>
            <w:tcW w:w="1577" w:type="dxa"/>
            <w:gridSpan w:val="2"/>
            <w:noWrap w:val="0"/>
            <w:vAlign w:val="center"/>
          </w:tcPr>
          <w:p w14:paraId="62A2B53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功能</w:t>
            </w:r>
          </w:p>
        </w:tc>
        <w:tc>
          <w:tcPr>
            <w:tcW w:w="831" w:type="dxa"/>
            <w:gridSpan w:val="2"/>
            <w:noWrap w:val="0"/>
            <w:vAlign w:val="center"/>
          </w:tcPr>
          <w:p w14:paraId="5A97B95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无障碍设施</w:t>
            </w:r>
          </w:p>
        </w:tc>
        <w:tc>
          <w:tcPr>
            <w:tcW w:w="1020" w:type="dxa"/>
            <w:gridSpan w:val="2"/>
            <w:noWrap w:val="0"/>
            <w:vAlign w:val="center"/>
          </w:tcPr>
          <w:p w14:paraId="7C8D93F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服务楼层</w:t>
            </w:r>
          </w:p>
        </w:tc>
        <w:tc>
          <w:tcPr>
            <w:tcW w:w="765" w:type="dxa"/>
            <w:gridSpan w:val="2"/>
            <w:noWrap w:val="0"/>
            <w:vAlign w:val="center"/>
          </w:tcPr>
          <w:p w14:paraId="2B9809C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服务总层数</w:t>
            </w:r>
          </w:p>
        </w:tc>
        <w:tc>
          <w:tcPr>
            <w:tcW w:w="869" w:type="dxa"/>
            <w:gridSpan w:val="2"/>
            <w:noWrap w:val="0"/>
            <w:vAlign w:val="center"/>
          </w:tcPr>
          <w:p w14:paraId="4662623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提升高度(m)</w:t>
            </w:r>
          </w:p>
        </w:tc>
        <w:tc>
          <w:tcPr>
            <w:tcW w:w="869" w:type="dxa"/>
            <w:gridSpan w:val="2"/>
            <w:noWrap w:val="0"/>
            <w:vAlign w:val="center"/>
          </w:tcPr>
          <w:p w14:paraId="6A9934B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电梯数目</w:t>
            </w:r>
          </w:p>
        </w:tc>
        <w:tc>
          <w:tcPr>
            <w:tcW w:w="1022" w:type="dxa"/>
            <w:gridSpan w:val="2"/>
            <w:noWrap w:val="0"/>
            <w:vAlign w:val="center"/>
          </w:tcPr>
          <w:p w14:paraId="6CF8504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载</w:t>
            </w:r>
            <w:r>
              <w:rPr>
                <w:rFonts w:hint="eastAsia" w:ascii="宋体" w:hAnsi="宋体" w:eastAsia="宋体" w:cs="宋体"/>
                <w:color w:val="auto"/>
                <w:sz w:val="22"/>
                <w:szCs w:val="22"/>
                <w:highlight w:val="none"/>
              </w:rPr>
              <w:t>重</w:t>
            </w:r>
          </w:p>
          <w:p w14:paraId="33495F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(kg)</w:t>
            </w:r>
          </w:p>
        </w:tc>
        <w:tc>
          <w:tcPr>
            <w:tcW w:w="803" w:type="dxa"/>
            <w:gridSpan w:val="2"/>
            <w:noWrap w:val="0"/>
            <w:vAlign w:val="center"/>
          </w:tcPr>
          <w:p w14:paraId="2B8DF45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速度</w:t>
            </w:r>
          </w:p>
          <w:p w14:paraId="35C03B8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(m/s)</w:t>
            </w:r>
          </w:p>
        </w:tc>
      </w:tr>
      <w:tr w14:paraId="6A0F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EDC89A8">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担架电梯1</w:t>
            </w:r>
          </w:p>
        </w:tc>
        <w:tc>
          <w:tcPr>
            <w:tcW w:w="1000" w:type="dxa"/>
            <w:noWrap w:val="0"/>
            <w:vAlign w:val="center"/>
          </w:tcPr>
          <w:p w14:paraId="3D2B4FD2">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担架无障碍电梯</w:t>
            </w:r>
          </w:p>
        </w:tc>
        <w:tc>
          <w:tcPr>
            <w:tcW w:w="1577" w:type="dxa"/>
            <w:gridSpan w:val="2"/>
            <w:noWrap w:val="0"/>
            <w:vAlign w:val="center"/>
          </w:tcPr>
          <w:p w14:paraId="5FEE299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层客梯、地下机动车库</w:t>
            </w:r>
          </w:p>
        </w:tc>
        <w:tc>
          <w:tcPr>
            <w:tcW w:w="831" w:type="dxa"/>
            <w:gridSpan w:val="2"/>
            <w:noWrap w:val="0"/>
            <w:vAlign w:val="center"/>
          </w:tcPr>
          <w:p w14:paraId="7A21D5D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4472A23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F</w:t>
            </w:r>
          </w:p>
        </w:tc>
        <w:tc>
          <w:tcPr>
            <w:tcW w:w="765" w:type="dxa"/>
            <w:gridSpan w:val="2"/>
            <w:noWrap w:val="0"/>
            <w:vAlign w:val="center"/>
          </w:tcPr>
          <w:p w14:paraId="677766EB">
            <w:pPr>
              <w:widowControl/>
              <w:spacing w:line="3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0</w:t>
            </w:r>
          </w:p>
        </w:tc>
        <w:tc>
          <w:tcPr>
            <w:tcW w:w="869" w:type="dxa"/>
            <w:gridSpan w:val="2"/>
            <w:noWrap w:val="0"/>
            <w:vAlign w:val="center"/>
          </w:tcPr>
          <w:p w14:paraId="4493C03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highlight w:val="none"/>
              </w:rPr>
              <w:t>35.79</w:t>
            </w:r>
          </w:p>
        </w:tc>
        <w:tc>
          <w:tcPr>
            <w:tcW w:w="869" w:type="dxa"/>
            <w:gridSpan w:val="2"/>
            <w:noWrap w:val="0"/>
            <w:vAlign w:val="center"/>
          </w:tcPr>
          <w:p w14:paraId="7D90512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76A2B28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4F85CAD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66D7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1B7D8CC">
            <w:pPr>
              <w:widowControl/>
              <w:spacing w:line="300" w:lineRule="exact"/>
              <w:jc w:val="center"/>
              <w:rPr>
                <w:rFonts w:hint="eastAsia" w:ascii="宋体" w:hAnsi="宋体" w:eastAsia="宋体" w:cs="宋体"/>
                <w:color w:val="auto"/>
                <w:sz w:val="22"/>
                <w:szCs w:val="22"/>
                <w:highlight w:val="none"/>
                <w:lang w:val="en-US" w:eastAsia="zh-CN"/>
              </w:rPr>
            </w:pPr>
            <w:r>
              <w:rPr>
                <w:rFonts w:hint="eastAsia" w:ascii="宋体" w:hAnsi="宋体" w:cs="宋体"/>
                <w:highlight w:val="none"/>
              </w:rPr>
              <w:t>担架电梯</w:t>
            </w:r>
            <w:r>
              <w:rPr>
                <w:rFonts w:hint="eastAsia" w:ascii="宋体" w:hAnsi="宋体" w:eastAsia="宋体" w:cs="宋体"/>
                <w:highlight w:val="none"/>
                <w:lang w:val="en-US" w:eastAsia="zh-CN"/>
              </w:rPr>
              <w:t>2</w:t>
            </w:r>
          </w:p>
        </w:tc>
        <w:tc>
          <w:tcPr>
            <w:tcW w:w="1000" w:type="dxa"/>
            <w:noWrap w:val="0"/>
            <w:vAlign w:val="center"/>
          </w:tcPr>
          <w:p w14:paraId="0ECEBD0A">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担架无障碍电梯</w:t>
            </w:r>
          </w:p>
        </w:tc>
        <w:tc>
          <w:tcPr>
            <w:tcW w:w="1577" w:type="dxa"/>
            <w:gridSpan w:val="2"/>
            <w:noWrap w:val="0"/>
            <w:vAlign w:val="center"/>
          </w:tcPr>
          <w:p w14:paraId="452BAA66">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层客梯</w:t>
            </w:r>
          </w:p>
        </w:tc>
        <w:tc>
          <w:tcPr>
            <w:tcW w:w="831" w:type="dxa"/>
            <w:gridSpan w:val="2"/>
            <w:noWrap w:val="0"/>
            <w:vAlign w:val="center"/>
          </w:tcPr>
          <w:p w14:paraId="393D34D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20" w:type="dxa"/>
            <w:gridSpan w:val="2"/>
            <w:noWrap w:val="0"/>
            <w:vAlign w:val="center"/>
          </w:tcPr>
          <w:p w14:paraId="1C46565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1F、</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F</w:t>
            </w:r>
          </w:p>
        </w:tc>
        <w:tc>
          <w:tcPr>
            <w:tcW w:w="765" w:type="dxa"/>
            <w:gridSpan w:val="2"/>
            <w:noWrap w:val="0"/>
            <w:vAlign w:val="center"/>
          </w:tcPr>
          <w:p w14:paraId="6AEE28FA">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869" w:type="dxa"/>
            <w:gridSpan w:val="2"/>
            <w:noWrap w:val="0"/>
            <w:vAlign w:val="center"/>
          </w:tcPr>
          <w:p w14:paraId="31072A2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.79</w:t>
            </w:r>
          </w:p>
        </w:tc>
        <w:tc>
          <w:tcPr>
            <w:tcW w:w="869" w:type="dxa"/>
            <w:gridSpan w:val="2"/>
            <w:noWrap w:val="0"/>
            <w:vAlign w:val="center"/>
          </w:tcPr>
          <w:p w14:paraId="31B8614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7A59D6D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4C57A159">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r>
      <w:tr w14:paraId="75F1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732D771F">
            <w:pPr>
              <w:widowControl/>
              <w:spacing w:line="300" w:lineRule="exact"/>
              <w:jc w:val="center"/>
              <w:rPr>
                <w:rFonts w:hint="eastAsia" w:ascii="宋体" w:hAnsi="宋体" w:cs="宋体"/>
                <w:highlight w:val="none"/>
              </w:rPr>
            </w:pPr>
            <w:r>
              <w:rPr>
                <w:rFonts w:hint="eastAsia" w:ascii="宋体" w:hAnsi="宋体" w:cs="宋体"/>
                <w:highlight w:val="none"/>
              </w:rPr>
              <w:t>客梯兼消防电梯</w:t>
            </w:r>
          </w:p>
        </w:tc>
        <w:tc>
          <w:tcPr>
            <w:tcW w:w="1000" w:type="dxa"/>
            <w:noWrap w:val="0"/>
            <w:vAlign w:val="center"/>
          </w:tcPr>
          <w:p w14:paraId="4E6DA0F2">
            <w:pPr>
              <w:widowControl/>
              <w:spacing w:line="300" w:lineRule="exact"/>
              <w:jc w:val="center"/>
              <w:rPr>
                <w:rFonts w:hint="eastAsia" w:ascii="宋体" w:hAnsi="宋体" w:cs="宋体"/>
                <w:highlight w:val="none"/>
              </w:rPr>
            </w:pPr>
            <w:r>
              <w:rPr>
                <w:rFonts w:hint="eastAsia" w:ascii="宋体" w:hAnsi="宋体" w:cs="宋体"/>
                <w:highlight w:val="none"/>
              </w:rPr>
              <w:t>消防无障碍电梯</w:t>
            </w:r>
          </w:p>
        </w:tc>
        <w:tc>
          <w:tcPr>
            <w:tcW w:w="1577" w:type="dxa"/>
            <w:gridSpan w:val="2"/>
            <w:noWrap w:val="0"/>
            <w:vAlign w:val="center"/>
          </w:tcPr>
          <w:p w14:paraId="2A917019">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层客梯、消防电</w:t>
            </w:r>
            <w:r>
              <w:rPr>
                <w:rFonts w:hint="eastAsia" w:ascii="宋体" w:hAnsi="宋体" w:eastAsia="宋体" w:cs="宋体"/>
                <w:color w:val="auto"/>
                <w:sz w:val="22"/>
                <w:szCs w:val="22"/>
                <w:highlight w:val="none"/>
                <w:lang w:val="en-US" w:eastAsia="zh-CN"/>
              </w:rPr>
              <w:t>梯</w:t>
            </w:r>
            <w:r>
              <w:rPr>
                <w:rFonts w:hint="eastAsia" w:ascii="宋体" w:hAnsi="宋体" w:eastAsia="宋体" w:cs="宋体"/>
                <w:color w:val="auto"/>
                <w:sz w:val="22"/>
                <w:szCs w:val="22"/>
                <w:highlight w:val="none"/>
              </w:rPr>
              <w:t>、地下机动车库</w:t>
            </w:r>
          </w:p>
        </w:tc>
        <w:tc>
          <w:tcPr>
            <w:tcW w:w="831" w:type="dxa"/>
            <w:gridSpan w:val="2"/>
            <w:noWrap w:val="0"/>
            <w:vAlign w:val="center"/>
          </w:tcPr>
          <w:p w14:paraId="2021AE3E">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有</w:t>
            </w:r>
          </w:p>
        </w:tc>
        <w:tc>
          <w:tcPr>
            <w:tcW w:w="1020" w:type="dxa"/>
            <w:gridSpan w:val="2"/>
            <w:noWrap w:val="0"/>
            <w:vAlign w:val="center"/>
          </w:tcPr>
          <w:p w14:paraId="36793471">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F</w:t>
            </w:r>
          </w:p>
        </w:tc>
        <w:tc>
          <w:tcPr>
            <w:tcW w:w="765" w:type="dxa"/>
            <w:gridSpan w:val="2"/>
            <w:noWrap w:val="0"/>
            <w:vAlign w:val="center"/>
          </w:tcPr>
          <w:p w14:paraId="00C79FB6">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0</w:t>
            </w:r>
          </w:p>
        </w:tc>
        <w:tc>
          <w:tcPr>
            <w:tcW w:w="869" w:type="dxa"/>
            <w:gridSpan w:val="2"/>
            <w:noWrap w:val="0"/>
            <w:vAlign w:val="center"/>
          </w:tcPr>
          <w:p w14:paraId="3A0BD771">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highlight w:val="none"/>
              </w:rPr>
              <w:t>35.79</w:t>
            </w:r>
          </w:p>
        </w:tc>
        <w:tc>
          <w:tcPr>
            <w:tcW w:w="869" w:type="dxa"/>
            <w:gridSpan w:val="2"/>
            <w:noWrap w:val="0"/>
            <w:vAlign w:val="center"/>
          </w:tcPr>
          <w:p w14:paraId="7475BA4D">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p>
        </w:tc>
        <w:tc>
          <w:tcPr>
            <w:tcW w:w="1022" w:type="dxa"/>
            <w:gridSpan w:val="2"/>
            <w:noWrap w:val="0"/>
            <w:vAlign w:val="center"/>
          </w:tcPr>
          <w:p w14:paraId="421CA074">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1050</w:t>
            </w:r>
          </w:p>
        </w:tc>
        <w:tc>
          <w:tcPr>
            <w:tcW w:w="803" w:type="dxa"/>
            <w:gridSpan w:val="2"/>
            <w:noWrap w:val="0"/>
            <w:vAlign w:val="center"/>
          </w:tcPr>
          <w:p w14:paraId="672C2FE0">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1.75</w:t>
            </w:r>
          </w:p>
        </w:tc>
      </w:tr>
      <w:tr w14:paraId="46CC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1" w:type="dxa"/>
            <w:gridSpan w:val="18"/>
            <w:noWrap w:val="0"/>
            <w:vAlign w:val="center"/>
          </w:tcPr>
          <w:p w14:paraId="16B7BB85">
            <w:pPr>
              <w:widowControl/>
              <w:spacing w:line="300" w:lineRule="exact"/>
              <w:jc w:val="both"/>
              <w:rPr>
                <w:rFonts w:hint="eastAsia" w:ascii="宋体" w:hAnsi="宋体" w:eastAsia="宋体" w:cs="宋体"/>
                <w:color w:val="auto"/>
                <w:sz w:val="22"/>
                <w:szCs w:val="22"/>
                <w:highlight w:val="none"/>
              </w:rPr>
            </w:pPr>
          </w:p>
        </w:tc>
      </w:tr>
      <w:tr w14:paraId="30C7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2D4A7D0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1DF6FB7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井道尺寸</w:t>
            </w:r>
          </w:p>
          <w:p w14:paraId="78AE5DD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(宽x深)</w:t>
            </w:r>
          </w:p>
          <w:p w14:paraId="438E079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78" w:type="dxa"/>
            <w:noWrap w:val="0"/>
            <w:vAlign w:val="center"/>
          </w:tcPr>
          <w:p w14:paraId="45E7D08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门洞土建尺寸（宽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48C2D3B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25" w:type="dxa"/>
            <w:gridSpan w:val="2"/>
            <w:noWrap w:val="0"/>
            <w:vAlign w:val="center"/>
          </w:tcPr>
          <w:p w14:paraId="1161263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开门</w:t>
            </w:r>
            <w:r>
              <w:rPr>
                <w:rFonts w:hint="eastAsia" w:ascii="宋体" w:hAnsi="宋体" w:eastAsia="宋体" w:cs="宋体"/>
                <w:color w:val="auto"/>
                <w:sz w:val="22"/>
                <w:szCs w:val="22"/>
                <w:highlight w:val="none"/>
              </w:rPr>
              <w:t>净尺寸（宽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562BADA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40" w:type="dxa"/>
            <w:gridSpan w:val="2"/>
            <w:noWrap w:val="0"/>
            <w:vAlign w:val="center"/>
          </w:tcPr>
          <w:p w14:paraId="6C6ED93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底坑深度（mm)</w:t>
            </w:r>
          </w:p>
        </w:tc>
        <w:tc>
          <w:tcPr>
            <w:tcW w:w="945" w:type="dxa"/>
            <w:gridSpan w:val="2"/>
            <w:noWrap w:val="0"/>
            <w:vAlign w:val="center"/>
          </w:tcPr>
          <w:p w14:paraId="4CEBD35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顶层层高</w:t>
            </w:r>
          </w:p>
          <w:p w14:paraId="225AF43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15" w:type="dxa"/>
            <w:gridSpan w:val="2"/>
            <w:noWrap w:val="0"/>
            <w:vAlign w:val="center"/>
          </w:tcPr>
          <w:p w14:paraId="662DF50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机房层高</w:t>
            </w:r>
          </w:p>
          <w:p w14:paraId="366866D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659" w:type="dxa"/>
            <w:noWrap w:val="0"/>
            <w:vAlign w:val="center"/>
          </w:tcPr>
          <w:p w14:paraId="0EE12DE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轿厢门类型</w:t>
            </w:r>
          </w:p>
        </w:tc>
        <w:tc>
          <w:tcPr>
            <w:tcW w:w="676" w:type="dxa"/>
            <w:noWrap w:val="0"/>
            <w:vAlign w:val="center"/>
          </w:tcPr>
          <w:p w14:paraId="1A003C69">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轿厢类型</w:t>
            </w:r>
          </w:p>
        </w:tc>
        <w:tc>
          <w:tcPr>
            <w:tcW w:w="690" w:type="dxa"/>
            <w:gridSpan w:val="2"/>
            <w:noWrap w:val="0"/>
            <w:vAlign w:val="center"/>
          </w:tcPr>
          <w:p w14:paraId="5F323A6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控制方式</w:t>
            </w:r>
          </w:p>
        </w:tc>
        <w:tc>
          <w:tcPr>
            <w:tcW w:w="660" w:type="dxa"/>
            <w:gridSpan w:val="2"/>
            <w:noWrap w:val="0"/>
            <w:vAlign w:val="center"/>
          </w:tcPr>
          <w:p w14:paraId="1EAD507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对重位置</w:t>
            </w:r>
          </w:p>
        </w:tc>
        <w:tc>
          <w:tcPr>
            <w:tcW w:w="668" w:type="dxa"/>
            <w:noWrap w:val="0"/>
            <w:vAlign w:val="center"/>
          </w:tcPr>
          <w:p w14:paraId="2EA6EA7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对重安全钳</w:t>
            </w:r>
          </w:p>
        </w:tc>
      </w:tr>
      <w:tr w14:paraId="07B5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75" w:type="dxa"/>
            <w:noWrap w:val="0"/>
            <w:vAlign w:val="center"/>
          </w:tcPr>
          <w:p w14:paraId="19119178">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担架电梯1</w:t>
            </w:r>
          </w:p>
        </w:tc>
        <w:tc>
          <w:tcPr>
            <w:tcW w:w="1000" w:type="dxa"/>
            <w:noWrap w:val="0"/>
            <w:vAlign w:val="center"/>
          </w:tcPr>
          <w:p w14:paraId="2ED91B72">
            <w:pPr>
              <w:pStyle w:val="20"/>
              <w:widowControl w:val="0"/>
              <w:jc w:val="center"/>
              <w:rPr>
                <w:rFonts w:hint="eastAsia" w:ascii="宋体" w:hAnsi="宋体" w:eastAsia="宋体" w:cs="宋体"/>
                <w:color w:val="auto"/>
                <w:sz w:val="22"/>
                <w:szCs w:val="22"/>
                <w:highlight w:val="none"/>
              </w:rPr>
            </w:pPr>
            <w:r>
              <w:rPr>
                <w:rFonts w:hint="eastAsia" w:ascii="宋体" w:hAnsi="宋体" w:cs="宋体"/>
                <w:color w:val="auto"/>
                <w:highlight w:val="none"/>
              </w:rPr>
              <w:t>2500x3000</w:t>
            </w:r>
          </w:p>
        </w:tc>
        <w:tc>
          <w:tcPr>
            <w:tcW w:w="878" w:type="dxa"/>
            <w:noWrap w:val="0"/>
            <w:vAlign w:val="center"/>
          </w:tcPr>
          <w:p w14:paraId="002CC618">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1500x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619E639A">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cs="宋体"/>
                <w:color w:val="auto"/>
                <w:highlight w:val="none"/>
              </w:rPr>
              <w:t>00×</w:t>
            </w:r>
            <w:r>
              <w:rPr>
                <w:rFonts w:hint="eastAsia" w:ascii="宋体" w:hAnsi="宋体" w:eastAsia="宋体" w:cs="宋体"/>
                <w:color w:val="auto"/>
                <w:highlight w:val="none"/>
                <w:lang w:val="en-US" w:eastAsia="zh-CN"/>
              </w:rPr>
              <w:t>2100</w:t>
            </w:r>
          </w:p>
        </w:tc>
        <w:tc>
          <w:tcPr>
            <w:tcW w:w="840" w:type="dxa"/>
            <w:gridSpan w:val="2"/>
            <w:noWrap w:val="0"/>
            <w:vAlign w:val="center"/>
          </w:tcPr>
          <w:p w14:paraId="17D5435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w:t>
            </w:r>
            <w:r>
              <w:rPr>
                <w:rFonts w:hint="eastAsia" w:ascii="宋体" w:hAnsi="宋体" w:eastAsia="宋体" w:cs="宋体"/>
                <w:color w:val="auto"/>
                <w:sz w:val="22"/>
                <w:szCs w:val="22"/>
                <w:highlight w:val="none"/>
                <w:lang w:val="en-US" w:eastAsia="zh-CN"/>
              </w:rPr>
              <w:t>000</w:t>
            </w:r>
          </w:p>
        </w:tc>
        <w:tc>
          <w:tcPr>
            <w:tcW w:w="945" w:type="dxa"/>
            <w:gridSpan w:val="2"/>
            <w:noWrap w:val="0"/>
            <w:vAlign w:val="center"/>
          </w:tcPr>
          <w:p w14:paraId="799CDCD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highlight w:val="none"/>
                <w:lang w:val="en-US" w:eastAsia="zh-CN"/>
              </w:rPr>
              <w:t>4850</w:t>
            </w:r>
          </w:p>
        </w:tc>
        <w:tc>
          <w:tcPr>
            <w:tcW w:w="915" w:type="dxa"/>
            <w:gridSpan w:val="2"/>
            <w:noWrap w:val="0"/>
            <w:vAlign w:val="center"/>
          </w:tcPr>
          <w:p w14:paraId="76156A83">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3400</w:t>
            </w:r>
          </w:p>
        </w:tc>
        <w:tc>
          <w:tcPr>
            <w:tcW w:w="659" w:type="dxa"/>
            <w:noWrap w:val="0"/>
            <w:vAlign w:val="center"/>
          </w:tcPr>
          <w:p w14:paraId="19FAF43C">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旁开</w:t>
            </w:r>
          </w:p>
        </w:tc>
        <w:tc>
          <w:tcPr>
            <w:tcW w:w="676" w:type="dxa"/>
            <w:noWrap w:val="0"/>
            <w:vAlign w:val="center"/>
          </w:tcPr>
          <w:p w14:paraId="3794149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33EA01F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4046A86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05D5F65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65C9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3CDFDC5E">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担架电梯</w:t>
            </w:r>
            <w:r>
              <w:rPr>
                <w:rFonts w:hint="eastAsia" w:ascii="宋体" w:hAnsi="宋体" w:eastAsia="宋体" w:cs="宋体"/>
                <w:color w:val="auto"/>
                <w:highlight w:val="none"/>
                <w:lang w:val="en-US" w:eastAsia="zh-CN"/>
              </w:rPr>
              <w:t>2</w:t>
            </w:r>
          </w:p>
        </w:tc>
        <w:tc>
          <w:tcPr>
            <w:tcW w:w="1000" w:type="dxa"/>
            <w:noWrap w:val="0"/>
            <w:vAlign w:val="center"/>
          </w:tcPr>
          <w:p w14:paraId="124B9B3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00x3000</w:t>
            </w:r>
          </w:p>
        </w:tc>
        <w:tc>
          <w:tcPr>
            <w:tcW w:w="878" w:type="dxa"/>
            <w:noWrap w:val="0"/>
            <w:vAlign w:val="center"/>
          </w:tcPr>
          <w:p w14:paraId="7F3499B5">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1500x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1C836489">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cs="宋体"/>
                <w:color w:val="auto"/>
                <w:highlight w:val="none"/>
              </w:rPr>
              <w:t>00×</w:t>
            </w:r>
            <w:r>
              <w:rPr>
                <w:rFonts w:hint="eastAsia" w:ascii="宋体" w:hAnsi="宋体" w:eastAsia="宋体" w:cs="宋体"/>
                <w:color w:val="auto"/>
                <w:highlight w:val="none"/>
                <w:lang w:val="en-US" w:eastAsia="zh-CN"/>
              </w:rPr>
              <w:t>2100</w:t>
            </w:r>
          </w:p>
        </w:tc>
        <w:tc>
          <w:tcPr>
            <w:tcW w:w="840" w:type="dxa"/>
            <w:gridSpan w:val="2"/>
            <w:noWrap w:val="0"/>
            <w:vAlign w:val="center"/>
          </w:tcPr>
          <w:p w14:paraId="79875C1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180</w:t>
            </w:r>
            <w:r>
              <w:rPr>
                <w:rFonts w:hint="eastAsia" w:ascii="宋体" w:hAnsi="宋体" w:eastAsia="宋体" w:cs="宋体"/>
                <w:color w:val="auto"/>
                <w:sz w:val="22"/>
                <w:szCs w:val="22"/>
                <w:highlight w:val="none"/>
              </w:rPr>
              <w:t>0</w:t>
            </w:r>
          </w:p>
        </w:tc>
        <w:tc>
          <w:tcPr>
            <w:tcW w:w="945" w:type="dxa"/>
            <w:gridSpan w:val="2"/>
            <w:noWrap w:val="0"/>
            <w:vAlign w:val="center"/>
          </w:tcPr>
          <w:p w14:paraId="485893D9">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4900</w:t>
            </w:r>
          </w:p>
        </w:tc>
        <w:tc>
          <w:tcPr>
            <w:tcW w:w="915" w:type="dxa"/>
            <w:gridSpan w:val="2"/>
            <w:noWrap w:val="0"/>
            <w:vAlign w:val="center"/>
          </w:tcPr>
          <w:p w14:paraId="060236A5">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5B66966E">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旁开</w:t>
            </w:r>
          </w:p>
        </w:tc>
        <w:tc>
          <w:tcPr>
            <w:tcW w:w="676" w:type="dxa"/>
            <w:noWrap w:val="0"/>
            <w:vAlign w:val="center"/>
          </w:tcPr>
          <w:p w14:paraId="3239FCF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3D079B7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单控</w:t>
            </w:r>
          </w:p>
        </w:tc>
        <w:tc>
          <w:tcPr>
            <w:tcW w:w="660" w:type="dxa"/>
            <w:gridSpan w:val="2"/>
            <w:noWrap w:val="0"/>
            <w:vAlign w:val="center"/>
          </w:tcPr>
          <w:p w14:paraId="6E92B3C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638BC11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2CF8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4F233CE4">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客梯兼消防电梯</w:t>
            </w:r>
          </w:p>
        </w:tc>
        <w:tc>
          <w:tcPr>
            <w:tcW w:w="1000" w:type="dxa"/>
            <w:noWrap w:val="0"/>
            <w:vAlign w:val="center"/>
          </w:tcPr>
          <w:p w14:paraId="4994EC03">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400</w:t>
            </w:r>
            <w:r>
              <w:rPr>
                <w:rFonts w:ascii="宋体" w:hAnsi="宋体" w:eastAsia="宋体" w:cs="宋体"/>
                <w:color w:val="auto"/>
                <w:sz w:val="22"/>
                <w:szCs w:val="22"/>
                <w:highlight w:val="none"/>
              </w:rPr>
              <w:t>x2400</w:t>
            </w:r>
          </w:p>
        </w:tc>
        <w:tc>
          <w:tcPr>
            <w:tcW w:w="878" w:type="dxa"/>
            <w:noWrap w:val="0"/>
            <w:vAlign w:val="center"/>
          </w:tcPr>
          <w:p w14:paraId="6B4F3DFE">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733B1AA8">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cs="宋体"/>
                <w:color w:val="auto"/>
                <w:highlight w:val="none"/>
              </w:rPr>
              <w:t>00x</w:t>
            </w:r>
            <w:r>
              <w:rPr>
                <w:rFonts w:hint="eastAsia" w:ascii="宋体" w:hAnsi="宋体" w:eastAsia="宋体" w:cs="宋体"/>
                <w:color w:val="auto"/>
                <w:highlight w:val="none"/>
                <w:lang w:val="en-US" w:eastAsia="zh-CN"/>
              </w:rPr>
              <w:t>2100</w:t>
            </w:r>
          </w:p>
        </w:tc>
        <w:tc>
          <w:tcPr>
            <w:tcW w:w="840" w:type="dxa"/>
            <w:gridSpan w:val="2"/>
            <w:noWrap w:val="0"/>
            <w:vAlign w:val="center"/>
          </w:tcPr>
          <w:p w14:paraId="4518BAFF">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2000</w:t>
            </w:r>
          </w:p>
        </w:tc>
        <w:tc>
          <w:tcPr>
            <w:tcW w:w="945" w:type="dxa"/>
            <w:gridSpan w:val="2"/>
            <w:noWrap w:val="0"/>
            <w:vAlign w:val="center"/>
          </w:tcPr>
          <w:p w14:paraId="064BA1D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82</w:t>
            </w:r>
            <w:r>
              <w:rPr>
                <w:rFonts w:ascii="宋体" w:hAnsi="宋体" w:eastAsia="宋体" w:cs="宋体"/>
                <w:color w:val="auto"/>
                <w:sz w:val="22"/>
                <w:szCs w:val="22"/>
                <w:highlight w:val="none"/>
              </w:rPr>
              <w:t>00</w:t>
            </w:r>
          </w:p>
        </w:tc>
        <w:tc>
          <w:tcPr>
            <w:tcW w:w="915" w:type="dxa"/>
            <w:gridSpan w:val="2"/>
            <w:noWrap w:val="0"/>
            <w:vAlign w:val="center"/>
          </w:tcPr>
          <w:p w14:paraId="05C8BC8D">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64CBF5B5">
            <w:pPr>
              <w:widowControl/>
              <w:spacing w:line="300" w:lineRule="exact"/>
              <w:jc w:val="center"/>
              <w:rPr>
                <w:color w:val="auto"/>
                <w:sz w:val="22"/>
                <w:szCs w:val="22"/>
                <w:highlight w:val="none"/>
              </w:rPr>
            </w:pPr>
            <w:r>
              <w:rPr>
                <w:rFonts w:ascii="宋体" w:hAnsi="宋体" w:eastAsia="宋体" w:cs="宋体"/>
                <w:color w:val="auto"/>
                <w:sz w:val="22"/>
                <w:szCs w:val="22"/>
                <w:highlight w:val="none"/>
              </w:rPr>
              <w:t>中开</w:t>
            </w:r>
          </w:p>
        </w:tc>
        <w:tc>
          <w:tcPr>
            <w:tcW w:w="676" w:type="dxa"/>
            <w:noWrap w:val="0"/>
            <w:vAlign w:val="center"/>
          </w:tcPr>
          <w:p w14:paraId="2251A5BA">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单层轿厢</w:t>
            </w:r>
          </w:p>
        </w:tc>
        <w:tc>
          <w:tcPr>
            <w:tcW w:w="690" w:type="dxa"/>
            <w:gridSpan w:val="2"/>
            <w:noWrap w:val="0"/>
            <w:vAlign w:val="center"/>
          </w:tcPr>
          <w:p w14:paraId="53EBAD7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44D1819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385B170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bl>
    <w:p w14:paraId="196FCEAB">
      <w:pPr>
        <w:pStyle w:val="20"/>
        <w:rPr>
          <w:highlight w:val="none"/>
        </w:rPr>
      </w:pPr>
    </w:p>
    <w:p w14:paraId="68B9EA74">
      <w:pPr>
        <w:rPr>
          <w:highlight w:val="none"/>
        </w:rPr>
      </w:pPr>
    </w:p>
    <w:p w14:paraId="69123265">
      <w:pPr>
        <w:rPr>
          <w:highlight w:val="none"/>
        </w:rPr>
      </w:pPr>
    </w:p>
    <w:p w14:paraId="7009E460">
      <w:pPr>
        <w:rPr>
          <w:rFonts w:hint="eastAsia"/>
          <w:sz w:val="24"/>
          <w:szCs w:val="24"/>
          <w:highlight w:val="none"/>
          <w:lang w:val="en-US" w:eastAsia="zh-CN"/>
        </w:rPr>
      </w:pPr>
      <w:r>
        <w:rPr>
          <w:rFonts w:hint="eastAsia"/>
          <w:sz w:val="24"/>
          <w:szCs w:val="24"/>
          <w:highlight w:val="none"/>
          <w:lang w:val="en-US" w:eastAsia="zh-CN"/>
        </w:rPr>
        <w:br w:type="page"/>
      </w:r>
    </w:p>
    <w:p w14:paraId="01D7E299">
      <w:pPr>
        <w:pStyle w:val="20"/>
        <w:jc w:val="center"/>
        <w:rPr>
          <w:sz w:val="24"/>
          <w:szCs w:val="24"/>
          <w:highlight w:val="none"/>
        </w:rPr>
      </w:pPr>
      <w:r>
        <w:rPr>
          <w:rFonts w:hint="eastAsia"/>
          <w:sz w:val="24"/>
          <w:szCs w:val="24"/>
          <w:highlight w:val="none"/>
          <w:lang w:val="en-US" w:eastAsia="zh-CN"/>
        </w:rPr>
        <w:t>5</w:t>
      </w:r>
      <w:r>
        <w:rPr>
          <w:rFonts w:hint="eastAsia"/>
          <w:sz w:val="24"/>
          <w:szCs w:val="24"/>
          <w:highlight w:val="none"/>
        </w:rPr>
        <w:t>#楼垂直电梯参数表</w:t>
      </w:r>
    </w:p>
    <w:tbl>
      <w:tblPr>
        <w:tblStyle w:val="31"/>
        <w:tblW w:w="9631"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000"/>
        <w:gridCol w:w="878"/>
        <w:gridCol w:w="699"/>
        <w:gridCol w:w="126"/>
        <w:gridCol w:w="705"/>
        <w:gridCol w:w="135"/>
        <w:gridCol w:w="870"/>
        <w:gridCol w:w="60"/>
        <w:gridCol w:w="720"/>
        <w:gridCol w:w="210"/>
        <w:gridCol w:w="659"/>
        <w:gridCol w:w="676"/>
        <w:gridCol w:w="193"/>
        <w:gridCol w:w="497"/>
        <w:gridCol w:w="525"/>
        <w:gridCol w:w="135"/>
        <w:gridCol w:w="668"/>
      </w:tblGrid>
      <w:tr w14:paraId="0E3E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57664D9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65FE9E2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电梯类型</w:t>
            </w:r>
          </w:p>
        </w:tc>
        <w:tc>
          <w:tcPr>
            <w:tcW w:w="1577" w:type="dxa"/>
            <w:gridSpan w:val="2"/>
            <w:noWrap w:val="0"/>
            <w:vAlign w:val="center"/>
          </w:tcPr>
          <w:p w14:paraId="199CA6C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功能</w:t>
            </w:r>
          </w:p>
        </w:tc>
        <w:tc>
          <w:tcPr>
            <w:tcW w:w="831" w:type="dxa"/>
            <w:gridSpan w:val="2"/>
            <w:noWrap w:val="0"/>
            <w:vAlign w:val="center"/>
          </w:tcPr>
          <w:p w14:paraId="2A96418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无障碍设施</w:t>
            </w:r>
          </w:p>
        </w:tc>
        <w:tc>
          <w:tcPr>
            <w:tcW w:w="1005" w:type="dxa"/>
            <w:gridSpan w:val="2"/>
            <w:noWrap w:val="0"/>
            <w:vAlign w:val="center"/>
          </w:tcPr>
          <w:p w14:paraId="76683B6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服务楼层</w:t>
            </w:r>
          </w:p>
        </w:tc>
        <w:tc>
          <w:tcPr>
            <w:tcW w:w="780" w:type="dxa"/>
            <w:gridSpan w:val="2"/>
            <w:noWrap w:val="0"/>
            <w:vAlign w:val="center"/>
          </w:tcPr>
          <w:p w14:paraId="0B3BDD7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服务总层数</w:t>
            </w:r>
          </w:p>
        </w:tc>
        <w:tc>
          <w:tcPr>
            <w:tcW w:w="869" w:type="dxa"/>
            <w:gridSpan w:val="2"/>
            <w:noWrap w:val="0"/>
            <w:vAlign w:val="center"/>
          </w:tcPr>
          <w:p w14:paraId="53FD3C5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提升高度(m)</w:t>
            </w:r>
          </w:p>
        </w:tc>
        <w:tc>
          <w:tcPr>
            <w:tcW w:w="869" w:type="dxa"/>
            <w:gridSpan w:val="2"/>
            <w:noWrap w:val="0"/>
            <w:vAlign w:val="center"/>
          </w:tcPr>
          <w:p w14:paraId="0E0886D6">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电梯数目</w:t>
            </w:r>
          </w:p>
        </w:tc>
        <w:tc>
          <w:tcPr>
            <w:tcW w:w="1022" w:type="dxa"/>
            <w:gridSpan w:val="2"/>
            <w:noWrap w:val="0"/>
            <w:vAlign w:val="center"/>
          </w:tcPr>
          <w:p w14:paraId="3F80363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载</w:t>
            </w:r>
            <w:r>
              <w:rPr>
                <w:rFonts w:hint="eastAsia" w:ascii="宋体" w:hAnsi="宋体" w:eastAsia="宋体" w:cs="宋体"/>
                <w:color w:val="auto"/>
                <w:sz w:val="22"/>
                <w:szCs w:val="22"/>
                <w:highlight w:val="none"/>
              </w:rPr>
              <w:t>重</w:t>
            </w:r>
          </w:p>
          <w:p w14:paraId="1B4CBDE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(kg)</w:t>
            </w:r>
          </w:p>
        </w:tc>
        <w:tc>
          <w:tcPr>
            <w:tcW w:w="803" w:type="dxa"/>
            <w:gridSpan w:val="2"/>
            <w:noWrap w:val="0"/>
            <w:vAlign w:val="center"/>
          </w:tcPr>
          <w:p w14:paraId="58DE16E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速度</w:t>
            </w:r>
          </w:p>
          <w:p w14:paraId="0CF95FD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(m/s)</w:t>
            </w:r>
          </w:p>
        </w:tc>
      </w:tr>
      <w:tr w14:paraId="58F6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5196D261">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担架电梯</w:t>
            </w:r>
          </w:p>
        </w:tc>
        <w:tc>
          <w:tcPr>
            <w:tcW w:w="1000" w:type="dxa"/>
            <w:noWrap w:val="0"/>
            <w:vAlign w:val="center"/>
          </w:tcPr>
          <w:p w14:paraId="70220510">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highlight w:val="none"/>
              </w:rPr>
              <w:t>担架无障碍电梯</w:t>
            </w:r>
          </w:p>
        </w:tc>
        <w:tc>
          <w:tcPr>
            <w:tcW w:w="1577" w:type="dxa"/>
            <w:gridSpan w:val="2"/>
            <w:noWrap w:val="0"/>
            <w:vAlign w:val="center"/>
          </w:tcPr>
          <w:p w14:paraId="6AD56F6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层客梯、地下机动车库</w:t>
            </w:r>
          </w:p>
        </w:tc>
        <w:tc>
          <w:tcPr>
            <w:tcW w:w="831" w:type="dxa"/>
            <w:gridSpan w:val="2"/>
            <w:noWrap w:val="0"/>
            <w:vAlign w:val="center"/>
          </w:tcPr>
          <w:p w14:paraId="31AE04B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w:t>
            </w:r>
          </w:p>
        </w:tc>
        <w:tc>
          <w:tcPr>
            <w:tcW w:w="1005" w:type="dxa"/>
            <w:gridSpan w:val="2"/>
            <w:noWrap w:val="0"/>
            <w:vAlign w:val="center"/>
          </w:tcPr>
          <w:p w14:paraId="431F50B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F</w:t>
            </w:r>
          </w:p>
        </w:tc>
        <w:tc>
          <w:tcPr>
            <w:tcW w:w="780" w:type="dxa"/>
            <w:gridSpan w:val="2"/>
            <w:noWrap w:val="0"/>
            <w:vAlign w:val="center"/>
          </w:tcPr>
          <w:p w14:paraId="301C0995">
            <w:pPr>
              <w:widowControl/>
              <w:spacing w:line="3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0</w:t>
            </w:r>
          </w:p>
        </w:tc>
        <w:tc>
          <w:tcPr>
            <w:tcW w:w="869" w:type="dxa"/>
            <w:gridSpan w:val="2"/>
            <w:noWrap w:val="0"/>
            <w:vAlign w:val="center"/>
          </w:tcPr>
          <w:p w14:paraId="064E4AD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highlight w:val="none"/>
              </w:rPr>
              <w:t>35.79</w:t>
            </w:r>
          </w:p>
        </w:tc>
        <w:tc>
          <w:tcPr>
            <w:tcW w:w="869" w:type="dxa"/>
            <w:gridSpan w:val="2"/>
            <w:noWrap w:val="0"/>
            <w:vAlign w:val="center"/>
          </w:tcPr>
          <w:p w14:paraId="23FD416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22" w:type="dxa"/>
            <w:gridSpan w:val="2"/>
            <w:noWrap w:val="0"/>
            <w:vAlign w:val="center"/>
          </w:tcPr>
          <w:p w14:paraId="683FDC7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1600</w:t>
            </w:r>
          </w:p>
        </w:tc>
        <w:tc>
          <w:tcPr>
            <w:tcW w:w="803" w:type="dxa"/>
            <w:gridSpan w:val="2"/>
            <w:noWrap w:val="0"/>
            <w:vAlign w:val="center"/>
          </w:tcPr>
          <w:p w14:paraId="69192E1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1.75</w:t>
            </w:r>
          </w:p>
        </w:tc>
      </w:tr>
      <w:tr w14:paraId="6C57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0DF7B418">
            <w:pPr>
              <w:widowControl/>
              <w:spacing w:line="300" w:lineRule="exact"/>
              <w:jc w:val="center"/>
              <w:rPr>
                <w:rFonts w:hint="eastAsia" w:ascii="宋体" w:hAnsi="宋体" w:cs="宋体"/>
                <w:highlight w:val="none"/>
              </w:rPr>
            </w:pPr>
            <w:r>
              <w:rPr>
                <w:rFonts w:hint="eastAsia" w:ascii="宋体" w:hAnsi="宋体" w:cs="宋体"/>
                <w:highlight w:val="none"/>
              </w:rPr>
              <w:t>客梯兼消防电梯</w:t>
            </w:r>
          </w:p>
        </w:tc>
        <w:tc>
          <w:tcPr>
            <w:tcW w:w="1000" w:type="dxa"/>
            <w:noWrap w:val="0"/>
            <w:vAlign w:val="center"/>
          </w:tcPr>
          <w:p w14:paraId="4220015A">
            <w:pPr>
              <w:widowControl/>
              <w:spacing w:line="300" w:lineRule="exact"/>
              <w:jc w:val="center"/>
              <w:rPr>
                <w:rFonts w:hint="eastAsia" w:ascii="宋体" w:hAnsi="宋体" w:cs="宋体"/>
                <w:highlight w:val="none"/>
              </w:rPr>
            </w:pPr>
            <w:r>
              <w:rPr>
                <w:rFonts w:hint="eastAsia" w:ascii="宋体" w:hAnsi="宋体" w:cs="宋体"/>
                <w:highlight w:val="none"/>
              </w:rPr>
              <w:t>消防无障碍电梯</w:t>
            </w:r>
          </w:p>
        </w:tc>
        <w:tc>
          <w:tcPr>
            <w:tcW w:w="1577" w:type="dxa"/>
            <w:gridSpan w:val="2"/>
            <w:noWrap w:val="0"/>
            <w:vAlign w:val="center"/>
          </w:tcPr>
          <w:p w14:paraId="58F75D12">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层客梯、消防电</w:t>
            </w:r>
            <w:r>
              <w:rPr>
                <w:rFonts w:hint="eastAsia" w:ascii="宋体" w:hAnsi="宋体" w:eastAsia="宋体" w:cs="宋体"/>
                <w:color w:val="auto"/>
                <w:sz w:val="22"/>
                <w:szCs w:val="22"/>
                <w:highlight w:val="none"/>
                <w:lang w:val="en-US" w:eastAsia="zh-CN"/>
              </w:rPr>
              <w:t>梯</w:t>
            </w:r>
            <w:r>
              <w:rPr>
                <w:rFonts w:hint="eastAsia" w:ascii="宋体" w:hAnsi="宋体" w:eastAsia="宋体" w:cs="宋体"/>
                <w:color w:val="auto"/>
                <w:sz w:val="22"/>
                <w:szCs w:val="22"/>
                <w:highlight w:val="none"/>
              </w:rPr>
              <w:t>、地下机动车库</w:t>
            </w:r>
          </w:p>
        </w:tc>
        <w:tc>
          <w:tcPr>
            <w:tcW w:w="831" w:type="dxa"/>
            <w:gridSpan w:val="2"/>
            <w:noWrap w:val="0"/>
            <w:vAlign w:val="center"/>
          </w:tcPr>
          <w:p w14:paraId="4F483231">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有</w:t>
            </w:r>
          </w:p>
        </w:tc>
        <w:tc>
          <w:tcPr>
            <w:tcW w:w="1005" w:type="dxa"/>
            <w:gridSpan w:val="2"/>
            <w:noWrap w:val="0"/>
            <w:vAlign w:val="center"/>
          </w:tcPr>
          <w:p w14:paraId="6230F488">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B1F、1F~</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F</w:t>
            </w:r>
          </w:p>
        </w:tc>
        <w:tc>
          <w:tcPr>
            <w:tcW w:w="780" w:type="dxa"/>
            <w:gridSpan w:val="2"/>
            <w:noWrap w:val="0"/>
            <w:vAlign w:val="center"/>
          </w:tcPr>
          <w:p w14:paraId="00A2235B">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0</w:t>
            </w:r>
          </w:p>
        </w:tc>
        <w:tc>
          <w:tcPr>
            <w:tcW w:w="869" w:type="dxa"/>
            <w:gridSpan w:val="2"/>
            <w:noWrap w:val="0"/>
            <w:vAlign w:val="center"/>
          </w:tcPr>
          <w:p w14:paraId="2B9412C3">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highlight w:val="none"/>
              </w:rPr>
              <w:t>35.79</w:t>
            </w:r>
          </w:p>
        </w:tc>
        <w:tc>
          <w:tcPr>
            <w:tcW w:w="869" w:type="dxa"/>
            <w:gridSpan w:val="2"/>
            <w:noWrap w:val="0"/>
            <w:vAlign w:val="center"/>
          </w:tcPr>
          <w:p w14:paraId="037503EF">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w:t>
            </w:r>
          </w:p>
        </w:tc>
        <w:tc>
          <w:tcPr>
            <w:tcW w:w="1022" w:type="dxa"/>
            <w:gridSpan w:val="2"/>
            <w:noWrap w:val="0"/>
            <w:vAlign w:val="center"/>
          </w:tcPr>
          <w:p w14:paraId="589FD866">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1050</w:t>
            </w:r>
          </w:p>
        </w:tc>
        <w:tc>
          <w:tcPr>
            <w:tcW w:w="803" w:type="dxa"/>
            <w:gridSpan w:val="2"/>
            <w:noWrap w:val="0"/>
            <w:vAlign w:val="center"/>
          </w:tcPr>
          <w:p w14:paraId="75315FD6">
            <w:pPr>
              <w:widowControl/>
              <w:spacing w:line="300" w:lineRule="exact"/>
              <w:jc w:val="center"/>
              <w:rPr>
                <w:rFonts w:hint="eastAsia" w:ascii="宋体" w:hAnsi="宋体" w:eastAsia="宋体" w:cs="宋体"/>
                <w:snapToGrid w:val="0"/>
                <w:color w:val="auto"/>
                <w:sz w:val="22"/>
                <w:szCs w:val="22"/>
                <w:highlight w:val="none"/>
                <w:lang w:val="en-US" w:eastAsia="zh-CN" w:bidi="ar-SA"/>
              </w:rPr>
            </w:pPr>
            <w:r>
              <w:rPr>
                <w:rFonts w:hint="eastAsia" w:ascii="宋体" w:hAnsi="宋体" w:eastAsia="宋体" w:cs="宋体"/>
                <w:color w:val="auto"/>
                <w:sz w:val="22"/>
                <w:szCs w:val="22"/>
                <w:highlight w:val="none"/>
              </w:rPr>
              <w:t>1.75</w:t>
            </w:r>
          </w:p>
        </w:tc>
      </w:tr>
      <w:tr w14:paraId="6183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1" w:type="dxa"/>
            <w:gridSpan w:val="18"/>
            <w:noWrap w:val="0"/>
            <w:vAlign w:val="center"/>
          </w:tcPr>
          <w:p w14:paraId="1EF4CE74">
            <w:pPr>
              <w:widowControl/>
              <w:spacing w:line="300" w:lineRule="exact"/>
              <w:jc w:val="both"/>
              <w:rPr>
                <w:rFonts w:hint="eastAsia" w:ascii="宋体" w:hAnsi="宋体" w:eastAsia="宋体" w:cs="宋体"/>
                <w:color w:val="auto"/>
                <w:sz w:val="22"/>
                <w:szCs w:val="22"/>
                <w:highlight w:val="none"/>
              </w:rPr>
            </w:pPr>
          </w:p>
        </w:tc>
      </w:tr>
      <w:tr w14:paraId="5D28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1091D44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电梯编号</w:t>
            </w:r>
          </w:p>
        </w:tc>
        <w:tc>
          <w:tcPr>
            <w:tcW w:w="1000" w:type="dxa"/>
            <w:noWrap w:val="0"/>
            <w:vAlign w:val="center"/>
          </w:tcPr>
          <w:p w14:paraId="14140077">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井道尺寸</w:t>
            </w:r>
          </w:p>
          <w:p w14:paraId="2C7CAE7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(宽x深)</w:t>
            </w:r>
          </w:p>
          <w:p w14:paraId="6ADCBE4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78" w:type="dxa"/>
            <w:noWrap w:val="0"/>
            <w:vAlign w:val="center"/>
          </w:tcPr>
          <w:p w14:paraId="695C96FD">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门洞土建尺寸（宽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734713C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25" w:type="dxa"/>
            <w:gridSpan w:val="2"/>
            <w:noWrap w:val="0"/>
            <w:vAlign w:val="center"/>
          </w:tcPr>
          <w:p w14:paraId="016ADDF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开门</w:t>
            </w:r>
            <w:r>
              <w:rPr>
                <w:rFonts w:hint="eastAsia" w:ascii="宋体" w:hAnsi="宋体" w:eastAsia="宋体" w:cs="宋体"/>
                <w:color w:val="auto"/>
                <w:sz w:val="22"/>
                <w:szCs w:val="22"/>
                <w:highlight w:val="none"/>
              </w:rPr>
              <w:t>净尺寸（宽</w:t>
            </w:r>
            <w:r>
              <w:rPr>
                <w:rFonts w:eastAsia="宋体"/>
                <w:color w:val="auto"/>
                <w:sz w:val="22"/>
                <w:szCs w:val="22"/>
                <w:highlight w:val="none"/>
              </w:rPr>
              <w:t>×</w:t>
            </w:r>
            <w:r>
              <w:rPr>
                <w:rFonts w:hint="eastAsia" w:ascii="宋体" w:hAnsi="宋体" w:eastAsia="宋体" w:cs="宋体"/>
                <w:color w:val="auto"/>
                <w:sz w:val="22"/>
                <w:szCs w:val="22"/>
                <w:highlight w:val="none"/>
              </w:rPr>
              <w:t>高）</w:t>
            </w:r>
          </w:p>
          <w:p w14:paraId="07A99AAE">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840" w:type="dxa"/>
            <w:gridSpan w:val="2"/>
            <w:noWrap w:val="0"/>
            <w:vAlign w:val="center"/>
          </w:tcPr>
          <w:p w14:paraId="14E2B24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底坑深度（mm)</w:t>
            </w:r>
          </w:p>
        </w:tc>
        <w:tc>
          <w:tcPr>
            <w:tcW w:w="930" w:type="dxa"/>
            <w:gridSpan w:val="2"/>
            <w:noWrap w:val="0"/>
            <w:vAlign w:val="center"/>
          </w:tcPr>
          <w:p w14:paraId="318E763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顶层层高</w:t>
            </w:r>
          </w:p>
          <w:p w14:paraId="32214AC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930" w:type="dxa"/>
            <w:gridSpan w:val="2"/>
            <w:noWrap w:val="0"/>
            <w:vAlign w:val="center"/>
          </w:tcPr>
          <w:p w14:paraId="1A4FA3E8">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机房层高</w:t>
            </w:r>
          </w:p>
          <w:p w14:paraId="6DFF29F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（mm）</w:t>
            </w:r>
          </w:p>
        </w:tc>
        <w:tc>
          <w:tcPr>
            <w:tcW w:w="659" w:type="dxa"/>
            <w:noWrap w:val="0"/>
            <w:vAlign w:val="center"/>
          </w:tcPr>
          <w:p w14:paraId="58DA354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轿厢门类型</w:t>
            </w:r>
          </w:p>
        </w:tc>
        <w:tc>
          <w:tcPr>
            <w:tcW w:w="676" w:type="dxa"/>
            <w:noWrap w:val="0"/>
            <w:vAlign w:val="center"/>
          </w:tcPr>
          <w:p w14:paraId="71716046">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轿厢类型</w:t>
            </w:r>
          </w:p>
        </w:tc>
        <w:tc>
          <w:tcPr>
            <w:tcW w:w="690" w:type="dxa"/>
            <w:gridSpan w:val="2"/>
            <w:noWrap w:val="0"/>
            <w:vAlign w:val="center"/>
          </w:tcPr>
          <w:p w14:paraId="1E5AD5D4">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控制方式</w:t>
            </w:r>
          </w:p>
        </w:tc>
        <w:tc>
          <w:tcPr>
            <w:tcW w:w="660" w:type="dxa"/>
            <w:gridSpan w:val="2"/>
            <w:noWrap w:val="0"/>
            <w:vAlign w:val="center"/>
          </w:tcPr>
          <w:p w14:paraId="5759C591">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对重位置</w:t>
            </w:r>
          </w:p>
        </w:tc>
        <w:tc>
          <w:tcPr>
            <w:tcW w:w="668" w:type="dxa"/>
            <w:noWrap w:val="0"/>
            <w:vAlign w:val="center"/>
          </w:tcPr>
          <w:p w14:paraId="2E957EC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对重安全钳</w:t>
            </w:r>
          </w:p>
        </w:tc>
      </w:tr>
      <w:tr w14:paraId="68FD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75" w:type="dxa"/>
            <w:noWrap w:val="0"/>
            <w:vAlign w:val="center"/>
          </w:tcPr>
          <w:p w14:paraId="451DFF9A">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担架电梯</w:t>
            </w:r>
          </w:p>
        </w:tc>
        <w:tc>
          <w:tcPr>
            <w:tcW w:w="1000" w:type="dxa"/>
            <w:noWrap w:val="0"/>
            <w:vAlign w:val="center"/>
          </w:tcPr>
          <w:p w14:paraId="299A61D1">
            <w:pPr>
              <w:pStyle w:val="20"/>
              <w:widowControl w:val="0"/>
              <w:jc w:val="center"/>
              <w:rPr>
                <w:rFonts w:hint="eastAsia" w:ascii="宋体" w:hAnsi="宋体" w:eastAsia="宋体" w:cs="宋体"/>
                <w:color w:val="auto"/>
                <w:sz w:val="22"/>
                <w:szCs w:val="22"/>
                <w:highlight w:val="none"/>
              </w:rPr>
            </w:pPr>
            <w:r>
              <w:rPr>
                <w:rFonts w:hint="eastAsia" w:ascii="宋体" w:hAnsi="宋体" w:cs="宋体"/>
                <w:color w:val="auto"/>
                <w:highlight w:val="none"/>
              </w:rPr>
              <w:t>2500x3000</w:t>
            </w:r>
          </w:p>
        </w:tc>
        <w:tc>
          <w:tcPr>
            <w:tcW w:w="878" w:type="dxa"/>
            <w:noWrap w:val="0"/>
            <w:vAlign w:val="center"/>
          </w:tcPr>
          <w:p w14:paraId="686C92C3">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1500x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6E071B97">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cs="宋体"/>
                <w:color w:val="auto"/>
                <w:highlight w:val="none"/>
              </w:rPr>
              <w:t>00×</w:t>
            </w:r>
            <w:r>
              <w:rPr>
                <w:rFonts w:hint="eastAsia" w:ascii="宋体" w:hAnsi="宋体" w:eastAsia="宋体" w:cs="宋体"/>
                <w:color w:val="auto"/>
                <w:highlight w:val="none"/>
                <w:lang w:val="en-US" w:eastAsia="zh-CN"/>
              </w:rPr>
              <w:t>2100</w:t>
            </w:r>
          </w:p>
        </w:tc>
        <w:tc>
          <w:tcPr>
            <w:tcW w:w="840" w:type="dxa"/>
            <w:gridSpan w:val="2"/>
            <w:noWrap w:val="0"/>
            <w:vAlign w:val="center"/>
          </w:tcPr>
          <w:p w14:paraId="40DCFDBC">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w:t>
            </w:r>
            <w:r>
              <w:rPr>
                <w:rFonts w:hint="eastAsia" w:ascii="宋体" w:hAnsi="宋体" w:eastAsia="宋体" w:cs="宋体"/>
                <w:color w:val="auto"/>
                <w:sz w:val="22"/>
                <w:szCs w:val="22"/>
                <w:highlight w:val="none"/>
                <w:lang w:val="en-US" w:eastAsia="zh-CN"/>
              </w:rPr>
              <w:t>000</w:t>
            </w:r>
          </w:p>
        </w:tc>
        <w:tc>
          <w:tcPr>
            <w:tcW w:w="930" w:type="dxa"/>
            <w:gridSpan w:val="2"/>
            <w:noWrap w:val="0"/>
            <w:vAlign w:val="center"/>
          </w:tcPr>
          <w:p w14:paraId="78CF5829">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highlight w:val="none"/>
                <w:lang w:val="en-US" w:eastAsia="zh-CN"/>
              </w:rPr>
              <w:t>4850</w:t>
            </w:r>
          </w:p>
        </w:tc>
        <w:tc>
          <w:tcPr>
            <w:tcW w:w="930" w:type="dxa"/>
            <w:gridSpan w:val="2"/>
            <w:noWrap w:val="0"/>
            <w:vAlign w:val="center"/>
          </w:tcPr>
          <w:p w14:paraId="1F4406C1">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3400</w:t>
            </w:r>
          </w:p>
        </w:tc>
        <w:tc>
          <w:tcPr>
            <w:tcW w:w="659" w:type="dxa"/>
            <w:noWrap w:val="0"/>
            <w:vAlign w:val="center"/>
          </w:tcPr>
          <w:p w14:paraId="797DDEB1">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旁开</w:t>
            </w:r>
          </w:p>
        </w:tc>
        <w:tc>
          <w:tcPr>
            <w:tcW w:w="676" w:type="dxa"/>
            <w:noWrap w:val="0"/>
            <w:vAlign w:val="center"/>
          </w:tcPr>
          <w:p w14:paraId="46355BA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单层轿厢</w:t>
            </w:r>
          </w:p>
        </w:tc>
        <w:tc>
          <w:tcPr>
            <w:tcW w:w="690" w:type="dxa"/>
            <w:gridSpan w:val="2"/>
            <w:noWrap w:val="0"/>
            <w:vAlign w:val="center"/>
          </w:tcPr>
          <w:p w14:paraId="728B6E8A">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50FAE010">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33FC043B">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5E98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noWrap w:val="0"/>
            <w:vAlign w:val="center"/>
          </w:tcPr>
          <w:p w14:paraId="32839A20">
            <w:pPr>
              <w:widowControl/>
              <w:spacing w:line="300" w:lineRule="exact"/>
              <w:jc w:val="center"/>
              <w:rPr>
                <w:rFonts w:hint="eastAsia" w:ascii="宋体" w:hAnsi="宋体" w:eastAsia="宋体" w:cs="宋体"/>
                <w:color w:val="auto"/>
                <w:sz w:val="22"/>
                <w:szCs w:val="22"/>
                <w:highlight w:val="none"/>
              </w:rPr>
            </w:pPr>
            <w:r>
              <w:rPr>
                <w:rFonts w:hint="eastAsia" w:ascii="宋体" w:hAnsi="宋体" w:cs="宋体"/>
                <w:color w:val="auto"/>
                <w:highlight w:val="none"/>
              </w:rPr>
              <w:t>客梯兼消防电梯</w:t>
            </w:r>
          </w:p>
        </w:tc>
        <w:tc>
          <w:tcPr>
            <w:tcW w:w="1000" w:type="dxa"/>
            <w:noWrap w:val="0"/>
            <w:vAlign w:val="center"/>
          </w:tcPr>
          <w:p w14:paraId="3A4C49E0">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400</w:t>
            </w:r>
            <w:r>
              <w:rPr>
                <w:rFonts w:ascii="宋体" w:hAnsi="宋体" w:eastAsia="宋体" w:cs="宋体"/>
                <w:color w:val="auto"/>
                <w:sz w:val="22"/>
                <w:szCs w:val="22"/>
                <w:highlight w:val="none"/>
              </w:rPr>
              <w:t>x2400</w:t>
            </w:r>
          </w:p>
        </w:tc>
        <w:tc>
          <w:tcPr>
            <w:tcW w:w="878" w:type="dxa"/>
            <w:noWrap w:val="0"/>
            <w:vAlign w:val="center"/>
          </w:tcPr>
          <w:p w14:paraId="044EF5C3">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00x</w:t>
            </w:r>
            <w:r>
              <w:rPr>
                <w:rFonts w:hint="eastAsia" w:ascii="宋体" w:hAnsi="宋体" w:eastAsia="宋体" w:cs="宋体"/>
                <w:color w:val="auto"/>
                <w:sz w:val="22"/>
                <w:szCs w:val="22"/>
                <w:highlight w:val="none"/>
                <w:lang w:val="en-US" w:eastAsia="zh-CN"/>
              </w:rPr>
              <w:t>2200</w:t>
            </w:r>
          </w:p>
        </w:tc>
        <w:tc>
          <w:tcPr>
            <w:tcW w:w="825" w:type="dxa"/>
            <w:gridSpan w:val="2"/>
            <w:noWrap w:val="0"/>
            <w:vAlign w:val="center"/>
          </w:tcPr>
          <w:p w14:paraId="2316B5CE">
            <w:pPr>
              <w:widowControl/>
              <w:spacing w:line="3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cs="宋体"/>
                <w:color w:val="auto"/>
                <w:highlight w:val="none"/>
              </w:rPr>
              <w:t>00x</w:t>
            </w:r>
            <w:r>
              <w:rPr>
                <w:rFonts w:hint="eastAsia" w:ascii="宋体" w:hAnsi="宋体" w:eastAsia="宋体" w:cs="宋体"/>
                <w:color w:val="auto"/>
                <w:highlight w:val="none"/>
                <w:lang w:val="en-US" w:eastAsia="zh-CN"/>
              </w:rPr>
              <w:t>2100</w:t>
            </w:r>
          </w:p>
        </w:tc>
        <w:tc>
          <w:tcPr>
            <w:tcW w:w="840" w:type="dxa"/>
            <w:gridSpan w:val="2"/>
            <w:noWrap w:val="0"/>
            <w:vAlign w:val="center"/>
          </w:tcPr>
          <w:p w14:paraId="7B4995EF">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2000</w:t>
            </w:r>
          </w:p>
        </w:tc>
        <w:tc>
          <w:tcPr>
            <w:tcW w:w="930" w:type="dxa"/>
            <w:gridSpan w:val="2"/>
            <w:noWrap w:val="0"/>
            <w:vAlign w:val="center"/>
          </w:tcPr>
          <w:p w14:paraId="29FB04E3">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82</w:t>
            </w:r>
            <w:r>
              <w:rPr>
                <w:rFonts w:ascii="宋体" w:hAnsi="宋体" w:eastAsia="宋体" w:cs="宋体"/>
                <w:color w:val="auto"/>
                <w:sz w:val="22"/>
                <w:szCs w:val="22"/>
                <w:highlight w:val="none"/>
              </w:rPr>
              <w:t>00</w:t>
            </w:r>
          </w:p>
        </w:tc>
        <w:tc>
          <w:tcPr>
            <w:tcW w:w="930" w:type="dxa"/>
            <w:gridSpan w:val="2"/>
            <w:noWrap w:val="0"/>
            <w:vAlign w:val="center"/>
          </w:tcPr>
          <w:p w14:paraId="3A4FF9ED">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无机房</w:t>
            </w:r>
          </w:p>
        </w:tc>
        <w:tc>
          <w:tcPr>
            <w:tcW w:w="659" w:type="dxa"/>
            <w:noWrap w:val="0"/>
            <w:vAlign w:val="center"/>
          </w:tcPr>
          <w:p w14:paraId="116CCFB8">
            <w:pPr>
              <w:widowControl/>
              <w:spacing w:line="300" w:lineRule="exact"/>
              <w:jc w:val="center"/>
              <w:rPr>
                <w:color w:val="auto"/>
                <w:sz w:val="22"/>
                <w:szCs w:val="22"/>
                <w:highlight w:val="none"/>
              </w:rPr>
            </w:pPr>
            <w:r>
              <w:rPr>
                <w:rFonts w:ascii="宋体" w:hAnsi="宋体" w:eastAsia="宋体" w:cs="宋体"/>
                <w:color w:val="auto"/>
                <w:sz w:val="22"/>
                <w:szCs w:val="22"/>
                <w:highlight w:val="none"/>
              </w:rPr>
              <w:t>中开</w:t>
            </w:r>
          </w:p>
        </w:tc>
        <w:tc>
          <w:tcPr>
            <w:tcW w:w="676" w:type="dxa"/>
            <w:noWrap w:val="0"/>
            <w:vAlign w:val="center"/>
          </w:tcPr>
          <w:p w14:paraId="71829EFC">
            <w:pPr>
              <w:widowControl/>
              <w:spacing w:line="300" w:lineRule="exact"/>
              <w:jc w:val="center"/>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单层轿厢</w:t>
            </w:r>
          </w:p>
        </w:tc>
        <w:tc>
          <w:tcPr>
            <w:tcW w:w="690" w:type="dxa"/>
            <w:gridSpan w:val="2"/>
            <w:noWrap w:val="0"/>
            <w:vAlign w:val="center"/>
          </w:tcPr>
          <w:p w14:paraId="36FFB65F">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联控</w:t>
            </w:r>
          </w:p>
        </w:tc>
        <w:tc>
          <w:tcPr>
            <w:tcW w:w="660" w:type="dxa"/>
            <w:gridSpan w:val="2"/>
            <w:noWrap w:val="0"/>
            <w:vAlign w:val="center"/>
          </w:tcPr>
          <w:p w14:paraId="0E79BCC2">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侧置对重</w:t>
            </w:r>
          </w:p>
        </w:tc>
        <w:tc>
          <w:tcPr>
            <w:tcW w:w="668" w:type="dxa"/>
            <w:noWrap w:val="0"/>
            <w:vAlign w:val="center"/>
          </w:tcPr>
          <w:p w14:paraId="36384025">
            <w:pPr>
              <w:widowControl/>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bl>
    <w:p w14:paraId="1981CCCF">
      <w:pPr>
        <w:rPr>
          <w:rFonts w:ascii="宋体" w:hAnsi="宋体" w:eastAsia="宋体" w:cs="宋体"/>
          <w:color w:val="000000"/>
          <w:sz w:val="31"/>
          <w:szCs w:val="31"/>
          <w:highlight w:val="none"/>
        </w:rPr>
      </w:pPr>
      <w:r>
        <w:rPr>
          <w:rFonts w:ascii="宋体" w:hAnsi="宋体" w:eastAsia="宋体" w:cs="宋体"/>
          <w:color w:val="000000"/>
          <w:sz w:val="31"/>
          <w:szCs w:val="31"/>
          <w:highlight w:val="none"/>
        </w:rPr>
        <w:br w:type="page"/>
      </w:r>
    </w:p>
    <w:p w14:paraId="489C9D09">
      <w:pPr>
        <w:spacing w:before="318" w:line="225" w:lineRule="auto"/>
        <w:ind w:left="2735" w:firstLine="310" w:firstLineChars="100"/>
        <w:jc w:val="both"/>
        <w:outlineLvl w:val="0"/>
        <w:rPr>
          <w:rFonts w:ascii="宋体" w:hAnsi="宋体" w:eastAsia="宋体" w:cs="宋体"/>
          <w:color w:val="000000"/>
          <w:sz w:val="31"/>
          <w:szCs w:val="31"/>
          <w:highlight w:val="none"/>
        </w:rPr>
      </w:pPr>
      <w:r>
        <w:rPr>
          <w:rFonts w:ascii="宋体" w:hAnsi="宋体" w:eastAsia="宋体" w:cs="宋体"/>
          <w:color w:val="000000"/>
          <w:sz w:val="31"/>
          <w:szCs w:val="31"/>
          <w:highlight w:val="none"/>
        </w:rPr>
        <w:t>第六章</w:t>
      </w:r>
      <w:r>
        <w:rPr>
          <w:rFonts w:hint="eastAsia" w:ascii="宋体" w:hAnsi="宋体" w:eastAsia="宋体" w:cs="宋体"/>
          <w:color w:val="000000"/>
          <w:sz w:val="31"/>
          <w:szCs w:val="31"/>
          <w:highlight w:val="none"/>
        </w:rPr>
        <w:t xml:space="preserve"> </w:t>
      </w:r>
      <w:r>
        <w:rPr>
          <w:rFonts w:ascii="宋体" w:hAnsi="宋体" w:eastAsia="宋体" w:cs="宋体"/>
          <w:color w:val="000000"/>
          <w:sz w:val="31"/>
          <w:szCs w:val="31"/>
          <w:highlight w:val="none"/>
        </w:rPr>
        <w:t>投标文件格式</w:t>
      </w:r>
    </w:p>
    <w:p w14:paraId="1BD823F8">
      <w:pPr>
        <w:spacing w:line="343" w:lineRule="auto"/>
        <w:jc w:val="both"/>
        <w:rPr>
          <w:color w:val="000000"/>
          <w:highlight w:val="none"/>
        </w:rPr>
      </w:pPr>
    </w:p>
    <w:p w14:paraId="356A5D81">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（项目名称）招标</w:t>
      </w:r>
      <w:r>
        <w:rPr>
          <w:rFonts w:hint="eastAsia"/>
          <w:color w:val="auto"/>
          <w:sz w:val="28"/>
          <w:szCs w:val="28"/>
          <w:highlight w:val="none"/>
        </w:rPr>
        <w:cr/>
      </w:r>
    </w:p>
    <w:p w14:paraId="4C91EA37">
      <w:pPr>
        <w:rPr>
          <w:color w:val="auto"/>
          <w:sz w:val="28"/>
          <w:szCs w:val="28"/>
          <w:highlight w:val="none"/>
        </w:rPr>
      </w:pPr>
    </w:p>
    <w:p w14:paraId="14D31D58">
      <w:pPr>
        <w:rPr>
          <w:color w:val="auto"/>
          <w:sz w:val="28"/>
          <w:szCs w:val="28"/>
          <w:highlight w:val="none"/>
        </w:rPr>
      </w:pPr>
    </w:p>
    <w:p w14:paraId="021978E3">
      <w:pPr>
        <w:rPr>
          <w:color w:val="auto"/>
          <w:sz w:val="28"/>
          <w:szCs w:val="28"/>
          <w:highlight w:val="none"/>
        </w:rPr>
      </w:pPr>
    </w:p>
    <w:p w14:paraId="263F4D9F">
      <w:pPr>
        <w:rPr>
          <w:color w:val="auto"/>
          <w:sz w:val="28"/>
          <w:szCs w:val="28"/>
          <w:highlight w:val="none"/>
        </w:rPr>
      </w:pPr>
    </w:p>
    <w:p w14:paraId="6591863B">
      <w:pPr>
        <w:jc w:val="center"/>
        <w:rPr>
          <w:color w:val="auto"/>
          <w:sz w:val="36"/>
          <w:szCs w:val="36"/>
          <w:highlight w:val="none"/>
        </w:rPr>
      </w:pPr>
      <w:r>
        <w:rPr>
          <w:rFonts w:hint="eastAsia"/>
          <w:color w:val="auto"/>
          <w:sz w:val="36"/>
          <w:szCs w:val="36"/>
          <w:highlight w:val="none"/>
        </w:rPr>
        <w:t>投  标  文  件</w:t>
      </w:r>
      <w:r>
        <w:rPr>
          <w:rFonts w:hint="eastAsia"/>
          <w:color w:val="auto"/>
          <w:sz w:val="36"/>
          <w:szCs w:val="36"/>
          <w:highlight w:val="none"/>
        </w:rPr>
        <w:cr/>
      </w:r>
    </w:p>
    <w:p w14:paraId="1AD7827E">
      <w:pPr>
        <w:jc w:val="center"/>
        <w:rPr>
          <w:color w:val="auto"/>
          <w:sz w:val="36"/>
          <w:szCs w:val="36"/>
          <w:highlight w:val="none"/>
        </w:rPr>
      </w:pPr>
      <w:r>
        <w:rPr>
          <w:rFonts w:hint="eastAsia"/>
          <w:color w:val="auto"/>
          <w:sz w:val="36"/>
          <w:szCs w:val="36"/>
          <w:highlight w:val="none"/>
        </w:rPr>
        <w:t>（商务标）</w:t>
      </w:r>
    </w:p>
    <w:p w14:paraId="58B5D551">
      <w:pPr>
        <w:jc w:val="center"/>
        <w:rPr>
          <w:color w:val="auto"/>
          <w:sz w:val="18"/>
          <w:szCs w:val="18"/>
          <w:highlight w:val="none"/>
        </w:rPr>
      </w:pPr>
    </w:p>
    <w:p w14:paraId="52C57172">
      <w:pPr>
        <w:jc w:val="center"/>
        <w:rPr>
          <w:color w:val="auto"/>
          <w:sz w:val="18"/>
          <w:szCs w:val="18"/>
          <w:highlight w:val="none"/>
        </w:rPr>
      </w:pPr>
    </w:p>
    <w:p w14:paraId="7B9E0744">
      <w:pPr>
        <w:jc w:val="center"/>
        <w:rPr>
          <w:color w:val="auto"/>
          <w:sz w:val="18"/>
          <w:szCs w:val="18"/>
          <w:highlight w:val="none"/>
        </w:rPr>
      </w:pPr>
    </w:p>
    <w:p w14:paraId="7889A845">
      <w:pPr>
        <w:jc w:val="center"/>
        <w:rPr>
          <w:color w:val="auto"/>
          <w:sz w:val="18"/>
          <w:szCs w:val="18"/>
          <w:highlight w:val="none"/>
        </w:rPr>
      </w:pPr>
    </w:p>
    <w:p w14:paraId="540966E9">
      <w:pPr>
        <w:jc w:val="center"/>
        <w:rPr>
          <w:color w:val="auto"/>
          <w:sz w:val="18"/>
          <w:szCs w:val="18"/>
          <w:highlight w:val="none"/>
        </w:rPr>
      </w:pPr>
    </w:p>
    <w:p w14:paraId="07BDDEA0">
      <w:pPr>
        <w:jc w:val="center"/>
        <w:rPr>
          <w:color w:val="auto"/>
          <w:sz w:val="18"/>
          <w:szCs w:val="18"/>
          <w:highlight w:val="none"/>
        </w:rPr>
      </w:pPr>
    </w:p>
    <w:p w14:paraId="1A125BC5">
      <w:pPr>
        <w:jc w:val="center"/>
        <w:rPr>
          <w:color w:val="auto"/>
          <w:sz w:val="18"/>
          <w:szCs w:val="18"/>
          <w:highlight w:val="none"/>
        </w:rPr>
      </w:pPr>
    </w:p>
    <w:p w14:paraId="4D575E85">
      <w:pPr>
        <w:jc w:val="center"/>
        <w:rPr>
          <w:color w:val="auto"/>
          <w:sz w:val="18"/>
          <w:szCs w:val="18"/>
          <w:highlight w:val="none"/>
        </w:rPr>
      </w:pPr>
    </w:p>
    <w:p w14:paraId="2BD1F8DF">
      <w:pPr>
        <w:jc w:val="center"/>
        <w:rPr>
          <w:color w:val="auto"/>
          <w:sz w:val="18"/>
          <w:szCs w:val="18"/>
          <w:highlight w:val="none"/>
        </w:rPr>
      </w:pPr>
    </w:p>
    <w:p w14:paraId="314553B6">
      <w:pPr>
        <w:jc w:val="center"/>
        <w:rPr>
          <w:color w:val="auto"/>
          <w:sz w:val="18"/>
          <w:szCs w:val="18"/>
          <w:highlight w:val="none"/>
        </w:rPr>
      </w:pPr>
    </w:p>
    <w:p w14:paraId="4BA938A5">
      <w:pPr>
        <w:jc w:val="center"/>
        <w:rPr>
          <w:color w:val="auto"/>
          <w:sz w:val="18"/>
          <w:szCs w:val="18"/>
          <w:highlight w:val="none"/>
        </w:rPr>
      </w:pPr>
    </w:p>
    <w:p w14:paraId="35EEEF61">
      <w:pPr>
        <w:jc w:val="center"/>
        <w:rPr>
          <w:color w:val="auto"/>
          <w:sz w:val="18"/>
          <w:szCs w:val="18"/>
          <w:highlight w:val="none"/>
        </w:rPr>
      </w:pPr>
    </w:p>
    <w:p w14:paraId="2A62231F">
      <w:pPr>
        <w:jc w:val="center"/>
        <w:rPr>
          <w:color w:val="auto"/>
          <w:sz w:val="18"/>
          <w:szCs w:val="18"/>
          <w:highlight w:val="none"/>
        </w:rPr>
      </w:pPr>
    </w:p>
    <w:p w14:paraId="11EA2FA9">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14:paraId="6033203D">
      <w:pPr>
        <w:pStyle w:val="22"/>
        <w:jc w:val="center"/>
        <w:rPr>
          <w:rFonts w:hAnsi="宋体"/>
          <w:color w:val="auto"/>
          <w:sz w:val="28"/>
          <w:szCs w:val="28"/>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年</w:t>
      </w:r>
      <w:r>
        <w:rPr>
          <w:rFonts w:hint="eastAsia" w:hAnsi="宋体"/>
          <w:color w:val="auto"/>
          <w:sz w:val="28"/>
          <w:szCs w:val="28"/>
          <w:highlight w:val="none"/>
          <w:u w:val="single"/>
        </w:rPr>
        <w:t xml:space="preserve">       </w:t>
      </w:r>
      <w:r>
        <w:rPr>
          <w:rFonts w:hint="eastAsia" w:hAnsi="宋体"/>
          <w:color w:val="auto"/>
          <w:sz w:val="28"/>
          <w:szCs w:val="28"/>
          <w:highlight w:val="none"/>
        </w:rPr>
        <w:t>月</w:t>
      </w:r>
      <w:r>
        <w:rPr>
          <w:rFonts w:hint="eastAsia" w:hAnsi="宋体"/>
          <w:color w:val="auto"/>
          <w:sz w:val="28"/>
          <w:szCs w:val="28"/>
          <w:highlight w:val="none"/>
          <w:u w:val="single"/>
        </w:rPr>
        <w:t xml:space="preserve">       </w:t>
      </w:r>
      <w:r>
        <w:rPr>
          <w:rFonts w:hint="eastAsia" w:hAnsi="宋体"/>
          <w:color w:val="auto"/>
          <w:sz w:val="28"/>
          <w:szCs w:val="28"/>
          <w:highlight w:val="none"/>
        </w:rPr>
        <w:t>日</w:t>
      </w:r>
    </w:p>
    <w:p w14:paraId="2468A6B1">
      <w:pPr>
        <w:jc w:val="center"/>
        <w:rPr>
          <w:color w:val="auto"/>
          <w:sz w:val="28"/>
          <w:szCs w:val="28"/>
          <w:highlight w:val="none"/>
        </w:rPr>
      </w:pPr>
      <w:r>
        <w:rPr>
          <w:bCs/>
          <w:color w:val="auto"/>
          <w:highlight w:val="none"/>
        </w:rPr>
        <w:br w:type="page"/>
      </w:r>
      <w:r>
        <w:rPr>
          <w:b/>
          <w:color w:val="auto"/>
          <w:sz w:val="32"/>
          <w:szCs w:val="32"/>
          <w:highlight w:val="none"/>
        </w:rPr>
        <w:t xml:space="preserve">目 </w:t>
      </w:r>
      <w:r>
        <w:rPr>
          <w:rFonts w:hint="eastAsia"/>
          <w:b/>
          <w:color w:val="auto"/>
          <w:sz w:val="32"/>
          <w:szCs w:val="32"/>
          <w:highlight w:val="none"/>
        </w:rPr>
        <w:t xml:space="preserve"> </w:t>
      </w:r>
      <w:r>
        <w:rPr>
          <w:b/>
          <w:color w:val="auto"/>
          <w:sz w:val="32"/>
          <w:szCs w:val="32"/>
          <w:highlight w:val="none"/>
        </w:rPr>
        <w:t xml:space="preserve">  录</w:t>
      </w:r>
      <w:r>
        <w:rPr>
          <w:b/>
          <w:color w:val="auto"/>
          <w:sz w:val="32"/>
          <w:szCs w:val="32"/>
          <w:highlight w:val="none"/>
        </w:rPr>
        <w:cr/>
      </w:r>
    </w:p>
    <w:p w14:paraId="5DCFA8AB">
      <w:pPr>
        <w:spacing w:line="500" w:lineRule="exact"/>
        <w:ind w:firstLine="420" w:firstLineChars="200"/>
        <w:rPr>
          <w:color w:val="auto"/>
          <w:highlight w:val="none"/>
        </w:rPr>
      </w:pPr>
      <w:r>
        <w:rPr>
          <w:rFonts w:hint="eastAsia"/>
          <w:color w:val="auto"/>
          <w:highlight w:val="none"/>
        </w:rPr>
        <w:t>商务标内容：</w:t>
      </w:r>
    </w:p>
    <w:p w14:paraId="236A3050">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(1)投标函(</w:t>
      </w:r>
      <w:r>
        <w:rPr>
          <w:rFonts w:hint="eastAsia" w:ascii="宋体" w:hAnsi="宋体" w:eastAsia="宋体" w:cs="宋体"/>
          <w:color w:val="auto"/>
          <w:sz w:val="21"/>
          <w:szCs w:val="21"/>
          <w:highlight w:val="none"/>
          <w:lang w:val="en-US" w:eastAsia="zh-CN"/>
        </w:rPr>
        <w:t>附件一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5105C082">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(2)投标设备及安装报价明细表(</w:t>
      </w:r>
      <w:r>
        <w:rPr>
          <w:rFonts w:hint="eastAsia" w:ascii="宋体" w:hAnsi="宋体" w:eastAsia="宋体" w:cs="宋体"/>
          <w:color w:val="auto"/>
          <w:sz w:val="21"/>
          <w:szCs w:val="21"/>
          <w:highlight w:val="none"/>
          <w:lang w:val="en-US" w:eastAsia="zh-CN"/>
        </w:rPr>
        <w:t>附件二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03B6ADA6">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(3)主要部件性能一览表(</w:t>
      </w:r>
      <w:r>
        <w:rPr>
          <w:rFonts w:hint="eastAsia" w:ascii="宋体" w:hAnsi="宋体" w:eastAsia="宋体" w:cs="宋体"/>
          <w:color w:val="auto"/>
          <w:sz w:val="21"/>
          <w:szCs w:val="21"/>
          <w:highlight w:val="none"/>
          <w:lang w:val="en-US" w:eastAsia="zh-CN"/>
        </w:rPr>
        <w:t>附件三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65258D34">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(4)随机专用工县及备品备件明细表(</w:t>
      </w:r>
      <w:r>
        <w:rPr>
          <w:rFonts w:hint="eastAsia" w:ascii="宋体" w:hAnsi="宋体" w:eastAsia="宋体" w:cs="宋体"/>
          <w:color w:val="auto"/>
          <w:sz w:val="21"/>
          <w:szCs w:val="21"/>
          <w:highlight w:val="none"/>
          <w:lang w:val="en-US" w:eastAsia="zh-CN"/>
        </w:rPr>
        <w:t>附件四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210DCD44">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(5)供招标人选购的备品备件一览表(</w:t>
      </w:r>
      <w:r>
        <w:rPr>
          <w:rFonts w:hint="eastAsia" w:ascii="宋体" w:hAnsi="宋体" w:eastAsia="宋体" w:cs="宋体"/>
          <w:color w:val="auto"/>
          <w:sz w:val="21"/>
          <w:szCs w:val="21"/>
          <w:highlight w:val="none"/>
          <w:lang w:val="en-US" w:eastAsia="zh-CN"/>
        </w:rPr>
        <w:t>附件五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74E6813F">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(6)质保期满后大小包费用一览表(</w:t>
      </w:r>
      <w:r>
        <w:rPr>
          <w:rFonts w:hint="eastAsia" w:ascii="宋体" w:hAnsi="宋体" w:eastAsia="宋体" w:cs="宋体"/>
          <w:color w:val="auto"/>
          <w:sz w:val="21"/>
          <w:szCs w:val="21"/>
          <w:highlight w:val="none"/>
          <w:lang w:val="en-US" w:eastAsia="zh-CN"/>
        </w:rPr>
        <w:t>附件六</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287CB12D">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(7)驻项目现场的工程技术、管理人员(</w:t>
      </w:r>
      <w:r>
        <w:rPr>
          <w:rFonts w:hint="eastAsia" w:ascii="宋体" w:hAnsi="宋体" w:eastAsia="宋体" w:cs="宋体"/>
          <w:color w:val="auto"/>
          <w:sz w:val="21"/>
          <w:szCs w:val="21"/>
          <w:highlight w:val="none"/>
          <w:lang w:val="en-US" w:eastAsia="zh-CN"/>
        </w:rPr>
        <w:t>附件七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02869632">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(8)投标人需要说明的其他文件和说明(如有，格式自拟)</w:t>
      </w:r>
    </w:p>
    <w:p w14:paraId="5556EB15">
      <w:pPr>
        <w:spacing w:line="500" w:lineRule="exact"/>
        <w:rPr>
          <w:rFonts w:hint="eastAsia" w:eastAsia="宋体"/>
          <w:bCs/>
          <w:color w:val="auto"/>
          <w:highlight w:val="none"/>
          <w:lang w:eastAsia="zh-CN"/>
        </w:rPr>
      </w:pPr>
      <w:r>
        <w:rPr>
          <w:rFonts w:hint="eastAsia" w:ascii="宋体" w:hAnsi="宋体" w:eastAsia="宋体" w:cs="宋体"/>
          <w:bCs/>
          <w:color w:val="auto"/>
          <w:sz w:val="21"/>
          <w:szCs w:val="21"/>
          <w:highlight w:val="none"/>
        </w:rPr>
        <w:br w:type="page"/>
      </w:r>
      <w:r>
        <w:rPr>
          <w:rFonts w:hint="eastAsia"/>
          <w:bCs/>
          <w:color w:val="auto"/>
          <w:highlight w:val="none"/>
        </w:rPr>
        <w:t>附件</w:t>
      </w:r>
      <w:r>
        <w:rPr>
          <w:rFonts w:hint="eastAsia" w:eastAsia="宋体"/>
          <w:bCs/>
          <w:color w:val="auto"/>
          <w:highlight w:val="none"/>
          <w:lang w:val="en-US" w:eastAsia="zh-CN"/>
        </w:rPr>
        <w:t>一</w:t>
      </w:r>
    </w:p>
    <w:p w14:paraId="02856DFB">
      <w:pPr>
        <w:spacing w:line="500" w:lineRule="exact"/>
        <w:rPr>
          <w:color w:val="auto"/>
          <w:highlight w:val="none"/>
        </w:rPr>
      </w:pPr>
    </w:p>
    <w:p w14:paraId="53D8F87F">
      <w:pPr>
        <w:jc w:val="center"/>
        <w:rPr>
          <w:b/>
          <w:bCs/>
          <w:color w:val="auto"/>
          <w:sz w:val="32"/>
          <w:szCs w:val="32"/>
          <w:highlight w:val="none"/>
        </w:rPr>
      </w:pPr>
      <w:r>
        <w:rPr>
          <w:rFonts w:hint="eastAsia"/>
          <w:b/>
          <w:bCs/>
          <w:color w:val="auto"/>
          <w:sz w:val="32"/>
          <w:szCs w:val="32"/>
          <w:highlight w:val="none"/>
        </w:rPr>
        <w:t>投 标 函</w:t>
      </w:r>
    </w:p>
    <w:p w14:paraId="45C1F076">
      <w:pPr>
        <w:spacing w:line="420" w:lineRule="exact"/>
        <w:rPr>
          <w:color w:val="auto"/>
          <w:highlight w:val="none"/>
        </w:rPr>
      </w:pPr>
      <w:r>
        <w:rPr>
          <w:rFonts w:hint="eastAsia"/>
          <w:color w:val="auto"/>
          <w:highlight w:val="none"/>
          <w:u w:val="single"/>
        </w:rPr>
        <w:t xml:space="preserve">                       </w:t>
      </w:r>
      <w:r>
        <w:rPr>
          <w:color w:val="auto"/>
          <w:highlight w:val="none"/>
        </w:rPr>
        <w:t>（招标人名称）：</w:t>
      </w:r>
      <w:r>
        <w:rPr>
          <w:color w:val="auto"/>
          <w:highlight w:val="none"/>
        </w:rPr>
        <w:cr/>
      </w:r>
      <w:r>
        <w:rPr>
          <w:color w:val="auto"/>
          <w:highlight w:val="none"/>
        </w:rPr>
        <w:t xml:space="preserve">    1．我方已仔细研究了</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（项目名称）招标文件的全部内容，愿</w:t>
      </w:r>
      <w:r>
        <w:rPr>
          <w:rFonts w:hint="eastAsia"/>
          <w:color w:val="auto"/>
          <w:highlight w:val="none"/>
        </w:rPr>
        <w:t>意以人民币（大写）</w:t>
      </w:r>
      <w:r>
        <w:rPr>
          <w:rFonts w:hint="eastAsia"/>
          <w:color w:val="auto"/>
          <w:highlight w:val="none"/>
          <w:u w:val="single"/>
        </w:rPr>
        <w:t xml:space="preserve">                 元整</w:t>
      </w:r>
      <w:r>
        <w:rPr>
          <w:rFonts w:hint="eastAsia"/>
          <w:color w:val="auto"/>
          <w:highlight w:val="none"/>
        </w:rPr>
        <w:t>（</w:t>
      </w:r>
      <w:r>
        <w:rPr>
          <w:rFonts w:hint="eastAsia"/>
          <w:color w:val="auto"/>
          <w:highlight w:val="none"/>
          <w:u w:val="single"/>
        </w:rPr>
        <w:t xml:space="preserve">小写￥             </w:t>
      </w:r>
      <w:r>
        <w:rPr>
          <w:rFonts w:hint="eastAsia"/>
          <w:color w:val="auto"/>
          <w:highlight w:val="none"/>
        </w:rPr>
        <w:t>）的条件承包上述项目，</w:t>
      </w:r>
      <w:r>
        <w:rPr>
          <w:rFonts w:hint="eastAsia" w:cs="宋体"/>
          <w:color w:val="auto"/>
          <w:highlight w:val="none"/>
        </w:rPr>
        <w:t>交货期</w:t>
      </w:r>
      <w:r>
        <w:rPr>
          <w:rFonts w:cs="宋体"/>
          <w:color w:val="auto"/>
          <w:highlight w:val="none"/>
        </w:rPr>
        <w:t>：</w:t>
      </w:r>
      <w:r>
        <w:rPr>
          <w:rFonts w:hint="eastAsia" w:cs="宋体"/>
          <w:color w:val="auto"/>
          <w:highlight w:val="none"/>
          <w:u w:val="single"/>
        </w:rPr>
        <w:t xml:space="preserve">        </w:t>
      </w:r>
      <w:r>
        <w:rPr>
          <w:rFonts w:hint="eastAsia" w:cs="宋体"/>
          <w:color w:val="auto"/>
          <w:highlight w:val="none"/>
        </w:rPr>
        <w:t>，按合同约定实施和</w:t>
      </w:r>
      <w:r>
        <w:rPr>
          <w:rFonts w:hint="eastAsia"/>
          <w:color w:val="auto"/>
          <w:highlight w:val="none"/>
        </w:rPr>
        <w:t>完成承包项目，工程质量达到</w:t>
      </w:r>
      <w:r>
        <w:rPr>
          <w:color w:val="auto"/>
          <w:highlight w:val="none"/>
          <w:u w:val="single"/>
        </w:rPr>
        <w:t xml:space="preserve">            </w:t>
      </w:r>
      <w:r>
        <w:rPr>
          <w:color w:val="auto"/>
          <w:highlight w:val="none"/>
        </w:rPr>
        <w:t>。</w:t>
      </w:r>
      <w:r>
        <w:rPr>
          <w:color w:val="auto"/>
          <w:highlight w:val="none"/>
        </w:rPr>
        <w:cr/>
      </w:r>
      <w:r>
        <w:rPr>
          <w:rFonts w:hint="eastAsia"/>
          <w:color w:val="auto"/>
          <w:highlight w:val="none"/>
        </w:rPr>
        <w:t xml:space="preserve">    </w:t>
      </w:r>
      <w:r>
        <w:rPr>
          <w:color w:val="auto"/>
          <w:highlight w:val="none"/>
        </w:rPr>
        <w:t>2．我方承诺在投标有效期内不修改、撤销投标文件。</w:t>
      </w:r>
    </w:p>
    <w:p w14:paraId="3C32C4EC">
      <w:pPr>
        <w:spacing w:line="420" w:lineRule="exact"/>
        <w:ind w:firstLine="420" w:firstLineChars="200"/>
        <w:rPr>
          <w:color w:val="auto"/>
          <w:highlight w:val="none"/>
        </w:rPr>
      </w:pPr>
      <w:r>
        <w:rPr>
          <w:rFonts w:hint="eastAsia"/>
          <w:color w:val="auto"/>
          <w:highlight w:val="none"/>
        </w:rPr>
        <w:t>3</w:t>
      </w:r>
      <w:r>
        <w:rPr>
          <w:color w:val="auto"/>
          <w:highlight w:val="none"/>
        </w:rPr>
        <w:t xml:space="preserve">．如我方中标： </w:t>
      </w:r>
      <w:r>
        <w:rPr>
          <w:color w:val="auto"/>
          <w:highlight w:val="none"/>
        </w:rPr>
        <w:cr/>
      </w:r>
      <w:r>
        <w:rPr>
          <w:color w:val="auto"/>
          <w:highlight w:val="none"/>
        </w:rPr>
        <w:t xml:space="preserve">      （1）我方承诺在收到中标通知书后，在中标通知书规定的期限内与你方签订合同。 </w:t>
      </w:r>
      <w:r>
        <w:rPr>
          <w:color w:val="auto"/>
          <w:highlight w:val="none"/>
        </w:rPr>
        <w:cr/>
      </w:r>
      <w:r>
        <w:rPr>
          <w:color w:val="auto"/>
          <w:highlight w:val="none"/>
        </w:rPr>
        <w:t xml:space="preserve">      （2）随同本投标函递交的投标函附录属于合同文件的组成部分。 </w:t>
      </w:r>
      <w:r>
        <w:rPr>
          <w:color w:val="auto"/>
          <w:highlight w:val="none"/>
        </w:rPr>
        <w:cr/>
      </w:r>
      <w:r>
        <w:rPr>
          <w:color w:val="auto"/>
          <w:highlight w:val="none"/>
        </w:rPr>
        <w:t xml:space="preserve">      （3）我方承诺按照招标文件规定向你方递交履约担保。 </w:t>
      </w:r>
      <w:r>
        <w:rPr>
          <w:color w:val="auto"/>
          <w:highlight w:val="none"/>
        </w:rPr>
        <w:cr/>
      </w:r>
      <w:r>
        <w:rPr>
          <w:color w:val="auto"/>
          <w:highlight w:val="none"/>
        </w:rPr>
        <w:t xml:space="preserve">      （4）我方承诺在合同约定的期限内完成并移交全部合同工程。 </w:t>
      </w:r>
      <w:r>
        <w:rPr>
          <w:color w:val="auto"/>
          <w:highlight w:val="none"/>
        </w:rPr>
        <w:cr/>
      </w:r>
      <w:r>
        <w:rPr>
          <w:color w:val="auto"/>
          <w:highlight w:val="none"/>
        </w:rPr>
        <w:t xml:space="preserve">    </w:t>
      </w:r>
      <w:r>
        <w:rPr>
          <w:rFonts w:hint="eastAsia"/>
          <w:color w:val="auto"/>
          <w:highlight w:val="none"/>
        </w:rPr>
        <w:t>4</w:t>
      </w:r>
      <w:r>
        <w:rPr>
          <w:color w:val="auto"/>
          <w:highlight w:val="none"/>
        </w:rPr>
        <w:t xml:space="preserve">．我方在此声明，所递交的投标文件及有关资料内容完整、真实和准确。 </w:t>
      </w:r>
      <w:r>
        <w:rPr>
          <w:color w:val="auto"/>
          <w:highlight w:val="none"/>
        </w:rPr>
        <w:cr/>
      </w:r>
      <w:r>
        <w:rPr>
          <w:rFonts w:hint="eastAsia"/>
          <w:color w:val="auto"/>
          <w:highlight w:val="none"/>
        </w:rPr>
        <w:t xml:space="preserve">    5</w:t>
      </w:r>
      <w:r>
        <w:rPr>
          <w:color w:val="auto"/>
          <w:highlight w:val="none"/>
        </w:rPr>
        <w:t>．</w:t>
      </w:r>
      <w:r>
        <w:rPr>
          <w:color w:val="auto"/>
          <w:highlight w:val="none"/>
          <w:u w:val="single"/>
        </w:rPr>
        <w:t xml:space="preserve">                                    </w:t>
      </w:r>
      <w:r>
        <w:rPr>
          <w:color w:val="auto"/>
          <w:highlight w:val="none"/>
        </w:rPr>
        <w:t>（其他补充说明）。</w:t>
      </w:r>
      <w:r>
        <w:rPr>
          <w:color w:val="auto"/>
          <w:highlight w:val="none"/>
        </w:rPr>
        <w:cr/>
      </w:r>
    </w:p>
    <w:p w14:paraId="02B9545A">
      <w:pPr>
        <w:spacing w:line="420" w:lineRule="exact"/>
        <w:ind w:firstLine="420" w:firstLineChars="200"/>
        <w:rPr>
          <w:color w:val="auto"/>
          <w:highlight w:val="none"/>
        </w:rPr>
      </w:pPr>
    </w:p>
    <w:p w14:paraId="1AE5A02B">
      <w:pPr>
        <w:spacing w:line="540" w:lineRule="exact"/>
        <w:rPr>
          <w:color w:val="auto"/>
          <w:highlight w:val="none"/>
        </w:rPr>
      </w:pPr>
      <w:r>
        <w:rPr>
          <w:color w:val="auto"/>
          <w:highlight w:val="none"/>
        </w:rPr>
        <w:t xml:space="preserve">                                  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color w:val="auto"/>
          <w:highlight w:val="none"/>
        </w:rPr>
        <w:t xml:space="preserve">                                  法定代表人或其委托代理人：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color w:val="auto"/>
          <w:highlight w:val="none"/>
        </w:rPr>
        <w:t xml:space="preserve">                                  地址：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网址：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电话：</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传真：</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邮政编码：</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w:t>
      </w:r>
    </w:p>
    <w:p w14:paraId="763E5030">
      <w:pPr>
        <w:spacing w:line="540" w:lineRule="exact"/>
        <w:ind w:firstLine="5355" w:firstLineChars="2550"/>
        <w:rPr>
          <w:color w:val="auto"/>
          <w:highlight w:val="none"/>
        </w:rPr>
      </w:pPr>
      <w:r>
        <w:rPr>
          <w:color w:val="auto"/>
          <w:highlight w:val="none"/>
          <w:u w:val="single"/>
        </w:rPr>
        <w:t xml:space="preserve"> </w:t>
      </w:r>
      <w:r>
        <w:rPr>
          <w:rFonts w:hint="eastAsia"/>
          <w:color w:val="auto"/>
          <w:highlight w:val="none"/>
          <w:u w:val="single"/>
        </w:rPr>
        <w:t xml:space="preserve">          </w:t>
      </w:r>
      <w:r>
        <w:rPr>
          <w:color w:val="auto"/>
          <w:highlight w:val="none"/>
        </w:rPr>
        <w:t>年</w:t>
      </w:r>
      <w:r>
        <w:rPr>
          <w:color w:val="auto"/>
          <w:highlight w:val="none"/>
          <w:u w:val="single"/>
        </w:rPr>
        <w:t xml:space="preserve">   </w:t>
      </w:r>
      <w:r>
        <w:rPr>
          <w:rFonts w:hint="eastAsia" w:eastAsia="宋体"/>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月</w:t>
      </w:r>
      <w:r>
        <w:rPr>
          <w:color w:val="auto"/>
          <w:highlight w:val="none"/>
          <w:u w:val="single"/>
        </w:rPr>
        <w:t xml:space="preserve">  </w:t>
      </w:r>
      <w:r>
        <w:rPr>
          <w:rFonts w:hint="eastAsia" w:eastAsia="宋体"/>
          <w:color w:val="auto"/>
          <w:highlight w:val="none"/>
          <w:u w:val="single"/>
        </w:rPr>
        <w:t xml:space="preserve">  </w:t>
      </w:r>
      <w:r>
        <w:rPr>
          <w:color w:val="auto"/>
          <w:highlight w:val="none"/>
          <w:u w:val="single"/>
        </w:rPr>
        <w:t xml:space="preserve">   </w:t>
      </w:r>
      <w:r>
        <w:rPr>
          <w:color w:val="auto"/>
          <w:highlight w:val="none"/>
        </w:rPr>
        <w:t>日</w:t>
      </w:r>
    </w:p>
    <w:p w14:paraId="4F97259E">
      <w:pPr>
        <w:spacing w:line="540" w:lineRule="exact"/>
        <w:ind w:firstLine="5355" w:firstLineChars="2550"/>
        <w:rPr>
          <w:color w:val="auto"/>
          <w:highlight w:val="none"/>
        </w:rPr>
      </w:pPr>
    </w:p>
    <w:p w14:paraId="748AF2B1">
      <w:pPr>
        <w:spacing w:line="540" w:lineRule="exact"/>
        <w:ind w:firstLine="5355" w:firstLineChars="2550"/>
        <w:rPr>
          <w:color w:val="auto"/>
          <w:highlight w:val="none"/>
        </w:rPr>
      </w:pPr>
    </w:p>
    <w:p w14:paraId="118D5768">
      <w:pPr>
        <w:spacing w:line="540" w:lineRule="exact"/>
        <w:ind w:firstLine="5355" w:firstLineChars="2550"/>
        <w:rPr>
          <w:color w:val="auto"/>
          <w:highlight w:val="none"/>
        </w:rPr>
      </w:pPr>
    </w:p>
    <w:p w14:paraId="6BBDB5A3">
      <w:pPr>
        <w:pStyle w:val="22"/>
        <w:rPr>
          <w:color w:val="auto"/>
          <w:highlight w:val="none"/>
        </w:rPr>
        <w:sectPr>
          <w:headerReference r:id="rId14" w:type="default"/>
          <w:footerReference r:id="rId15" w:type="default"/>
          <w:footerReference r:id="rId16" w:type="even"/>
          <w:pgSz w:w="11906" w:h="16838"/>
          <w:pgMar w:top="1418" w:right="1418" w:bottom="1418" w:left="1418" w:header="851" w:footer="992" w:gutter="0"/>
          <w:pgNumType w:fmt="decimal"/>
          <w:cols w:space="720" w:num="1"/>
          <w:titlePg/>
          <w:docGrid w:type="lines" w:linePitch="312" w:charSpace="0"/>
        </w:sectPr>
      </w:pPr>
      <w:r>
        <w:rPr>
          <w:color w:val="auto"/>
          <w:highlight w:val="none"/>
        </w:rPr>
        <w:t xml:space="preserve"> </w:t>
      </w:r>
    </w:p>
    <w:p w14:paraId="67EE1EC1">
      <w:pPr>
        <w:spacing w:line="540" w:lineRule="exact"/>
        <w:rPr>
          <w:rFonts w:hint="eastAsia" w:eastAsia="宋体"/>
          <w:bCs/>
          <w:color w:val="auto"/>
          <w:highlight w:val="none"/>
          <w:lang w:eastAsia="zh-CN"/>
        </w:rPr>
      </w:pPr>
      <w:r>
        <w:rPr>
          <w:rFonts w:hint="eastAsia"/>
          <w:bCs/>
          <w:color w:val="auto"/>
          <w:highlight w:val="none"/>
        </w:rPr>
        <w:t>附件</w:t>
      </w:r>
      <w:r>
        <w:rPr>
          <w:rFonts w:hint="eastAsia" w:eastAsia="宋体"/>
          <w:bCs/>
          <w:color w:val="auto"/>
          <w:highlight w:val="none"/>
          <w:lang w:val="en-US" w:eastAsia="zh-CN"/>
        </w:rPr>
        <w:t>二</w:t>
      </w:r>
    </w:p>
    <w:p w14:paraId="351ECBB9">
      <w:pPr>
        <w:spacing w:line="540" w:lineRule="exact"/>
        <w:jc w:val="center"/>
        <w:rPr>
          <w:color w:val="auto"/>
          <w:sz w:val="44"/>
          <w:szCs w:val="44"/>
          <w:highlight w:val="none"/>
        </w:rPr>
      </w:pPr>
      <w:r>
        <w:rPr>
          <w:rFonts w:hint="eastAsia"/>
          <w:b/>
          <w:color w:val="auto"/>
          <w:sz w:val="32"/>
          <w:szCs w:val="32"/>
          <w:highlight w:val="none"/>
        </w:rPr>
        <w:t>投标设备及安装报价明细表</w:t>
      </w:r>
    </w:p>
    <w:p w14:paraId="797A4A7A">
      <w:pPr>
        <w:spacing w:after="120"/>
        <w:rPr>
          <w:color w:val="auto"/>
          <w:highlight w:val="none"/>
          <w:u w:val="single"/>
        </w:rPr>
      </w:pPr>
      <w:r>
        <w:rPr>
          <w:rFonts w:hint="eastAsia"/>
          <w:color w:val="auto"/>
          <w:highlight w:val="none"/>
        </w:rPr>
        <w:t>项目名称:                                                                                                                 单位：元</w:t>
      </w:r>
    </w:p>
    <w:tbl>
      <w:tblPr>
        <w:tblStyle w:val="30"/>
        <w:tblW w:w="15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564"/>
        <w:gridCol w:w="2132"/>
        <w:gridCol w:w="1701"/>
        <w:gridCol w:w="850"/>
        <w:gridCol w:w="1134"/>
        <w:gridCol w:w="1550"/>
        <w:gridCol w:w="900"/>
        <w:gridCol w:w="1083"/>
        <w:gridCol w:w="1134"/>
        <w:gridCol w:w="837"/>
        <w:gridCol w:w="710"/>
        <w:gridCol w:w="796"/>
        <w:gridCol w:w="900"/>
      </w:tblGrid>
      <w:tr w14:paraId="24C4E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96" w:type="dxa"/>
            <w:gridSpan w:val="2"/>
            <w:tcBorders>
              <w:bottom w:val="single" w:color="auto" w:sz="4" w:space="0"/>
            </w:tcBorders>
            <w:vAlign w:val="center"/>
          </w:tcPr>
          <w:p w14:paraId="63881517">
            <w:pPr>
              <w:pStyle w:val="15"/>
              <w:spacing w:line="360" w:lineRule="exact"/>
              <w:jc w:val="center"/>
              <w:rPr>
                <w:rFonts w:hAnsi="宋体"/>
                <w:b/>
                <w:color w:val="auto"/>
                <w:highlight w:val="none"/>
              </w:rPr>
            </w:pPr>
            <w:r>
              <w:rPr>
                <w:rFonts w:hint="eastAsia" w:hAnsi="宋体"/>
                <w:b/>
                <w:color w:val="auto"/>
                <w:highlight w:val="none"/>
              </w:rPr>
              <w:t>1</w:t>
            </w:r>
          </w:p>
        </w:tc>
        <w:tc>
          <w:tcPr>
            <w:tcW w:w="2132" w:type="dxa"/>
            <w:tcBorders>
              <w:bottom w:val="single" w:color="auto" w:sz="4" w:space="0"/>
            </w:tcBorders>
            <w:vAlign w:val="center"/>
          </w:tcPr>
          <w:p w14:paraId="769E0D69">
            <w:pPr>
              <w:pStyle w:val="15"/>
              <w:spacing w:line="360" w:lineRule="exact"/>
              <w:jc w:val="center"/>
              <w:rPr>
                <w:rFonts w:hAnsi="宋体"/>
                <w:b/>
                <w:color w:val="auto"/>
                <w:highlight w:val="none"/>
              </w:rPr>
            </w:pPr>
            <w:r>
              <w:rPr>
                <w:rFonts w:hint="eastAsia" w:hAnsi="宋体"/>
                <w:b/>
                <w:color w:val="auto"/>
                <w:highlight w:val="none"/>
              </w:rPr>
              <w:t>2</w:t>
            </w:r>
          </w:p>
        </w:tc>
        <w:tc>
          <w:tcPr>
            <w:tcW w:w="1701" w:type="dxa"/>
            <w:tcBorders>
              <w:bottom w:val="single" w:color="auto" w:sz="4" w:space="0"/>
            </w:tcBorders>
            <w:vAlign w:val="center"/>
          </w:tcPr>
          <w:p w14:paraId="2875713A">
            <w:pPr>
              <w:pStyle w:val="15"/>
              <w:spacing w:line="360" w:lineRule="exact"/>
              <w:jc w:val="center"/>
              <w:rPr>
                <w:rFonts w:hAnsi="宋体"/>
                <w:b/>
                <w:color w:val="auto"/>
                <w:highlight w:val="none"/>
              </w:rPr>
            </w:pPr>
            <w:r>
              <w:rPr>
                <w:rFonts w:hint="eastAsia" w:hAnsi="宋体"/>
                <w:b/>
                <w:color w:val="auto"/>
                <w:highlight w:val="none"/>
              </w:rPr>
              <w:t>3</w:t>
            </w:r>
          </w:p>
        </w:tc>
        <w:tc>
          <w:tcPr>
            <w:tcW w:w="850" w:type="dxa"/>
            <w:tcBorders>
              <w:bottom w:val="single" w:color="auto" w:sz="4" w:space="0"/>
            </w:tcBorders>
            <w:vAlign w:val="center"/>
          </w:tcPr>
          <w:p w14:paraId="3C85901E">
            <w:pPr>
              <w:pStyle w:val="15"/>
              <w:spacing w:line="360" w:lineRule="exact"/>
              <w:jc w:val="center"/>
              <w:rPr>
                <w:rFonts w:hAnsi="宋体"/>
                <w:b/>
                <w:color w:val="auto"/>
                <w:highlight w:val="none"/>
              </w:rPr>
            </w:pPr>
            <w:r>
              <w:rPr>
                <w:rFonts w:hint="eastAsia" w:hAnsi="宋体"/>
                <w:b/>
                <w:color w:val="auto"/>
                <w:highlight w:val="none"/>
              </w:rPr>
              <w:t>4</w:t>
            </w:r>
          </w:p>
        </w:tc>
        <w:tc>
          <w:tcPr>
            <w:tcW w:w="1134" w:type="dxa"/>
            <w:tcBorders>
              <w:bottom w:val="single" w:color="auto" w:sz="4" w:space="0"/>
            </w:tcBorders>
            <w:vAlign w:val="center"/>
          </w:tcPr>
          <w:p w14:paraId="6AF6A4C4">
            <w:pPr>
              <w:pStyle w:val="15"/>
              <w:spacing w:line="360" w:lineRule="exact"/>
              <w:jc w:val="center"/>
              <w:rPr>
                <w:rFonts w:hAnsi="宋体"/>
                <w:b/>
                <w:color w:val="auto"/>
                <w:highlight w:val="none"/>
              </w:rPr>
            </w:pPr>
            <w:r>
              <w:rPr>
                <w:rFonts w:hint="eastAsia" w:hAnsi="宋体"/>
                <w:b/>
                <w:color w:val="auto"/>
                <w:highlight w:val="none"/>
              </w:rPr>
              <w:t>5</w:t>
            </w:r>
          </w:p>
        </w:tc>
        <w:tc>
          <w:tcPr>
            <w:tcW w:w="1550" w:type="dxa"/>
            <w:tcBorders>
              <w:bottom w:val="single" w:color="auto" w:sz="4" w:space="0"/>
            </w:tcBorders>
            <w:vAlign w:val="center"/>
          </w:tcPr>
          <w:p w14:paraId="131BD330">
            <w:pPr>
              <w:pStyle w:val="15"/>
              <w:spacing w:line="360" w:lineRule="exact"/>
              <w:jc w:val="center"/>
              <w:rPr>
                <w:rFonts w:hAnsi="宋体"/>
                <w:b/>
                <w:color w:val="auto"/>
                <w:highlight w:val="none"/>
              </w:rPr>
            </w:pPr>
            <w:r>
              <w:rPr>
                <w:rFonts w:hint="eastAsia" w:hAnsi="宋体"/>
                <w:b/>
                <w:color w:val="auto"/>
                <w:highlight w:val="none"/>
              </w:rPr>
              <w:t>6</w:t>
            </w:r>
          </w:p>
        </w:tc>
        <w:tc>
          <w:tcPr>
            <w:tcW w:w="900" w:type="dxa"/>
            <w:tcBorders>
              <w:bottom w:val="single" w:color="auto" w:sz="4" w:space="0"/>
            </w:tcBorders>
            <w:vAlign w:val="center"/>
          </w:tcPr>
          <w:p w14:paraId="2D81A624">
            <w:pPr>
              <w:pStyle w:val="15"/>
              <w:spacing w:line="360" w:lineRule="exact"/>
              <w:jc w:val="center"/>
              <w:rPr>
                <w:rFonts w:hAnsi="宋体"/>
                <w:b/>
                <w:color w:val="auto"/>
                <w:highlight w:val="none"/>
              </w:rPr>
            </w:pPr>
            <w:r>
              <w:rPr>
                <w:rFonts w:hint="eastAsia" w:hAnsi="宋体"/>
                <w:b/>
                <w:color w:val="auto"/>
                <w:highlight w:val="none"/>
              </w:rPr>
              <w:t>7</w:t>
            </w:r>
          </w:p>
        </w:tc>
        <w:tc>
          <w:tcPr>
            <w:tcW w:w="1083" w:type="dxa"/>
            <w:tcBorders>
              <w:bottom w:val="single" w:color="auto" w:sz="4" w:space="0"/>
            </w:tcBorders>
            <w:vAlign w:val="center"/>
          </w:tcPr>
          <w:p w14:paraId="61CF746A">
            <w:pPr>
              <w:pStyle w:val="15"/>
              <w:spacing w:line="360" w:lineRule="exact"/>
              <w:jc w:val="center"/>
              <w:rPr>
                <w:rFonts w:hAnsi="宋体"/>
                <w:b/>
                <w:color w:val="auto"/>
                <w:highlight w:val="none"/>
              </w:rPr>
            </w:pPr>
            <w:r>
              <w:rPr>
                <w:rFonts w:hint="eastAsia" w:hAnsi="宋体"/>
                <w:b/>
                <w:color w:val="auto"/>
                <w:highlight w:val="none"/>
              </w:rPr>
              <w:t>8</w:t>
            </w:r>
          </w:p>
        </w:tc>
        <w:tc>
          <w:tcPr>
            <w:tcW w:w="1134" w:type="dxa"/>
            <w:tcBorders>
              <w:bottom w:val="single" w:color="auto" w:sz="4" w:space="0"/>
            </w:tcBorders>
            <w:vAlign w:val="center"/>
          </w:tcPr>
          <w:p w14:paraId="6EB1EF54">
            <w:pPr>
              <w:pStyle w:val="15"/>
              <w:spacing w:line="360" w:lineRule="exact"/>
              <w:jc w:val="center"/>
              <w:rPr>
                <w:rFonts w:hAnsi="宋体"/>
                <w:b/>
                <w:color w:val="auto"/>
                <w:highlight w:val="none"/>
              </w:rPr>
            </w:pPr>
            <w:r>
              <w:rPr>
                <w:rFonts w:hint="eastAsia" w:hAnsi="宋体"/>
                <w:b/>
                <w:color w:val="auto"/>
                <w:highlight w:val="none"/>
              </w:rPr>
              <w:t>9</w:t>
            </w:r>
          </w:p>
        </w:tc>
        <w:tc>
          <w:tcPr>
            <w:tcW w:w="837" w:type="dxa"/>
            <w:tcBorders>
              <w:bottom w:val="single" w:color="auto" w:sz="4" w:space="0"/>
            </w:tcBorders>
            <w:vAlign w:val="center"/>
          </w:tcPr>
          <w:p w14:paraId="3B376E24">
            <w:pPr>
              <w:pStyle w:val="15"/>
              <w:spacing w:line="360" w:lineRule="exact"/>
              <w:jc w:val="center"/>
              <w:rPr>
                <w:rFonts w:hAnsi="宋体"/>
                <w:b/>
                <w:color w:val="auto"/>
                <w:highlight w:val="none"/>
              </w:rPr>
            </w:pPr>
            <w:r>
              <w:rPr>
                <w:rFonts w:hint="eastAsia" w:hAnsi="宋体"/>
                <w:b/>
                <w:color w:val="auto"/>
                <w:highlight w:val="none"/>
              </w:rPr>
              <w:t>10</w:t>
            </w:r>
          </w:p>
        </w:tc>
        <w:tc>
          <w:tcPr>
            <w:tcW w:w="710" w:type="dxa"/>
            <w:tcBorders>
              <w:bottom w:val="single" w:color="auto" w:sz="4" w:space="0"/>
            </w:tcBorders>
            <w:vAlign w:val="center"/>
          </w:tcPr>
          <w:p w14:paraId="58892209">
            <w:pPr>
              <w:pStyle w:val="15"/>
              <w:spacing w:line="360" w:lineRule="exact"/>
              <w:jc w:val="center"/>
              <w:rPr>
                <w:rFonts w:hint="eastAsia" w:hAnsi="宋体" w:eastAsia="宋体"/>
                <w:b/>
                <w:color w:val="auto"/>
                <w:highlight w:val="none"/>
              </w:rPr>
            </w:pPr>
            <w:r>
              <w:rPr>
                <w:rFonts w:hint="eastAsia" w:hAnsi="宋体" w:eastAsia="宋体"/>
                <w:b/>
                <w:color w:val="auto"/>
                <w:highlight w:val="none"/>
              </w:rPr>
              <w:t>11</w:t>
            </w:r>
          </w:p>
        </w:tc>
        <w:tc>
          <w:tcPr>
            <w:tcW w:w="796" w:type="dxa"/>
            <w:tcBorders>
              <w:bottom w:val="single" w:color="auto" w:sz="4" w:space="0"/>
            </w:tcBorders>
            <w:vAlign w:val="center"/>
          </w:tcPr>
          <w:p w14:paraId="1FEB8DA3">
            <w:pPr>
              <w:pStyle w:val="15"/>
              <w:spacing w:line="360" w:lineRule="exact"/>
              <w:jc w:val="center"/>
              <w:rPr>
                <w:rFonts w:hint="eastAsia" w:hAnsi="宋体" w:eastAsia="宋体"/>
                <w:b/>
                <w:color w:val="auto"/>
                <w:highlight w:val="none"/>
              </w:rPr>
            </w:pPr>
            <w:r>
              <w:rPr>
                <w:rFonts w:hint="eastAsia" w:hAnsi="宋体"/>
                <w:b/>
                <w:color w:val="auto"/>
                <w:highlight w:val="none"/>
              </w:rPr>
              <w:t>1</w:t>
            </w:r>
            <w:r>
              <w:rPr>
                <w:rFonts w:hint="eastAsia" w:hAnsi="宋体" w:eastAsia="宋体"/>
                <w:b/>
                <w:color w:val="auto"/>
                <w:highlight w:val="none"/>
              </w:rPr>
              <w:t>2</w:t>
            </w:r>
          </w:p>
        </w:tc>
        <w:tc>
          <w:tcPr>
            <w:tcW w:w="900" w:type="dxa"/>
            <w:tcBorders>
              <w:bottom w:val="single" w:color="auto" w:sz="4" w:space="0"/>
            </w:tcBorders>
            <w:vAlign w:val="center"/>
          </w:tcPr>
          <w:p w14:paraId="2AA55BF1">
            <w:pPr>
              <w:pStyle w:val="15"/>
              <w:spacing w:line="360" w:lineRule="exact"/>
              <w:jc w:val="center"/>
              <w:rPr>
                <w:rFonts w:hint="eastAsia" w:hAnsi="宋体" w:eastAsia="宋体"/>
                <w:b/>
                <w:color w:val="auto"/>
                <w:highlight w:val="none"/>
              </w:rPr>
            </w:pPr>
            <w:r>
              <w:rPr>
                <w:rFonts w:hint="eastAsia" w:hAnsi="宋体"/>
                <w:b/>
                <w:color w:val="auto"/>
                <w:highlight w:val="none"/>
              </w:rPr>
              <w:t>1</w:t>
            </w:r>
            <w:r>
              <w:rPr>
                <w:rFonts w:hint="eastAsia" w:hAnsi="宋体" w:eastAsia="宋体"/>
                <w:b/>
                <w:color w:val="auto"/>
                <w:highlight w:val="none"/>
              </w:rPr>
              <w:t>3</w:t>
            </w:r>
          </w:p>
        </w:tc>
      </w:tr>
      <w:tr w14:paraId="0B3F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96" w:type="dxa"/>
            <w:gridSpan w:val="2"/>
            <w:vMerge w:val="restart"/>
            <w:vAlign w:val="center"/>
          </w:tcPr>
          <w:p w14:paraId="312F0E91">
            <w:pPr>
              <w:spacing w:line="360" w:lineRule="exact"/>
              <w:jc w:val="center"/>
              <w:rPr>
                <w:color w:val="auto"/>
                <w:highlight w:val="none"/>
              </w:rPr>
            </w:pPr>
            <w:r>
              <w:rPr>
                <w:rFonts w:hint="eastAsia"/>
                <w:color w:val="auto"/>
                <w:highlight w:val="none"/>
              </w:rPr>
              <w:t>序号</w:t>
            </w:r>
          </w:p>
        </w:tc>
        <w:tc>
          <w:tcPr>
            <w:tcW w:w="2132" w:type="dxa"/>
            <w:vMerge w:val="restart"/>
            <w:vAlign w:val="center"/>
          </w:tcPr>
          <w:p w14:paraId="754EAA23">
            <w:pPr>
              <w:spacing w:line="360" w:lineRule="exact"/>
              <w:jc w:val="center"/>
              <w:rPr>
                <w:color w:val="auto"/>
                <w:highlight w:val="none"/>
              </w:rPr>
            </w:pPr>
            <w:r>
              <w:rPr>
                <w:rFonts w:hint="eastAsia"/>
                <w:color w:val="auto"/>
                <w:highlight w:val="none"/>
              </w:rPr>
              <w:t>货物名称</w:t>
            </w:r>
          </w:p>
          <w:p w14:paraId="65E1FC45">
            <w:pPr>
              <w:spacing w:line="360" w:lineRule="exact"/>
              <w:jc w:val="center"/>
              <w:rPr>
                <w:color w:val="auto"/>
                <w:highlight w:val="none"/>
              </w:rPr>
            </w:pPr>
            <w:r>
              <w:rPr>
                <w:rFonts w:hint="eastAsia"/>
                <w:color w:val="auto"/>
                <w:highlight w:val="none"/>
              </w:rPr>
              <w:t>型号规格</w:t>
            </w:r>
          </w:p>
        </w:tc>
        <w:tc>
          <w:tcPr>
            <w:tcW w:w="1701" w:type="dxa"/>
            <w:vMerge w:val="restart"/>
            <w:vAlign w:val="center"/>
          </w:tcPr>
          <w:p w14:paraId="2997D123">
            <w:pPr>
              <w:spacing w:line="360" w:lineRule="exact"/>
              <w:jc w:val="center"/>
              <w:rPr>
                <w:color w:val="auto"/>
                <w:highlight w:val="none"/>
              </w:rPr>
            </w:pPr>
            <w:r>
              <w:rPr>
                <w:rFonts w:hint="eastAsia"/>
                <w:color w:val="auto"/>
                <w:highlight w:val="none"/>
              </w:rPr>
              <w:t>品牌及产地、设备生产地</w:t>
            </w:r>
          </w:p>
        </w:tc>
        <w:tc>
          <w:tcPr>
            <w:tcW w:w="850" w:type="dxa"/>
            <w:vMerge w:val="restart"/>
            <w:vAlign w:val="center"/>
          </w:tcPr>
          <w:p w14:paraId="403EFF09">
            <w:pPr>
              <w:spacing w:line="360" w:lineRule="exact"/>
              <w:jc w:val="center"/>
              <w:rPr>
                <w:color w:val="auto"/>
                <w:highlight w:val="none"/>
              </w:rPr>
            </w:pPr>
            <w:r>
              <w:rPr>
                <w:rFonts w:hint="eastAsia"/>
                <w:color w:val="auto"/>
                <w:highlight w:val="none"/>
              </w:rPr>
              <w:t>数量</w:t>
            </w:r>
          </w:p>
        </w:tc>
        <w:tc>
          <w:tcPr>
            <w:tcW w:w="1134" w:type="dxa"/>
            <w:vMerge w:val="restart"/>
            <w:vAlign w:val="center"/>
          </w:tcPr>
          <w:p w14:paraId="4BCAD582">
            <w:pPr>
              <w:spacing w:line="360" w:lineRule="exact"/>
              <w:jc w:val="center"/>
              <w:rPr>
                <w:color w:val="auto"/>
                <w:highlight w:val="none"/>
              </w:rPr>
            </w:pPr>
            <w:r>
              <w:rPr>
                <w:rFonts w:hint="eastAsia"/>
                <w:color w:val="auto"/>
                <w:highlight w:val="none"/>
              </w:rPr>
              <w:t>设备单价(含税)</w:t>
            </w:r>
          </w:p>
        </w:tc>
        <w:tc>
          <w:tcPr>
            <w:tcW w:w="1550" w:type="dxa"/>
            <w:vMerge w:val="restart"/>
            <w:vAlign w:val="center"/>
          </w:tcPr>
          <w:p w14:paraId="3F6DC2E1">
            <w:pPr>
              <w:spacing w:line="360" w:lineRule="exact"/>
              <w:rPr>
                <w:color w:val="auto"/>
                <w:highlight w:val="none"/>
              </w:rPr>
            </w:pPr>
            <w:r>
              <w:rPr>
                <w:rFonts w:hint="eastAsia"/>
                <w:color w:val="auto"/>
                <w:highlight w:val="none"/>
              </w:rPr>
              <w:t>运杂费（含运输保险费）</w:t>
            </w:r>
          </w:p>
        </w:tc>
        <w:tc>
          <w:tcPr>
            <w:tcW w:w="1983" w:type="dxa"/>
            <w:gridSpan w:val="2"/>
            <w:vAlign w:val="center"/>
          </w:tcPr>
          <w:p w14:paraId="70DA05BB">
            <w:pPr>
              <w:spacing w:line="360" w:lineRule="exact"/>
              <w:jc w:val="center"/>
              <w:rPr>
                <w:color w:val="auto"/>
                <w:highlight w:val="none"/>
              </w:rPr>
            </w:pPr>
            <w:r>
              <w:rPr>
                <w:rFonts w:hint="eastAsia"/>
                <w:color w:val="auto"/>
                <w:highlight w:val="none"/>
              </w:rPr>
              <w:t>安装费用</w:t>
            </w:r>
          </w:p>
        </w:tc>
        <w:tc>
          <w:tcPr>
            <w:tcW w:w="1134" w:type="dxa"/>
            <w:vMerge w:val="restart"/>
            <w:vAlign w:val="center"/>
          </w:tcPr>
          <w:p w14:paraId="771AC886">
            <w:pPr>
              <w:spacing w:line="360" w:lineRule="exact"/>
              <w:jc w:val="center"/>
              <w:rPr>
                <w:color w:val="auto"/>
                <w:highlight w:val="none"/>
              </w:rPr>
            </w:pPr>
            <w:r>
              <w:rPr>
                <w:rFonts w:hint="eastAsia"/>
                <w:color w:val="auto"/>
                <w:highlight w:val="none"/>
              </w:rPr>
              <w:t>技术服务培训费</w:t>
            </w:r>
          </w:p>
        </w:tc>
        <w:tc>
          <w:tcPr>
            <w:tcW w:w="837" w:type="dxa"/>
            <w:vMerge w:val="restart"/>
            <w:vAlign w:val="center"/>
          </w:tcPr>
          <w:p w14:paraId="598BA49B">
            <w:pPr>
              <w:spacing w:line="360" w:lineRule="exact"/>
              <w:jc w:val="center"/>
              <w:rPr>
                <w:rFonts w:eastAsia="宋体"/>
                <w:color w:val="auto"/>
                <w:highlight w:val="none"/>
              </w:rPr>
            </w:pPr>
            <w:r>
              <w:rPr>
                <w:rFonts w:hint="eastAsia" w:eastAsia="宋体"/>
                <w:color w:val="auto"/>
                <w:highlight w:val="none"/>
              </w:rPr>
              <w:t>装修费</w:t>
            </w:r>
          </w:p>
        </w:tc>
        <w:tc>
          <w:tcPr>
            <w:tcW w:w="710" w:type="dxa"/>
            <w:vMerge w:val="restart"/>
            <w:vAlign w:val="center"/>
          </w:tcPr>
          <w:p w14:paraId="5D36A5C0">
            <w:pPr>
              <w:spacing w:line="360" w:lineRule="exact"/>
              <w:jc w:val="center"/>
              <w:rPr>
                <w:color w:val="auto"/>
                <w:highlight w:val="none"/>
              </w:rPr>
            </w:pPr>
            <w:r>
              <w:rPr>
                <w:rFonts w:hint="eastAsia"/>
                <w:color w:val="auto"/>
                <w:highlight w:val="none"/>
              </w:rPr>
              <w:t>其它</w:t>
            </w:r>
          </w:p>
        </w:tc>
        <w:tc>
          <w:tcPr>
            <w:tcW w:w="796" w:type="dxa"/>
            <w:vMerge w:val="restart"/>
            <w:vAlign w:val="center"/>
          </w:tcPr>
          <w:p w14:paraId="14818F9E">
            <w:pPr>
              <w:spacing w:line="360" w:lineRule="exact"/>
              <w:jc w:val="center"/>
              <w:rPr>
                <w:color w:val="auto"/>
                <w:highlight w:val="none"/>
              </w:rPr>
            </w:pPr>
            <w:r>
              <w:rPr>
                <w:rFonts w:hint="eastAsia"/>
                <w:color w:val="auto"/>
                <w:highlight w:val="none"/>
              </w:rPr>
              <w:t>合价</w:t>
            </w:r>
          </w:p>
        </w:tc>
        <w:tc>
          <w:tcPr>
            <w:tcW w:w="900" w:type="dxa"/>
            <w:vMerge w:val="restart"/>
            <w:vAlign w:val="center"/>
          </w:tcPr>
          <w:p w14:paraId="496F6435">
            <w:pPr>
              <w:spacing w:line="360" w:lineRule="exact"/>
              <w:jc w:val="center"/>
              <w:rPr>
                <w:color w:val="auto"/>
                <w:highlight w:val="none"/>
              </w:rPr>
            </w:pPr>
            <w:r>
              <w:rPr>
                <w:rFonts w:hint="eastAsia"/>
                <w:color w:val="auto"/>
                <w:highlight w:val="none"/>
              </w:rPr>
              <w:t>交货期</w:t>
            </w:r>
          </w:p>
          <w:p w14:paraId="51642DDA">
            <w:pPr>
              <w:spacing w:line="360" w:lineRule="exact"/>
              <w:jc w:val="center"/>
              <w:rPr>
                <w:color w:val="auto"/>
                <w:highlight w:val="none"/>
              </w:rPr>
            </w:pPr>
            <w:r>
              <w:rPr>
                <w:rFonts w:hint="eastAsia"/>
                <w:color w:val="auto"/>
                <w:highlight w:val="none"/>
              </w:rPr>
              <w:t>工期</w:t>
            </w:r>
          </w:p>
        </w:tc>
      </w:tr>
      <w:tr w14:paraId="161E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96" w:type="dxa"/>
            <w:gridSpan w:val="2"/>
            <w:vMerge w:val="continue"/>
            <w:vAlign w:val="center"/>
          </w:tcPr>
          <w:p w14:paraId="2F7D2B2E">
            <w:pPr>
              <w:spacing w:line="360" w:lineRule="exact"/>
              <w:jc w:val="center"/>
              <w:rPr>
                <w:color w:val="auto"/>
                <w:highlight w:val="none"/>
              </w:rPr>
            </w:pPr>
          </w:p>
        </w:tc>
        <w:tc>
          <w:tcPr>
            <w:tcW w:w="2132" w:type="dxa"/>
            <w:vMerge w:val="continue"/>
            <w:vAlign w:val="center"/>
          </w:tcPr>
          <w:p w14:paraId="6FEE4F03">
            <w:pPr>
              <w:spacing w:line="360" w:lineRule="exact"/>
              <w:jc w:val="center"/>
              <w:rPr>
                <w:color w:val="auto"/>
                <w:highlight w:val="none"/>
              </w:rPr>
            </w:pPr>
          </w:p>
        </w:tc>
        <w:tc>
          <w:tcPr>
            <w:tcW w:w="1701" w:type="dxa"/>
            <w:vMerge w:val="continue"/>
            <w:vAlign w:val="center"/>
          </w:tcPr>
          <w:p w14:paraId="245A14FC">
            <w:pPr>
              <w:spacing w:line="360" w:lineRule="exact"/>
              <w:jc w:val="center"/>
              <w:rPr>
                <w:color w:val="auto"/>
                <w:highlight w:val="none"/>
              </w:rPr>
            </w:pPr>
          </w:p>
        </w:tc>
        <w:tc>
          <w:tcPr>
            <w:tcW w:w="850" w:type="dxa"/>
            <w:vMerge w:val="continue"/>
            <w:vAlign w:val="center"/>
          </w:tcPr>
          <w:p w14:paraId="2EE3DACB">
            <w:pPr>
              <w:spacing w:line="360" w:lineRule="exact"/>
              <w:jc w:val="center"/>
              <w:rPr>
                <w:color w:val="auto"/>
                <w:highlight w:val="none"/>
              </w:rPr>
            </w:pPr>
          </w:p>
        </w:tc>
        <w:tc>
          <w:tcPr>
            <w:tcW w:w="1134" w:type="dxa"/>
            <w:vMerge w:val="continue"/>
            <w:vAlign w:val="center"/>
          </w:tcPr>
          <w:p w14:paraId="764D7004">
            <w:pPr>
              <w:spacing w:line="360" w:lineRule="exact"/>
              <w:jc w:val="center"/>
              <w:rPr>
                <w:color w:val="auto"/>
                <w:highlight w:val="none"/>
              </w:rPr>
            </w:pPr>
          </w:p>
        </w:tc>
        <w:tc>
          <w:tcPr>
            <w:tcW w:w="1550" w:type="dxa"/>
            <w:vMerge w:val="continue"/>
            <w:vAlign w:val="center"/>
          </w:tcPr>
          <w:p w14:paraId="13CF343B">
            <w:pPr>
              <w:spacing w:line="360" w:lineRule="exact"/>
              <w:jc w:val="center"/>
              <w:rPr>
                <w:color w:val="auto"/>
                <w:highlight w:val="none"/>
              </w:rPr>
            </w:pPr>
          </w:p>
        </w:tc>
        <w:tc>
          <w:tcPr>
            <w:tcW w:w="900" w:type="dxa"/>
            <w:vAlign w:val="center"/>
          </w:tcPr>
          <w:p w14:paraId="0F1368C5">
            <w:pPr>
              <w:spacing w:line="360" w:lineRule="exact"/>
              <w:jc w:val="center"/>
              <w:rPr>
                <w:color w:val="auto"/>
                <w:highlight w:val="none"/>
              </w:rPr>
            </w:pPr>
            <w:r>
              <w:rPr>
                <w:rFonts w:hint="eastAsia"/>
                <w:color w:val="auto"/>
                <w:highlight w:val="none"/>
              </w:rPr>
              <w:t>安  装</w:t>
            </w:r>
          </w:p>
          <w:p w14:paraId="76A6FCEB">
            <w:pPr>
              <w:spacing w:line="360" w:lineRule="exact"/>
              <w:jc w:val="center"/>
              <w:rPr>
                <w:color w:val="auto"/>
                <w:highlight w:val="none"/>
              </w:rPr>
            </w:pPr>
            <w:r>
              <w:rPr>
                <w:rFonts w:hint="eastAsia"/>
                <w:color w:val="auto"/>
                <w:highlight w:val="none"/>
              </w:rPr>
              <w:t>材料费</w:t>
            </w:r>
          </w:p>
        </w:tc>
        <w:tc>
          <w:tcPr>
            <w:tcW w:w="1083" w:type="dxa"/>
            <w:vAlign w:val="center"/>
          </w:tcPr>
          <w:p w14:paraId="7F41BBC7">
            <w:pPr>
              <w:spacing w:line="360" w:lineRule="exact"/>
              <w:jc w:val="center"/>
              <w:rPr>
                <w:color w:val="auto"/>
                <w:highlight w:val="none"/>
              </w:rPr>
            </w:pPr>
            <w:r>
              <w:rPr>
                <w:rFonts w:hint="eastAsia"/>
                <w:color w:val="auto"/>
                <w:highlight w:val="none"/>
              </w:rPr>
              <w:t>安装调试检验费用</w:t>
            </w:r>
          </w:p>
        </w:tc>
        <w:tc>
          <w:tcPr>
            <w:tcW w:w="1134" w:type="dxa"/>
            <w:vMerge w:val="continue"/>
            <w:vAlign w:val="center"/>
          </w:tcPr>
          <w:p w14:paraId="17CDBD9A">
            <w:pPr>
              <w:spacing w:line="360" w:lineRule="exact"/>
              <w:jc w:val="center"/>
              <w:rPr>
                <w:color w:val="auto"/>
                <w:highlight w:val="none"/>
              </w:rPr>
            </w:pPr>
          </w:p>
        </w:tc>
        <w:tc>
          <w:tcPr>
            <w:tcW w:w="837" w:type="dxa"/>
            <w:vMerge w:val="continue"/>
            <w:vAlign w:val="center"/>
          </w:tcPr>
          <w:p w14:paraId="4AEF7D9C">
            <w:pPr>
              <w:spacing w:line="360" w:lineRule="exact"/>
              <w:jc w:val="center"/>
              <w:rPr>
                <w:color w:val="auto"/>
                <w:highlight w:val="none"/>
              </w:rPr>
            </w:pPr>
          </w:p>
        </w:tc>
        <w:tc>
          <w:tcPr>
            <w:tcW w:w="710" w:type="dxa"/>
            <w:vMerge w:val="continue"/>
            <w:vAlign w:val="center"/>
          </w:tcPr>
          <w:p w14:paraId="60B29A25">
            <w:pPr>
              <w:spacing w:line="360" w:lineRule="exact"/>
              <w:jc w:val="center"/>
              <w:rPr>
                <w:color w:val="auto"/>
                <w:highlight w:val="none"/>
              </w:rPr>
            </w:pPr>
          </w:p>
        </w:tc>
        <w:tc>
          <w:tcPr>
            <w:tcW w:w="796" w:type="dxa"/>
            <w:vMerge w:val="continue"/>
            <w:vAlign w:val="center"/>
          </w:tcPr>
          <w:p w14:paraId="3ED05A6E">
            <w:pPr>
              <w:spacing w:line="360" w:lineRule="exact"/>
              <w:jc w:val="center"/>
              <w:rPr>
                <w:color w:val="auto"/>
                <w:highlight w:val="none"/>
              </w:rPr>
            </w:pPr>
          </w:p>
        </w:tc>
        <w:tc>
          <w:tcPr>
            <w:tcW w:w="900" w:type="dxa"/>
            <w:vMerge w:val="continue"/>
            <w:vAlign w:val="center"/>
          </w:tcPr>
          <w:p w14:paraId="5A29F165">
            <w:pPr>
              <w:spacing w:line="360" w:lineRule="exact"/>
              <w:jc w:val="center"/>
              <w:rPr>
                <w:color w:val="auto"/>
                <w:highlight w:val="none"/>
              </w:rPr>
            </w:pPr>
          </w:p>
        </w:tc>
      </w:tr>
      <w:tr w14:paraId="72BB9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restart"/>
            <w:vAlign w:val="center"/>
          </w:tcPr>
          <w:p w14:paraId="2F4C5886">
            <w:pPr>
              <w:pStyle w:val="15"/>
              <w:spacing w:line="360" w:lineRule="exact"/>
              <w:jc w:val="center"/>
              <w:rPr>
                <w:rFonts w:hint="eastAsia" w:hAnsi="宋体" w:eastAsia="宋体"/>
                <w:color w:val="auto"/>
                <w:highlight w:val="none"/>
              </w:rPr>
            </w:pPr>
            <w:r>
              <w:rPr>
                <w:rFonts w:hint="eastAsia" w:hAnsi="宋体"/>
                <w:color w:val="auto"/>
                <w:highlight w:val="none"/>
              </w:rPr>
              <w:t>（一）</w:t>
            </w:r>
          </w:p>
        </w:tc>
        <w:tc>
          <w:tcPr>
            <w:tcW w:w="564" w:type="dxa"/>
            <w:vAlign w:val="center"/>
          </w:tcPr>
          <w:p w14:paraId="1EECDDFB">
            <w:pPr>
              <w:pStyle w:val="15"/>
              <w:spacing w:line="360" w:lineRule="exact"/>
              <w:jc w:val="center"/>
              <w:rPr>
                <w:rFonts w:hint="eastAsia" w:hAnsi="宋体" w:eastAsia="宋体"/>
                <w:color w:val="auto"/>
                <w:highlight w:val="none"/>
              </w:rPr>
            </w:pPr>
            <w:r>
              <w:rPr>
                <w:rFonts w:hint="eastAsia" w:hAnsi="宋体"/>
                <w:color w:val="auto"/>
                <w:highlight w:val="none"/>
              </w:rPr>
              <w:t>1</w:t>
            </w:r>
          </w:p>
        </w:tc>
        <w:tc>
          <w:tcPr>
            <w:tcW w:w="2132" w:type="dxa"/>
            <w:vAlign w:val="center"/>
          </w:tcPr>
          <w:p w14:paraId="000C9CBC">
            <w:pPr>
              <w:pStyle w:val="15"/>
              <w:spacing w:line="360" w:lineRule="exact"/>
              <w:jc w:val="center"/>
              <w:rPr>
                <w:rFonts w:hAnsi="宋体"/>
                <w:color w:val="auto"/>
                <w:highlight w:val="none"/>
              </w:rPr>
            </w:pPr>
          </w:p>
        </w:tc>
        <w:tc>
          <w:tcPr>
            <w:tcW w:w="1701" w:type="dxa"/>
            <w:vAlign w:val="center"/>
          </w:tcPr>
          <w:p w14:paraId="7EE594C3">
            <w:pPr>
              <w:pStyle w:val="15"/>
              <w:spacing w:line="360" w:lineRule="exact"/>
              <w:jc w:val="center"/>
              <w:rPr>
                <w:rFonts w:hAnsi="宋体"/>
                <w:color w:val="auto"/>
                <w:highlight w:val="none"/>
              </w:rPr>
            </w:pPr>
          </w:p>
        </w:tc>
        <w:tc>
          <w:tcPr>
            <w:tcW w:w="850" w:type="dxa"/>
            <w:vAlign w:val="center"/>
          </w:tcPr>
          <w:p w14:paraId="4888ED15">
            <w:pPr>
              <w:pStyle w:val="15"/>
              <w:spacing w:line="360" w:lineRule="exact"/>
              <w:jc w:val="center"/>
              <w:rPr>
                <w:rFonts w:hAnsi="宋体"/>
                <w:color w:val="auto"/>
                <w:highlight w:val="none"/>
              </w:rPr>
            </w:pPr>
          </w:p>
        </w:tc>
        <w:tc>
          <w:tcPr>
            <w:tcW w:w="1134" w:type="dxa"/>
            <w:vAlign w:val="center"/>
          </w:tcPr>
          <w:p w14:paraId="47FC2A00">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1550" w:type="dxa"/>
            <w:vAlign w:val="center"/>
          </w:tcPr>
          <w:p w14:paraId="2FE42701">
            <w:pPr>
              <w:pStyle w:val="15"/>
              <w:spacing w:line="360" w:lineRule="exact"/>
              <w:jc w:val="center"/>
              <w:rPr>
                <w:rFonts w:hAnsi="宋体"/>
                <w:color w:val="auto"/>
                <w:highlight w:val="none"/>
              </w:rPr>
            </w:pPr>
          </w:p>
        </w:tc>
        <w:tc>
          <w:tcPr>
            <w:tcW w:w="900" w:type="dxa"/>
            <w:vAlign w:val="center"/>
          </w:tcPr>
          <w:p w14:paraId="5EB92582">
            <w:pPr>
              <w:pStyle w:val="15"/>
              <w:spacing w:line="360" w:lineRule="exact"/>
              <w:jc w:val="center"/>
              <w:rPr>
                <w:rFonts w:hAnsi="宋体"/>
                <w:color w:val="auto"/>
                <w:highlight w:val="none"/>
              </w:rPr>
            </w:pPr>
          </w:p>
        </w:tc>
        <w:tc>
          <w:tcPr>
            <w:tcW w:w="1083" w:type="dxa"/>
            <w:vAlign w:val="center"/>
          </w:tcPr>
          <w:p w14:paraId="7FE0C563">
            <w:pPr>
              <w:pStyle w:val="15"/>
              <w:spacing w:line="360" w:lineRule="exact"/>
              <w:jc w:val="center"/>
              <w:rPr>
                <w:rFonts w:hAnsi="宋体"/>
                <w:color w:val="auto"/>
                <w:highlight w:val="none"/>
              </w:rPr>
            </w:pPr>
          </w:p>
        </w:tc>
        <w:tc>
          <w:tcPr>
            <w:tcW w:w="1134" w:type="dxa"/>
            <w:vAlign w:val="center"/>
          </w:tcPr>
          <w:p w14:paraId="6D016D02">
            <w:pPr>
              <w:pStyle w:val="15"/>
              <w:spacing w:line="360" w:lineRule="exact"/>
              <w:jc w:val="center"/>
              <w:rPr>
                <w:rFonts w:hAnsi="宋体"/>
                <w:color w:val="auto"/>
                <w:highlight w:val="none"/>
              </w:rPr>
            </w:pPr>
          </w:p>
        </w:tc>
        <w:tc>
          <w:tcPr>
            <w:tcW w:w="837" w:type="dxa"/>
            <w:vAlign w:val="center"/>
          </w:tcPr>
          <w:p w14:paraId="6ABFE447">
            <w:pPr>
              <w:pStyle w:val="15"/>
              <w:spacing w:line="360" w:lineRule="exact"/>
              <w:jc w:val="center"/>
              <w:rPr>
                <w:rFonts w:hAnsi="宋体"/>
                <w:color w:val="auto"/>
                <w:highlight w:val="none"/>
              </w:rPr>
            </w:pPr>
          </w:p>
        </w:tc>
        <w:tc>
          <w:tcPr>
            <w:tcW w:w="710" w:type="dxa"/>
            <w:vAlign w:val="center"/>
          </w:tcPr>
          <w:p w14:paraId="5EA5700D">
            <w:pPr>
              <w:pStyle w:val="15"/>
              <w:spacing w:line="360" w:lineRule="exact"/>
              <w:jc w:val="center"/>
              <w:rPr>
                <w:rFonts w:hAnsi="宋体"/>
                <w:color w:val="auto"/>
                <w:highlight w:val="none"/>
              </w:rPr>
            </w:pPr>
          </w:p>
        </w:tc>
        <w:tc>
          <w:tcPr>
            <w:tcW w:w="796" w:type="dxa"/>
            <w:vAlign w:val="center"/>
          </w:tcPr>
          <w:p w14:paraId="0BC89105">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900" w:type="dxa"/>
            <w:vAlign w:val="center"/>
          </w:tcPr>
          <w:p w14:paraId="28702EAE">
            <w:pPr>
              <w:pStyle w:val="15"/>
              <w:spacing w:line="360" w:lineRule="exact"/>
              <w:jc w:val="center"/>
              <w:rPr>
                <w:rFonts w:hAnsi="宋体"/>
                <w:color w:val="auto"/>
                <w:highlight w:val="none"/>
              </w:rPr>
            </w:pPr>
          </w:p>
        </w:tc>
      </w:tr>
      <w:tr w14:paraId="6BBB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vAlign w:val="center"/>
          </w:tcPr>
          <w:p w14:paraId="2179B1C5">
            <w:pPr>
              <w:pStyle w:val="15"/>
              <w:spacing w:line="360" w:lineRule="exact"/>
              <w:jc w:val="center"/>
              <w:rPr>
                <w:rFonts w:hAnsi="宋体"/>
                <w:color w:val="auto"/>
                <w:highlight w:val="none"/>
              </w:rPr>
            </w:pPr>
          </w:p>
        </w:tc>
        <w:tc>
          <w:tcPr>
            <w:tcW w:w="564" w:type="dxa"/>
            <w:vAlign w:val="center"/>
          </w:tcPr>
          <w:p w14:paraId="54A59C12">
            <w:pPr>
              <w:pStyle w:val="15"/>
              <w:spacing w:line="360" w:lineRule="exact"/>
              <w:jc w:val="center"/>
              <w:rPr>
                <w:rFonts w:hint="eastAsia" w:hAnsi="宋体" w:eastAsia="宋体"/>
                <w:color w:val="auto"/>
                <w:highlight w:val="none"/>
              </w:rPr>
            </w:pPr>
            <w:r>
              <w:rPr>
                <w:rFonts w:hint="eastAsia" w:hAnsi="宋体"/>
                <w:color w:val="auto"/>
                <w:highlight w:val="none"/>
              </w:rPr>
              <w:t>2</w:t>
            </w:r>
          </w:p>
        </w:tc>
        <w:tc>
          <w:tcPr>
            <w:tcW w:w="2132" w:type="dxa"/>
            <w:vAlign w:val="center"/>
          </w:tcPr>
          <w:p w14:paraId="70613FA5">
            <w:pPr>
              <w:pStyle w:val="15"/>
              <w:spacing w:line="360" w:lineRule="exact"/>
              <w:jc w:val="center"/>
              <w:rPr>
                <w:rFonts w:hAnsi="宋体"/>
                <w:color w:val="auto"/>
                <w:highlight w:val="none"/>
              </w:rPr>
            </w:pPr>
          </w:p>
        </w:tc>
        <w:tc>
          <w:tcPr>
            <w:tcW w:w="1701" w:type="dxa"/>
            <w:vAlign w:val="center"/>
          </w:tcPr>
          <w:p w14:paraId="5DD3865D">
            <w:pPr>
              <w:pStyle w:val="15"/>
              <w:spacing w:line="360" w:lineRule="exact"/>
              <w:jc w:val="center"/>
              <w:rPr>
                <w:rFonts w:hAnsi="宋体"/>
                <w:color w:val="auto"/>
                <w:highlight w:val="none"/>
              </w:rPr>
            </w:pPr>
          </w:p>
        </w:tc>
        <w:tc>
          <w:tcPr>
            <w:tcW w:w="850" w:type="dxa"/>
            <w:vAlign w:val="center"/>
          </w:tcPr>
          <w:p w14:paraId="16D68D82">
            <w:pPr>
              <w:pStyle w:val="15"/>
              <w:spacing w:line="360" w:lineRule="exact"/>
              <w:jc w:val="center"/>
              <w:rPr>
                <w:rFonts w:hAnsi="宋体"/>
                <w:color w:val="auto"/>
                <w:highlight w:val="none"/>
              </w:rPr>
            </w:pPr>
          </w:p>
        </w:tc>
        <w:tc>
          <w:tcPr>
            <w:tcW w:w="1134" w:type="dxa"/>
            <w:vAlign w:val="center"/>
          </w:tcPr>
          <w:p w14:paraId="3FFF6109">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1550" w:type="dxa"/>
            <w:vAlign w:val="center"/>
          </w:tcPr>
          <w:p w14:paraId="433A6193">
            <w:pPr>
              <w:pStyle w:val="15"/>
              <w:spacing w:line="360" w:lineRule="exact"/>
              <w:jc w:val="center"/>
              <w:rPr>
                <w:rFonts w:hAnsi="宋体"/>
                <w:color w:val="auto"/>
                <w:highlight w:val="none"/>
              </w:rPr>
            </w:pPr>
          </w:p>
        </w:tc>
        <w:tc>
          <w:tcPr>
            <w:tcW w:w="900" w:type="dxa"/>
            <w:vAlign w:val="center"/>
          </w:tcPr>
          <w:p w14:paraId="31BE0CEF">
            <w:pPr>
              <w:pStyle w:val="15"/>
              <w:spacing w:line="360" w:lineRule="exact"/>
              <w:jc w:val="center"/>
              <w:rPr>
                <w:rFonts w:hAnsi="宋体"/>
                <w:color w:val="auto"/>
                <w:highlight w:val="none"/>
              </w:rPr>
            </w:pPr>
          </w:p>
        </w:tc>
        <w:tc>
          <w:tcPr>
            <w:tcW w:w="1083" w:type="dxa"/>
            <w:vAlign w:val="center"/>
          </w:tcPr>
          <w:p w14:paraId="63030011">
            <w:pPr>
              <w:pStyle w:val="15"/>
              <w:spacing w:line="360" w:lineRule="exact"/>
              <w:jc w:val="center"/>
              <w:rPr>
                <w:rFonts w:hAnsi="宋体"/>
                <w:color w:val="auto"/>
                <w:highlight w:val="none"/>
              </w:rPr>
            </w:pPr>
          </w:p>
        </w:tc>
        <w:tc>
          <w:tcPr>
            <w:tcW w:w="1134" w:type="dxa"/>
            <w:vAlign w:val="center"/>
          </w:tcPr>
          <w:p w14:paraId="052684D0">
            <w:pPr>
              <w:pStyle w:val="15"/>
              <w:spacing w:line="360" w:lineRule="exact"/>
              <w:jc w:val="center"/>
              <w:rPr>
                <w:rFonts w:hAnsi="宋体"/>
                <w:color w:val="auto"/>
                <w:highlight w:val="none"/>
              </w:rPr>
            </w:pPr>
          </w:p>
        </w:tc>
        <w:tc>
          <w:tcPr>
            <w:tcW w:w="837" w:type="dxa"/>
            <w:vAlign w:val="center"/>
          </w:tcPr>
          <w:p w14:paraId="31C1E3F9">
            <w:pPr>
              <w:pStyle w:val="15"/>
              <w:spacing w:line="360" w:lineRule="exact"/>
              <w:jc w:val="center"/>
              <w:rPr>
                <w:rFonts w:hAnsi="宋体"/>
                <w:color w:val="auto"/>
                <w:highlight w:val="none"/>
              </w:rPr>
            </w:pPr>
          </w:p>
        </w:tc>
        <w:tc>
          <w:tcPr>
            <w:tcW w:w="710" w:type="dxa"/>
            <w:vAlign w:val="center"/>
          </w:tcPr>
          <w:p w14:paraId="76539B13">
            <w:pPr>
              <w:pStyle w:val="15"/>
              <w:spacing w:line="360" w:lineRule="exact"/>
              <w:jc w:val="center"/>
              <w:rPr>
                <w:rFonts w:hAnsi="宋体"/>
                <w:color w:val="auto"/>
                <w:highlight w:val="none"/>
              </w:rPr>
            </w:pPr>
          </w:p>
        </w:tc>
        <w:tc>
          <w:tcPr>
            <w:tcW w:w="796" w:type="dxa"/>
            <w:vAlign w:val="center"/>
          </w:tcPr>
          <w:p w14:paraId="00711D05">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900" w:type="dxa"/>
            <w:vAlign w:val="center"/>
          </w:tcPr>
          <w:p w14:paraId="0E72F8B3">
            <w:pPr>
              <w:pStyle w:val="15"/>
              <w:spacing w:line="360" w:lineRule="exact"/>
              <w:jc w:val="center"/>
              <w:rPr>
                <w:rFonts w:hAnsi="宋体"/>
                <w:color w:val="auto"/>
                <w:highlight w:val="none"/>
              </w:rPr>
            </w:pPr>
          </w:p>
        </w:tc>
      </w:tr>
      <w:tr w14:paraId="7654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vAlign w:val="center"/>
          </w:tcPr>
          <w:p w14:paraId="18213383">
            <w:pPr>
              <w:pStyle w:val="15"/>
              <w:spacing w:line="360" w:lineRule="exact"/>
              <w:jc w:val="center"/>
              <w:rPr>
                <w:rFonts w:hAnsi="宋体"/>
                <w:color w:val="auto"/>
                <w:highlight w:val="none"/>
              </w:rPr>
            </w:pPr>
          </w:p>
        </w:tc>
        <w:tc>
          <w:tcPr>
            <w:tcW w:w="564" w:type="dxa"/>
            <w:vAlign w:val="center"/>
          </w:tcPr>
          <w:p w14:paraId="4CC1F398">
            <w:pPr>
              <w:pStyle w:val="15"/>
              <w:spacing w:line="360" w:lineRule="exact"/>
              <w:jc w:val="center"/>
              <w:rPr>
                <w:rFonts w:hint="eastAsia" w:hAnsi="宋体" w:eastAsia="宋体"/>
                <w:color w:val="auto"/>
                <w:highlight w:val="none"/>
              </w:rPr>
            </w:pPr>
            <w:r>
              <w:rPr>
                <w:rFonts w:hint="eastAsia" w:hAnsi="宋体"/>
                <w:color w:val="auto"/>
                <w:highlight w:val="none"/>
              </w:rPr>
              <w:t>3</w:t>
            </w:r>
          </w:p>
        </w:tc>
        <w:tc>
          <w:tcPr>
            <w:tcW w:w="2132" w:type="dxa"/>
            <w:vAlign w:val="center"/>
          </w:tcPr>
          <w:p w14:paraId="47AAE13D">
            <w:pPr>
              <w:pStyle w:val="15"/>
              <w:spacing w:line="360" w:lineRule="exact"/>
              <w:jc w:val="center"/>
              <w:rPr>
                <w:rFonts w:hAnsi="宋体"/>
                <w:color w:val="auto"/>
                <w:highlight w:val="none"/>
              </w:rPr>
            </w:pPr>
          </w:p>
        </w:tc>
        <w:tc>
          <w:tcPr>
            <w:tcW w:w="1701" w:type="dxa"/>
            <w:vAlign w:val="center"/>
          </w:tcPr>
          <w:p w14:paraId="018FC4E5">
            <w:pPr>
              <w:pStyle w:val="15"/>
              <w:spacing w:line="360" w:lineRule="exact"/>
              <w:jc w:val="center"/>
              <w:rPr>
                <w:rFonts w:hAnsi="宋体"/>
                <w:color w:val="auto"/>
                <w:highlight w:val="none"/>
              </w:rPr>
            </w:pPr>
          </w:p>
        </w:tc>
        <w:tc>
          <w:tcPr>
            <w:tcW w:w="850" w:type="dxa"/>
            <w:vAlign w:val="center"/>
          </w:tcPr>
          <w:p w14:paraId="03812F9B">
            <w:pPr>
              <w:pStyle w:val="15"/>
              <w:spacing w:line="360" w:lineRule="exact"/>
              <w:jc w:val="center"/>
              <w:rPr>
                <w:rFonts w:hAnsi="宋体"/>
                <w:color w:val="auto"/>
                <w:highlight w:val="none"/>
              </w:rPr>
            </w:pPr>
          </w:p>
        </w:tc>
        <w:tc>
          <w:tcPr>
            <w:tcW w:w="1134" w:type="dxa"/>
            <w:vAlign w:val="center"/>
          </w:tcPr>
          <w:p w14:paraId="0E0BF972">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1550" w:type="dxa"/>
            <w:vAlign w:val="center"/>
          </w:tcPr>
          <w:p w14:paraId="7C6D48DC">
            <w:pPr>
              <w:pStyle w:val="15"/>
              <w:spacing w:line="360" w:lineRule="exact"/>
              <w:jc w:val="center"/>
              <w:rPr>
                <w:rFonts w:hAnsi="宋体"/>
                <w:color w:val="auto"/>
                <w:highlight w:val="none"/>
              </w:rPr>
            </w:pPr>
          </w:p>
        </w:tc>
        <w:tc>
          <w:tcPr>
            <w:tcW w:w="900" w:type="dxa"/>
            <w:vAlign w:val="center"/>
          </w:tcPr>
          <w:p w14:paraId="07911492">
            <w:pPr>
              <w:pStyle w:val="15"/>
              <w:spacing w:line="360" w:lineRule="exact"/>
              <w:jc w:val="center"/>
              <w:rPr>
                <w:rFonts w:hAnsi="宋体"/>
                <w:color w:val="auto"/>
                <w:highlight w:val="none"/>
              </w:rPr>
            </w:pPr>
          </w:p>
        </w:tc>
        <w:tc>
          <w:tcPr>
            <w:tcW w:w="1083" w:type="dxa"/>
            <w:vAlign w:val="center"/>
          </w:tcPr>
          <w:p w14:paraId="63CED943">
            <w:pPr>
              <w:pStyle w:val="15"/>
              <w:spacing w:line="360" w:lineRule="exact"/>
              <w:jc w:val="center"/>
              <w:rPr>
                <w:rFonts w:hAnsi="宋体"/>
                <w:color w:val="auto"/>
                <w:highlight w:val="none"/>
              </w:rPr>
            </w:pPr>
          </w:p>
        </w:tc>
        <w:tc>
          <w:tcPr>
            <w:tcW w:w="1134" w:type="dxa"/>
            <w:vAlign w:val="center"/>
          </w:tcPr>
          <w:p w14:paraId="1171D056">
            <w:pPr>
              <w:pStyle w:val="15"/>
              <w:spacing w:line="360" w:lineRule="exact"/>
              <w:jc w:val="center"/>
              <w:rPr>
                <w:rFonts w:hAnsi="宋体"/>
                <w:color w:val="auto"/>
                <w:highlight w:val="none"/>
              </w:rPr>
            </w:pPr>
          </w:p>
        </w:tc>
        <w:tc>
          <w:tcPr>
            <w:tcW w:w="837" w:type="dxa"/>
            <w:vAlign w:val="center"/>
          </w:tcPr>
          <w:p w14:paraId="5652236C">
            <w:pPr>
              <w:pStyle w:val="15"/>
              <w:spacing w:line="360" w:lineRule="exact"/>
              <w:jc w:val="center"/>
              <w:rPr>
                <w:rFonts w:hAnsi="宋体"/>
                <w:color w:val="auto"/>
                <w:highlight w:val="none"/>
              </w:rPr>
            </w:pPr>
          </w:p>
        </w:tc>
        <w:tc>
          <w:tcPr>
            <w:tcW w:w="710" w:type="dxa"/>
            <w:vAlign w:val="center"/>
          </w:tcPr>
          <w:p w14:paraId="2825B835">
            <w:pPr>
              <w:pStyle w:val="15"/>
              <w:spacing w:line="360" w:lineRule="exact"/>
              <w:jc w:val="center"/>
              <w:rPr>
                <w:rFonts w:hAnsi="宋体"/>
                <w:color w:val="auto"/>
                <w:highlight w:val="none"/>
              </w:rPr>
            </w:pPr>
          </w:p>
        </w:tc>
        <w:tc>
          <w:tcPr>
            <w:tcW w:w="796" w:type="dxa"/>
            <w:vAlign w:val="center"/>
          </w:tcPr>
          <w:p w14:paraId="4A189827">
            <w:pPr>
              <w:pStyle w:val="15"/>
              <w:spacing w:line="360" w:lineRule="exact"/>
              <w:jc w:val="center"/>
              <w:rPr>
                <w:rFonts w:hint="eastAsia" w:hAnsi="宋体" w:eastAsia="宋体"/>
                <w:color w:val="auto"/>
                <w:highlight w:val="none"/>
              </w:rPr>
            </w:pPr>
            <w:r>
              <w:rPr>
                <w:rFonts w:hint="eastAsia" w:hAnsi="宋体"/>
                <w:color w:val="auto"/>
                <w:highlight w:val="none"/>
              </w:rPr>
              <w:t>元</w:t>
            </w:r>
          </w:p>
        </w:tc>
        <w:tc>
          <w:tcPr>
            <w:tcW w:w="900" w:type="dxa"/>
            <w:vAlign w:val="center"/>
          </w:tcPr>
          <w:p w14:paraId="2C91F446">
            <w:pPr>
              <w:pStyle w:val="15"/>
              <w:spacing w:line="360" w:lineRule="exact"/>
              <w:jc w:val="center"/>
              <w:rPr>
                <w:rFonts w:hAnsi="宋体"/>
                <w:color w:val="auto"/>
                <w:highlight w:val="none"/>
              </w:rPr>
            </w:pPr>
          </w:p>
        </w:tc>
      </w:tr>
      <w:tr w14:paraId="72ED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vAlign w:val="center"/>
          </w:tcPr>
          <w:p w14:paraId="33556D77">
            <w:pPr>
              <w:pStyle w:val="15"/>
              <w:spacing w:line="360" w:lineRule="exact"/>
              <w:jc w:val="center"/>
              <w:rPr>
                <w:rFonts w:hAnsi="宋体"/>
                <w:color w:val="auto"/>
                <w:highlight w:val="none"/>
              </w:rPr>
            </w:pPr>
          </w:p>
        </w:tc>
        <w:tc>
          <w:tcPr>
            <w:tcW w:w="6381" w:type="dxa"/>
            <w:gridSpan w:val="5"/>
            <w:vAlign w:val="center"/>
          </w:tcPr>
          <w:p w14:paraId="6F554991">
            <w:pPr>
              <w:pStyle w:val="15"/>
              <w:spacing w:line="360" w:lineRule="exact"/>
              <w:jc w:val="center"/>
              <w:rPr>
                <w:rFonts w:hint="eastAsia" w:hAnsi="宋体" w:eastAsia="宋体"/>
                <w:color w:val="auto"/>
                <w:highlight w:val="none"/>
              </w:rPr>
            </w:pPr>
            <w:r>
              <w:rPr>
                <w:rFonts w:hint="eastAsia" w:hAnsi="宋体"/>
                <w:color w:val="auto"/>
                <w:highlight w:val="none"/>
              </w:rPr>
              <w:t>小计</w:t>
            </w:r>
          </w:p>
        </w:tc>
        <w:tc>
          <w:tcPr>
            <w:tcW w:w="7910" w:type="dxa"/>
            <w:gridSpan w:val="8"/>
            <w:vAlign w:val="center"/>
          </w:tcPr>
          <w:p w14:paraId="35F429A0">
            <w:pPr>
              <w:pStyle w:val="15"/>
              <w:spacing w:line="360" w:lineRule="exact"/>
              <w:jc w:val="center"/>
              <w:rPr>
                <w:rFonts w:hAnsi="宋体"/>
                <w:color w:val="auto"/>
                <w:highlight w:val="none"/>
              </w:rPr>
            </w:pPr>
            <w:r>
              <w:rPr>
                <w:rFonts w:hint="eastAsia" w:hAnsi="宋体" w:cs="Arial"/>
                <w:b/>
                <w:color w:val="auto"/>
                <w:highlight w:val="none"/>
              </w:rPr>
              <w:t>￥：       元</w:t>
            </w:r>
          </w:p>
        </w:tc>
      </w:tr>
      <w:tr w14:paraId="66DE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Align w:val="center"/>
          </w:tcPr>
          <w:p w14:paraId="2CD10D4E">
            <w:pPr>
              <w:pStyle w:val="15"/>
              <w:spacing w:line="360" w:lineRule="exact"/>
              <w:rPr>
                <w:rFonts w:hAnsi="宋体"/>
                <w:color w:val="auto"/>
                <w:highlight w:val="none"/>
              </w:rPr>
            </w:pPr>
          </w:p>
        </w:tc>
        <w:tc>
          <w:tcPr>
            <w:tcW w:w="14291" w:type="dxa"/>
            <w:gridSpan w:val="13"/>
            <w:vAlign w:val="center"/>
          </w:tcPr>
          <w:p w14:paraId="6AF83E87">
            <w:pPr>
              <w:pStyle w:val="15"/>
              <w:spacing w:line="360" w:lineRule="exact"/>
              <w:rPr>
                <w:rFonts w:hAnsi="宋体" w:cs="Arial"/>
                <w:b/>
                <w:color w:val="auto"/>
                <w:highlight w:val="none"/>
              </w:rPr>
            </w:pPr>
            <w:r>
              <w:rPr>
                <w:rFonts w:hint="eastAsia" w:hAnsi="宋体"/>
                <w:color w:val="auto"/>
                <w:highlight w:val="none"/>
              </w:rPr>
              <w:t>投标总价=（一）：（大写）</w:t>
            </w:r>
            <w:r>
              <w:rPr>
                <w:rFonts w:hint="eastAsia" w:hAnsi="宋体"/>
                <w:b/>
                <w:color w:val="auto"/>
                <w:highlight w:val="none"/>
                <w:u w:val="single"/>
              </w:rPr>
              <w:t xml:space="preserve">                             </w:t>
            </w:r>
            <w:r>
              <w:rPr>
                <w:rFonts w:hint="eastAsia" w:hAnsi="宋体" w:cs="Arial"/>
                <w:b/>
                <w:color w:val="auto"/>
                <w:highlight w:val="none"/>
              </w:rPr>
              <w:t>（￥：             ）</w:t>
            </w:r>
          </w:p>
          <w:p w14:paraId="5083AF09">
            <w:pPr>
              <w:pStyle w:val="15"/>
              <w:spacing w:line="360" w:lineRule="exact"/>
              <w:rPr>
                <w:rFonts w:hAnsi="宋体"/>
                <w:color w:val="auto"/>
                <w:highlight w:val="none"/>
              </w:rPr>
            </w:pPr>
            <w:r>
              <w:rPr>
                <w:rFonts w:hint="eastAsia" w:hAnsi="宋体"/>
                <w:color w:val="auto"/>
                <w:highlight w:val="none"/>
              </w:rPr>
              <w:t>其中，安装费=（7+8），报价为：（大写）　</w:t>
            </w:r>
            <w:r>
              <w:rPr>
                <w:rFonts w:hint="eastAsia" w:hAnsi="宋体"/>
                <w:b/>
                <w:color w:val="auto"/>
                <w:highlight w:val="none"/>
                <w:u w:val="single"/>
              </w:rPr>
              <w:t xml:space="preserve">                     </w:t>
            </w:r>
            <w:r>
              <w:rPr>
                <w:rFonts w:hint="eastAsia" w:hAnsi="宋体"/>
                <w:b/>
                <w:color w:val="auto"/>
                <w:highlight w:val="none"/>
              </w:rPr>
              <w:t>（￥：             ）</w:t>
            </w:r>
          </w:p>
        </w:tc>
      </w:tr>
    </w:tbl>
    <w:p w14:paraId="0F1D46E9">
      <w:pPr>
        <w:spacing w:line="360" w:lineRule="exact"/>
        <w:rPr>
          <w:color w:val="auto"/>
          <w:highlight w:val="none"/>
        </w:rPr>
      </w:pPr>
      <w:r>
        <w:rPr>
          <w:rFonts w:hint="eastAsia"/>
          <w:color w:val="auto"/>
          <w:highlight w:val="none"/>
        </w:rPr>
        <w:t>注：1、上述费用必须列出具体数据，不得简单的写“已含”。</w:t>
      </w:r>
    </w:p>
    <w:p w14:paraId="4358FD77">
      <w:pPr>
        <w:spacing w:line="360" w:lineRule="exact"/>
        <w:rPr>
          <w:color w:val="auto"/>
          <w:highlight w:val="none"/>
        </w:rPr>
      </w:pPr>
      <w:r>
        <w:rPr>
          <w:rFonts w:hint="eastAsia" w:eastAsia="宋体"/>
          <w:color w:val="auto"/>
          <w:highlight w:val="none"/>
          <w:lang w:val="en-US" w:eastAsia="zh-CN"/>
        </w:rPr>
        <w:t>2</w:t>
      </w:r>
      <w:r>
        <w:rPr>
          <w:rFonts w:hint="eastAsia"/>
          <w:color w:val="auto"/>
          <w:highlight w:val="none"/>
        </w:rPr>
        <w:t>、第五栏包括要求供货范围内的主机和附件，出厂装箱清单所列易损件、备品备件及专用工具等，并已包括各种税费。</w:t>
      </w:r>
    </w:p>
    <w:p w14:paraId="48009E10">
      <w:pPr>
        <w:spacing w:line="360" w:lineRule="exact"/>
        <w:rPr>
          <w:rFonts w:eastAsia="宋体"/>
          <w:color w:val="auto"/>
          <w:highlight w:val="none"/>
        </w:rPr>
      </w:pPr>
      <w:r>
        <w:rPr>
          <w:rFonts w:hint="eastAsia" w:eastAsia="宋体"/>
          <w:color w:val="auto"/>
          <w:highlight w:val="none"/>
          <w:lang w:val="en-US" w:eastAsia="zh-CN"/>
        </w:rPr>
        <w:t>3</w:t>
      </w:r>
      <w:r>
        <w:rPr>
          <w:rFonts w:hint="eastAsia"/>
          <w:color w:val="auto"/>
          <w:highlight w:val="none"/>
        </w:rPr>
        <w:t>、序号1</w:t>
      </w:r>
      <w:r>
        <w:rPr>
          <w:rFonts w:hint="eastAsia" w:eastAsia="宋体"/>
          <w:color w:val="auto"/>
          <w:highlight w:val="none"/>
        </w:rPr>
        <w:t>2</w:t>
      </w:r>
      <w:r>
        <w:rPr>
          <w:rFonts w:hint="eastAsia"/>
          <w:color w:val="auto"/>
          <w:highlight w:val="none"/>
        </w:rPr>
        <w:t>=（5+6+7+8+9+10</w:t>
      </w:r>
      <w:r>
        <w:rPr>
          <w:rFonts w:hint="eastAsia" w:eastAsia="宋体"/>
          <w:color w:val="auto"/>
          <w:highlight w:val="none"/>
        </w:rPr>
        <w:t>+11</w:t>
      </w:r>
      <w:r>
        <w:rPr>
          <w:rFonts w:hint="eastAsia"/>
          <w:color w:val="auto"/>
          <w:highlight w:val="none"/>
        </w:rPr>
        <w:t>）×第4项</w:t>
      </w:r>
      <w:r>
        <w:rPr>
          <w:rFonts w:hint="eastAsia" w:eastAsia="宋体"/>
          <w:color w:val="auto"/>
          <w:highlight w:val="none"/>
        </w:rPr>
        <w:t>。</w:t>
      </w:r>
    </w:p>
    <w:p w14:paraId="5ABCB1DD">
      <w:pPr>
        <w:spacing w:line="360" w:lineRule="exact"/>
        <w:rPr>
          <w:color w:val="auto"/>
          <w:highlight w:val="none"/>
        </w:rPr>
      </w:pPr>
      <w:r>
        <w:rPr>
          <w:rFonts w:hint="eastAsia" w:eastAsia="宋体"/>
          <w:color w:val="auto"/>
          <w:highlight w:val="none"/>
          <w:lang w:val="en-US" w:eastAsia="zh-CN"/>
        </w:rPr>
        <w:t>4</w:t>
      </w:r>
      <w:r>
        <w:rPr>
          <w:rFonts w:hint="eastAsia"/>
          <w:color w:val="auto"/>
          <w:highlight w:val="none"/>
        </w:rPr>
        <w:t>、本表格可自行扩展。</w:t>
      </w:r>
    </w:p>
    <w:p w14:paraId="14005443">
      <w:pPr>
        <w:spacing w:after="120"/>
        <w:rPr>
          <w:color w:val="auto"/>
          <w:highlight w:val="none"/>
        </w:rPr>
      </w:pPr>
      <w:r>
        <w:rPr>
          <w:rFonts w:hint="eastAsia"/>
          <w:color w:val="auto"/>
          <w:highlight w:val="none"/>
        </w:rPr>
        <w:t>法定代表人：（签字或盖章）                               投标人(盖章)：</w:t>
      </w:r>
    </w:p>
    <w:p w14:paraId="6BAD542C">
      <w:pPr>
        <w:spacing w:after="120" w:line="400" w:lineRule="exact"/>
        <w:ind w:firstLine="5145" w:firstLineChars="2450"/>
        <w:rPr>
          <w:rFonts w:cs="宋体"/>
          <w:color w:val="auto"/>
          <w:highlight w:val="none"/>
          <w:lang w:val="zh-CN"/>
        </w:rPr>
      </w:pPr>
      <w:r>
        <w:rPr>
          <w:rFonts w:hint="eastAsia"/>
          <w:color w:val="auto"/>
          <w:highlight w:val="none"/>
        </w:rPr>
        <w:t>日期：</w:t>
      </w:r>
    </w:p>
    <w:p w14:paraId="738300E9">
      <w:pPr>
        <w:pStyle w:val="22"/>
        <w:rPr>
          <w:rFonts w:hAnsi="宋体" w:cs="宋体"/>
          <w:b/>
          <w:bCs/>
          <w:color w:val="auto"/>
          <w:sz w:val="21"/>
          <w:szCs w:val="21"/>
          <w:highlight w:val="none"/>
          <w:lang w:val="zh-CN"/>
        </w:rPr>
        <w:sectPr>
          <w:pgSz w:w="16838" w:h="11906" w:orient="landscape"/>
          <w:pgMar w:top="1418" w:right="1418" w:bottom="1418" w:left="1418" w:header="851" w:footer="992" w:gutter="0"/>
          <w:pgNumType w:fmt="decimal"/>
          <w:cols w:space="720" w:num="1"/>
          <w:titlePg/>
          <w:docGrid w:type="lines" w:linePitch="312" w:charSpace="0"/>
        </w:sectPr>
      </w:pPr>
    </w:p>
    <w:p w14:paraId="03C6DE43">
      <w:pPr>
        <w:spacing w:line="540" w:lineRule="exact"/>
        <w:rPr>
          <w:rFonts w:hint="eastAsia" w:eastAsia="宋体" w:cs="宋体"/>
          <w:b/>
          <w:bCs/>
          <w:color w:val="auto"/>
          <w:highlight w:val="none"/>
          <w:lang w:val="zh-CN" w:eastAsia="zh-CN"/>
        </w:rPr>
      </w:pPr>
      <w:r>
        <w:rPr>
          <w:rFonts w:hint="eastAsia"/>
          <w:bCs/>
          <w:color w:val="auto"/>
          <w:highlight w:val="none"/>
        </w:rPr>
        <w:t>附件</w:t>
      </w:r>
      <w:r>
        <w:rPr>
          <w:rFonts w:hint="eastAsia" w:eastAsia="宋体"/>
          <w:bCs/>
          <w:color w:val="auto"/>
          <w:highlight w:val="none"/>
          <w:lang w:val="en-US" w:eastAsia="zh-CN"/>
        </w:rPr>
        <w:t>三</w:t>
      </w:r>
    </w:p>
    <w:p w14:paraId="7F496E4D">
      <w:pPr>
        <w:spacing w:line="540" w:lineRule="exact"/>
        <w:rPr>
          <w:bCs/>
          <w:color w:val="auto"/>
          <w:highlight w:val="none"/>
        </w:rPr>
      </w:pPr>
    </w:p>
    <w:p w14:paraId="3F19887E">
      <w:pPr>
        <w:spacing w:line="480" w:lineRule="exact"/>
        <w:jc w:val="center"/>
        <w:rPr>
          <w:b/>
          <w:color w:val="auto"/>
          <w:highlight w:val="none"/>
        </w:rPr>
      </w:pPr>
      <w:r>
        <w:rPr>
          <w:rFonts w:hint="eastAsia"/>
          <w:b/>
          <w:color w:val="auto"/>
          <w:sz w:val="36"/>
          <w:highlight w:val="none"/>
        </w:rPr>
        <w:t>主要部件性能一览表</w:t>
      </w:r>
    </w:p>
    <w:p w14:paraId="519621D0">
      <w:pPr>
        <w:spacing w:line="400" w:lineRule="exact"/>
        <w:rPr>
          <w:color w:val="auto"/>
          <w:highlight w:val="none"/>
        </w:rPr>
      </w:pPr>
    </w:p>
    <w:p w14:paraId="079C12D1">
      <w:pPr>
        <w:spacing w:after="120" w:line="360" w:lineRule="auto"/>
        <w:rPr>
          <w:b/>
          <w:color w:val="auto"/>
          <w:highlight w:val="none"/>
        </w:rPr>
      </w:pPr>
      <w:r>
        <w:rPr>
          <w:rFonts w:hint="eastAsia"/>
          <w:b/>
          <w:color w:val="auto"/>
          <w:highlight w:val="none"/>
        </w:rPr>
        <w:t xml:space="preserve">投标设备名称(型号规格)： </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2493"/>
        <w:gridCol w:w="3271"/>
        <w:gridCol w:w="2416"/>
      </w:tblGrid>
      <w:tr w14:paraId="330B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098A7EC5">
            <w:pPr>
              <w:spacing w:before="93" w:beforeLines="30" w:after="93" w:afterLines="30"/>
              <w:jc w:val="center"/>
              <w:rPr>
                <w:color w:val="auto"/>
                <w:highlight w:val="none"/>
              </w:rPr>
            </w:pPr>
            <w:r>
              <w:rPr>
                <w:rFonts w:hint="eastAsia"/>
                <w:color w:val="auto"/>
                <w:highlight w:val="none"/>
              </w:rPr>
              <w:t>序号</w:t>
            </w:r>
          </w:p>
        </w:tc>
        <w:tc>
          <w:tcPr>
            <w:tcW w:w="2493" w:type="dxa"/>
            <w:vAlign w:val="center"/>
          </w:tcPr>
          <w:p w14:paraId="212E10CD">
            <w:pPr>
              <w:spacing w:before="93" w:beforeLines="30" w:after="93" w:afterLines="30"/>
              <w:jc w:val="center"/>
              <w:rPr>
                <w:color w:val="auto"/>
                <w:highlight w:val="none"/>
              </w:rPr>
            </w:pPr>
            <w:r>
              <w:rPr>
                <w:rFonts w:hint="eastAsia"/>
                <w:color w:val="auto"/>
                <w:highlight w:val="none"/>
              </w:rPr>
              <w:t>部件名称</w:t>
            </w:r>
          </w:p>
        </w:tc>
        <w:tc>
          <w:tcPr>
            <w:tcW w:w="3271" w:type="dxa"/>
            <w:vAlign w:val="center"/>
          </w:tcPr>
          <w:p w14:paraId="7F475C04">
            <w:pPr>
              <w:spacing w:before="93" w:beforeLines="30" w:after="93" w:afterLines="30"/>
              <w:jc w:val="center"/>
              <w:rPr>
                <w:color w:val="auto"/>
                <w:highlight w:val="none"/>
              </w:rPr>
            </w:pPr>
            <w:r>
              <w:rPr>
                <w:rFonts w:hint="eastAsia"/>
                <w:color w:val="auto"/>
                <w:highlight w:val="none"/>
              </w:rPr>
              <w:t>技术参数、性能、特点</w:t>
            </w:r>
          </w:p>
        </w:tc>
        <w:tc>
          <w:tcPr>
            <w:tcW w:w="2416" w:type="dxa"/>
            <w:vAlign w:val="center"/>
          </w:tcPr>
          <w:p w14:paraId="6FA1F398">
            <w:pPr>
              <w:spacing w:before="93" w:beforeLines="30" w:after="93" w:afterLines="30"/>
              <w:jc w:val="center"/>
              <w:rPr>
                <w:color w:val="auto"/>
                <w:highlight w:val="none"/>
              </w:rPr>
            </w:pPr>
            <w:r>
              <w:rPr>
                <w:rFonts w:hint="eastAsia"/>
                <w:color w:val="auto"/>
                <w:highlight w:val="none"/>
              </w:rPr>
              <w:t>生产厂商、产地</w:t>
            </w:r>
          </w:p>
        </w:tc>
      </w:tr>
      <w:tr w14:paraId="406A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4A4C15F2">
            <w:pPr>
              <w:pStyle w:val="26"/>
              <w:spacing w:before="120" w:after="120"/>
              <w:rPr>
                <w:rFonts w:hint="eastAsia" w:ascii="宋体" w:hAnsi="宋体"/>
                <w:color w:val="auto"/>
                <w:highlight w:val="none"/>
              </w:rPr>
            </w:pPr>
            <w:r>
              <w:rPr>
                <w:rFonts w:hint="eastAsia" w:ascii="宋体" w:hAnsi="宋体"/>
                <w:color w:val="auto"/>
                <w:highlight w:val="none"/>
              </w:rPr>
              <w:t>1</w:t>
            </w:r>
          </w:p>
        </w:tc>
        <w:tc>
          <w:tcPr>
            <w:tcW w:w="2493" w:type="dxa"/>
            <w:vAlign w:val="center"/>
          </w:tcPr>
          <w:p w14:paraId="63F2CAAA">
            <w:pPr>
              <w:pStyle w:val="26"/>
              <w:spacing w:before="120" w:after="120"/>
              <w:rPr>
                <w:rFonts w:hint="eastAsia" w:ascii="宋体" w:hAnsi="宋体"/>
                <w:color w:val="auto"/>
                <w:highlight w:val="none"/>
              </w:rPr>
            </w:pPr>
            <w:r>
              <w:rPr>
                <w:rFonts w:hint="eastAsia" w:ascii="宋体" w:hAnsi="宋体" w:eastAsia="宋体" w:cs="宋体"/>
                <w:color w:val="auto"/>
                <w:highlight w:val="none"/>
              </w:rPr>
              <w:t>曳引机</w:t>
            </w:r>
          </w:p>
        </w:tc>
        <w:tc>
          <w:tcPr>
            <w:tcW w:w="3271" w:type="dxa"/>
            <w:vAlign w:val="center"/>
          </w:tcPr>
          <w:p w14:paraId="7455CF38">
            <w:pPr>
              <w:spacing w:before="93" w:beforeLines="30" w:after="93" w:afterLines="30"/>
              <w:jc w:val="center"/>
              <w:rPr>
                <w:color w:val="auto"/>
                <w:highlight w:val="none"/>
              </w:rPr>
            </w:pPr>
          </w:p>
        </w:tc>
        <w:tc>
          <w:tcPr>
            <w:tcW w:w="2416" w:type="dxa"/>
            <w:vAlign w:val="center"/>
          </w:tcPr>
          <w:p w14:paraId="1AFB9407">
            <w:pPr>
              <w:spacing w:before="93" w:beforeLines="30" w:after="93" w:afterLines="30"/>
              <w:jc w:val="center"/>
              <w:rPr>
                <w:color w:val="auto"/>
                <w:highlight w:val="none"/>
              </w:rPr>
            </w:pPr>
          </w:p>
        </w:tc>
      </w:tr>
      <w:tr w14:paraId="6C73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52C774EF">
            <w:pPr>
              <w:spacing w:before="93" w:beforeLines="30" w:after="93" w:afterLines="30"/>
              <w:jc w:val="center"/>
              <w:rPr>
                <w:color w:val="auto"/>
                <w:highlight w:val="none"/>
              </w:rPr>
            </w:pPr>
            <w:r>
              <w:rPr>
                <w:rFonts w:hint="eastAsia"/>
                <w:color w:val="auto"/>
                <w:highlight w:val="none"/>
              </w:rPr>
              <w:t>2</w:t>
            </w:r>
          </w:p>
        </w:tc>
        <w:tc>
          <w:tcPr>
            <w:tcW w:w="2493" w:type="dxa"/>
            <w:vAlign w:val="center"/>
          </w:tcPr>
          <w:p w14:paraId="48DDD7CE">
            <w:pPr>
              <w:spacing w:before="93" w:beforeLines="30" w:after="93" w:afterLines="30"/>
              <w:jc w:val="center"/>
              <w:rPr>
                <w:color w:val="auto"/>
                <w:highlight w:val="none"/>
              </w:rPr>
            </w:pPr>
            <w:r>
              <w:rPr>
                <w:rFonts w:hint="eastAsia"/>
                <w:color w:val="auto"/>
                <w:highlight w:val="none"/>
              </w:rPr>
              <w:t>控制柜</w:t>
            </w:r>
          </w:p>
        </w:tc>
        <w:tc>
          <w:tcPr>
            <w:tcW w:w="3271" w:type="dxa"/>
            <w:vAlign w:val="center"/>
          </w:tcPr>
          <w:p w14:paraId="01ACD1A8">
            <w:pPr>
              <w:spacing w:before="93" w:beforeLines="30" w:after="93" w:afterLines="30"/>
              <w:jc w:val="center"/>
              <w:rPr>
                <w:color w:val="auto"/>
                <w:highlight w:val="none"/>
              </w:rPr>
            </w:pPr>
          </w:p>
        </w:tc>
        <w:tc>
          <w:tcPr>
            <w:tcW w:w="2416" w:type="dxa"/>
            <w:vAlign w:val="center"/>
          </w:tcPr>
          <w:p w14:paraId="5DF3C903">
            <w:pPr>
              <w:spacing w:before="93" w:beforeLines="30" w:after="93" w:afterLines="30"/>
              <w:jc w:val="center"/>
              <w:rPr>
                <w:color w:val="auto"/>
                <w:highlight w:val="none"/>
              </w:rPr>
            </w:pPr>
          </w:p>
        </w:tc>
      </w:tr>
      <w:tr w14:paraId="662A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1E772782">
            <w:pPr>
              <w:spacing w:before="93" w:beforeLines="30" w:after="93" w:afterLines="30"/>
              <w:jc w:val="center"/>
              <w:rPr>
                <w:color w:val="auto"/>
                <w:highlight w:val="none"/>
              </w:rPr>
            </w:pPr>
            <w:r>
              <w:rPr>
                <w:rFonts w:hint="eastAsia"/>
                <w:color w:val="auto"/>
                <w:highlight w:val="none"/>
              </w:rPr>
              <w:t>3</w:t>
            </w:r>
          </w:p>
        </w:tc>
        <w:tc>
          <w:tcPr>
            <w:tcW w:w="2493" w:type="dxa"/>
            <w:vAlign w:val="center"/>
          </w:tcPr>
          <w:p w14:paraId="5C337B45">
            <w:pPr>
              <w:spacing w:before="93" w:beforeLines="30" w:after="93" w:afterLines="30"/>
              <w:jc w:val="center"/>
              <w:rPr>
                <w:color w:val="auto"/>
                <w:highlight w:val="none"/>
              </w:rPr>
            </w:pPr>
            <w:r>
              <w:rPr>
                <w:rFonts w:hint="eastAsia"/>
                <w:color w:val="auto"/>
                <w:highlight w:val="none"/>
              </w:rPr>
              <w:t>操纵板</w:t>
            </w:r>
          </w:p>
        </w:tc>
        <w:tc>
          <w:tcPr>
            <w:tcW w:w="3271" w:type="dxa"/>
            <w:vAlign w:val="center"/>
          </w:tcPr>
          <w:p w14:paraId="3E0CE620">
            <w:pPr>
              <w:spacing w:before="93" w:beforeLines="30" w:after="93" w:afterLines="30"/>
              <w:jc w:val="center"/>
              <w:rPr>
                <w:color w:val="auto"/>
                <w:highlight w:val="none"/>
              </w:rPr>
            </w:pPr>
          </w:p>
        </w:tc>
        <w:tc>
          <w:tcPr>
            <w:tcW w:w="2416" w:type="dxa"/>
            <w:vAlign w:val="center"/>
          </w:tcPr>
          <w:p w14:paraId="0FE52E39">
            <w:pPr>
              <w:spacing w:before="93" w:beforeLines="30" w:after="93" w:afterLines="30"/>
              <w:jc w:val="center"/>
              <w:rPr>
                <w:color w:val="auto"/>
                <w:highlight w:val="none"/>
              </w:rPr>
            </w:pPr>
          </w:p>
        </w:tc>
      </w:tr>
      <w:tr w14:paraId="5C2C3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1950DBF7">
            <w:pPr>
              <w:spacing w:before="93" w:beforeLines="30" w:after="93" w:afterLines="30"/>
              <w:jc w:val="center"/>
              <w:rPr>
                <w:color w:val="auto"/>
                <w:highlight w:val="none"/>
              </w:rPr>
            </w:pPr>
            <w:r>
              <w:rPr>
                <w:rFonts w:hint="eastAsia"/>
                <w:color w:val="auto"/>
                <w:highlight w:val="none"/>
              </w:rPr>
              <w:t>4</w:t>
            </w:r>
          </w:p>
        </w:tc>
        <w:tc>
          <w:tcPr>
            <w:tcW w:w="2493" w:type="dxa"/>
            <w:vAlign w:val="center"/>
          </w:tcPr>
          <w:p w14:paraId="4E1346BB">
            <w:pPr>
              <w:spacing w:before="93" w:beforeLines="30" w:after="93" w:afterLines="30"/>
              <w:jc w:val="center"/>
              <w:rPr>
                <w:color w:val="auto"/>
                <w:highlight w:val="none"/>
              </w:rPr>
            </w:pPr>
            <w:r>
              <w:rPr>
                <w:rFonts w:hint="eastAsia"/>
                <w:color w:val="auto"/>
                <w:highlight w:val="none"/>
              </w:rPr>
              <w:t>安全钳</w:t>
            </w:r>
          </w:p>
        </w:tc>
        <w:tc>
          <w:tcPr>
            <w:tcW w:w="3271" w:type="dxa"/>
            <w:vAlign w:val="center"/>
          </w:tcPr>
          <w:p w14:paraId="548D5005">
            <w:pPr>
              <w:spacing w:before="93" w:beforeLines="30" w:after="93" w:afterLines="30"/>
              <w:jc w:val="center"/>
              <w:rPr>
                <w:color w:val="auto"/>
                <w:highlight w:val="none"/>
              </w:rPr>
            </w:pPr>
          </w:p>
        </w:tc>
        <w:tc>
          <w:tcPr>
            <w:tcW w:w="2416" w:type="dxa"/>
            <w:vAlign w:val="center"/>
          </w:tcPr>
          <w:p w14:paraId="4C43B2B9">
            <w:pPr>
              <w:spacing w:before="93" w:beforeLines="30" w:after="93" w:afterLines="30"/>
              <w:jc w:val="center"/>
              <w:rPr>
                <w:color w:val="auto"/>
                <w:highlight w:val="none"/>
              </w:rPr>
            </w:pPr>
          </w:p>
        </w:tc>
      </w:tr>
      <w:tr w14:paraId="495D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26D5D68D">
            <w:pPr>
              <w:spacing w:before="93" w:beforeLines="30" w:after="93" w:afterLines="30"/>
              <w:jc w:val="center"/>
              <w:rPr>
                <w:color w:val="auto"/>
                <w:highlight w:val="none"/>
              </w:rPr>
            </w:pPr>
            <w:r>
              <w:rPr>
                <w:rFonts w:hint="eastAsia"/>
                <w:color w:val="auto"/>
                <w:highlight w:val="none"/>
              </w:rPr>
              <w:t>5</w:t>
            </w:r>
          </w:p>
        </w:tc>
        <w:tc>
          <w:tcPr>
            <w:tcW w:w="2493" w:type="dxa"/>
            <w:vAlign w:val="center"/>
          </w:tcPr>
          <w:p w14:paraId="7494B46A">
            <w:pPr>
              <w:spacing w:before="93" w:beforeLines="30" w:after="93" w:afterLines="30"/>
              <w:jc w:val="center"/>
              <w:rPr>
                <w:color w:val="auto"/>
                <w:highlight w:val="none"/>
              </w:rPr>
            </w:pPr>
            <w:r>
              <w:rPr>
                <w:rFonts w:hint="eastAsia"/>
                <w:color w:val="auto"/>
                <w:highlight w:val="none"/>
              </w:rPr>
              <w:t>限速器</w:t>
            </w:r>
          </w:p>
        </w:tc>
        <w:tc>
          <w:tcPr>
            <w:tcW w:w="3271" w:type="dxa"/>
            <w:vAlign w:val="center"/>
          </w:tcPr>
          <w:p w14:paraId="07DA3482">
            <w:pPr>
              <w:spacing w:before="93" w:beforeLines="30" w:after="93" w:afterLines="30"/>
              <w:jc w:val="center"/>
              <w:rPr>
                <w:color w:val="auto"/>
                <w:highlight w:val="none"/>
              </w:rPr>
            </w:pPr>
          </w:p>
        </w:tc>
        <w:tc>
          <w:tcPr>
            <w:tcW w:w="2416" w:type="dxa"/>
            <w:vAlign w:val="center"/>
          </w:tcPr>
          <w:p w14:paraId="591D0537">
            <w:pPr>
              <w:spacing w:before="93" w:beforeLines="30" w:after="93" w:afterLines="30"/>
              <w:jc w:val="center"/>
              <w:rPr>
                <w:color w:val="auto"/>
                <w:highlight w:val="none"/>
              </w:rPr>
            </w:pPr>
          </w:p>
        </w:tc>
      </w:tr>
      <w:tr w14:paraId="1BC9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3340ABE2">
            <w:pPr>
              <w:spacing w:before="93" w:beforeLines="30" w:after="93" w:afterLines="30"/>
              <w:jc w:val="center"/>
              <w:rPr>
                <w:color w:val="auto"/>
                <w:highlight w:val="none"/>
              </w:rPr>
            </w:pPr>
            <w:r>
              <w:rPr>
                <w:rFonts w:hint="eastAsia"/>
                <w:color w:val="auto"/>
                <w:highlight w:val="none"/>
              </w:rPr>
              <w:t>6</w:t>
            </w:r>
          </w:p>
        </w:tc>
        <w:tc>
          <w:tcPr>
            <w:tcW w:w="2493" w:type="dxa"/>
            <w:vAlign w:val="center"/>
          </w:tcPr>
          <w:p w14:paraId="530ED49E">
            <w:pPr>
              <w:spacing w:before="93" w:beforeLines="30" w:after="93" w:afterLines="30"/>
              <w:jc w:val="center"/>
              <w:rPr>
                <w:color w:val="auto"/>
                <w:highlight w:val="none"/>
              </w:rPr>
            </w:pPr>
            <w:r>
              <w:rPr>
                <w:rFonts w:hint="eastAsia"/>
                <w:color w:val="auto"/>
                <w:highlight w:val="none"/>
              </w:rPr>
              <w:t>轿厢</w:t>
            </w:r>
          </w:p>
        </w:tc>
        <w:tc>
          <w:tcPr>
            <w:tcW w:w="3271" w:type="dxa"/>
            <w:vAlign w:val="center"/>
          </w:tcPr>
          <w:p w14:paraId="7AFF913A">
            <w:pPr>
              <w:spacing w:before="93" w:beforeLines="30" w:after="93" w:afterLines="30"/>
              <w:jc w:val="center"/>
              <w:rPr>
                <w:color w:val="auto"/>
                <w:highlight w:val="none"/>
              </w:rPr>
            </w:pPr>
          </w:p>
        </w:tc>
        <w:tc>
          <w:tcPr>
            <w:tcW w:w="2416" w:type="dxa"/>
            <w:vAlign w:val="center"/>
          </w:tcPr>
          <w:p w14:paraId="39736A7D">
            <w:pPr>
              <w:spacing w:before="93" w:beforeLines="30" w:after="93" w:afterLines="30"/>
              <w:jc w:val="center"/>
              <w:rPr>
                <w:color w:val="auto"/>
                <w:highlight w:val="none"/>
              </w:rPr>
            </w:pPr>
          </w:p>
        </w:tc>
      </w:tr>
      <w:tr w14:paraId="3610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09186BC2">
            <w:pPr>
              <w:spacing w:before="93" w:beforeLines="30" w:after="93" w:afterLines="30"/>
              <w:jc w:val="center"/>
              <w:rPr>
                <w:color w:val="auto"/>
                <w:highlight w:val="none"/>
              </w:rPr>
            </w:pPr>
            <w:r>
              <w:rPr>
                <w:rFonts w:hint="eastAsia"/>
                <w:color w:val="auto"/>
                <w:highlight w:val="none"/>
              </w:rPr>
              <w:t>7</w:t>
            </w:r>
          </w:p>
        </w:tc>
        <w:tc>
          <w:tcPr>
            <w:tcW w:w="2493" w:type="dxa"/>
            <w:vAlign w:val="center"/>
          </w:tcPr>
          <w:p w14:paraId="08EAA7CE">
            <w:pPr>
              <w:spacing w:before="93" w:beforeLines="30" w:after="93" w:afterLines="30"/>
              <w:jc w:val="center"/>
              <w:rPr>
                <w:color w:val="auto"/>
                <w:highlight w:val="none"/>
              </w:rPr>
            </w:pPr>
            <w:r>
              <w:rPr>
                <w:rFonts w:hint="eastAsia"/>
                <w:color w:val="auto"/>
                <w:highlight w:val="none"/>
              </w:rPr>
              <w:t>门机</w:t>
            </w:r>
          </w:p>
        </w:tc>
        <w:tc>
          <w:tcPr>
            <w:tcW w:w="3271" w:type="dxa"/>
            <w:vAlign w:val="center"/>
          </w:tcPr>
          <w:p w14:paraId="2D343166">
            <w:pPr>
              <w:spacing w:before="93" w:beforeLines="30" w:after="93" w:afterLines="30"/>
              <w:jc w:val="center"/>
              <w:rPr>
                <w:color w:val="auto"/>
                <w:highlight w:val="none"/>
              </w:rPr>
            </w:pPr>
          </w:p>
        </w:tc>
        <w:tc>
          <w:tcPr>
            <w:tcW w:w="2416" w:type="dxa"/>
            <w:vAlign w:val="center"/>
          </w:tcPr>
          <w:p w14:paraId="4657EC4C">
            <w:pPr>
              <w:spacing w:before="93" w:beforeLines="30" w:after="93" w:afterLines="30"/>
              <w:jc w:val="center"/>
              <w:rPr>
                <w:color w:val="auto"/>
                <w:highlight w:val="none"/>
              </w:rPr>
            </w:pPr>
          </w:p>
        </w:tc>
      </w:tr>
      <w:tr w14:paraId="0768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44A31DEC">
            <w:pPr>
              <w:spacing w:before="93" w:beforeLines="30" w:after="93" w:afterLines="30"/>
              <w:jc w:val="center"/>
              <w:rPr>
                <w:color w:val="auto"/>
                <w:highlight w:val="none"/>
              </w:rPr>
            </w:pPr>
            <w:r>
              <w:rPr>
                <w:rFonts w:hint="eastAsia"/>
                <w:color w:val="auto"/>
                <w:highlight w:val="none"/>
              </w:rPr>
              <w:t>8</w:t>
            </w:r>
          </w:p>
        </w:tc>
        <w:tc>
          <w:tcPr>
            <w:tcW w:w="2493" w:type="dxa"/>
            <w:vAlign w:val="center"/>
          </w:tcPr>
          <w:p w14:paraId="40BFC957">
            <w:pPr>
              <w:spacing w:before="93" w:beforeLines="30" w:after="93" w:afterLines="30"/>
              <w:jc w:val="center"/>
              <w:rPr>
                <w:color w:val="auto"/>
                <w:highlight w:val="none"/>
              </w:rPr>
            </w:pPr>
            <w:r>
              <w:rPr>
                <w:rFonts w:hint="eastAsia"/>
                <w:color w:val="auto"/>
                <w:highlight w:val="none"/>
              </w:rPr>
              <w:t>导轨</w:t>
            </w:r>
          </w:p>
        </w:tc>
        <w:tc>
          <w:tcPr>
            <w:tcW w:w="3271" w:type="dxa"/>
            <w:vAlign w:val="center"/>
          </w:tcPr>
          <w:p w14:paraId="189BE9F2">
            <w:pPr>
              <w:spacing w:before="93" w:beforeLines="30" w:after="93" w:afterLines="30"/>
              <w:jc w:val="center"/>
              <w:rPr>
                <w:color w:val="auto"/>
                <w:highlight w:val="none"/>
              </w:rPr>
            </w:pPr>
          </w:p>
        </w:tc>
        <w:tc>
          <w:tcPr>
            <w:tcW w:w="2416" w:type="dxa"/>
            <w:vAlign w:val="center"/>
          </w:tcPr>
          <w:p w14:paraId="306AAC80">
            <w:pPr>
              <w:spacing w:before="93" w:beforeLines="30" w:after="93" w:afterLines="30"/>
              <w:jc w:val="center"/>
              <w:rPr>
                <w:color w:val="auto"/>
                <w:highlight w:val="none"/>
              </w:rPr>
            </w:pPr>
          </w:p>
        </w:tc>
      </w:tr>
      <w:tr w14:paraId="53B4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4EBE19E2">
            <w:pPr>
              <w:spacing w:before="93" w:beforeLines="30" w:after="93" w:afterLines="30"/>
              <w:jc w:val="center"/>
              <w:rPr>
                <w:color w:val="auto"/>
                <w:highlight w:val="none"/>
              </w:rPr>
            </w:pPr>
            <w:r>
              <w:rPr>
                <w:rFonts w:hint="eastAsia"/>
                <w:color w:val="auto"/>
                <w:highlight w:val="none"/>
              </w:rPr>
              <w:t>9</w:t>
            </w:r>
          </w:p>
        </w:tc>
        <w:tc>
          <w:tcPr>
            <w:tcW w:w="2493" w:type="dxa"/>
            <w:vAlign w:val="center"/>
          </w:tcPr>
          <w:p w14:paraId="6DF3C525">
            <w:pPr>
              <w:spacing w:before="93" w:beforeLines="30" w:after="93" w:afterLines="30"/>
              <w:jc w:val="center"/>
              <w:rPr>
                <w:color w:val="auto"/>
                <w:highlight w:val="none"/>
              </w:rPr>
            </w:pPr>
            <w:r>
              <w:rPr>
                <w:rFonts w:hint="eastAsia"/>
                <w:color w:val="auto"/>
                <w:highlight w:val="none"/>
              </w:rPr>
              <w:t>光幕</w:t>
            </w:r>
          </w:p>
        </w:tc>
        <w:tc>
          <w:tcPr>
            <w:tcW w:w="3271" w:type="dxa"/>
            <w:vAlign w:val="center"/>
          </w:tcPr>
          <w:p w14:paraId="3BDF18AC">
            <w:pPr>
              <w:spacing w:before="93" w:beforeLines="30" w:after="93" w:afterLines="30"/>
              <w:jc w:val="center"/>
              <w:rPr>
                <w:color w:val="auto"/>
                <w:highlight w:val="none"/>
              </w:rPr>
            </w:pPr>
          </w:p>
        </w:tc>
        <w:tc>
          <w:tcPr>
            <w:tcW w:w="2416" w:type="dxa"/>
            <w:vAlign w:val="center"/>
          </w:tcPr>
          <w:p w14:paraId="78C25E9D">
            <w:pPr>
              <w:spacing w:before="93" w:beforeLines="30" w:after="93" w:afterLines="30"/>
              <w:jc w:val="center"/>
              <w:rPr>
                <w:color w:val="auto"/>
                <w:highlight w:val="none"/>
              </w:rPr>
            </w:pPr>
          </w:p>
        </w:tc>
      </w:tr>
      <w:tr w14:paraId="55C0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55A8EC02">
            <w:pPr>
              <w:spacing w:before="93" w:beforeLines="30" w:after="93" w:afterLines="30"/>
              <w:jc w:val="center"/>
              <w:rPr>
                <w:rFonts w:hint="default" w:eastAsia="宋体"/>
                <w:color w:val="auto"/>
                <w:highlight w:val="none"/>
                <w:lang w:val="en-US" w:eastAsia="zh-CN"/>
              </w:rPr>
            </w:pPr>
            <w:r>
              <w:rPr>
                <w:rFonts w:hint="eastAsia" w:eastAsia="宋体"/>
                <w:color w:val="auto"/>
                <w:highlight w:val="none"/>
                <w:lang w:val="en-US" w:eastAsia="zh-CN"/>
              </w:rPr>
              <w:t>10</w:t>
            </w:r>
          </w:p>
        </w:tc>
        <w:tc>
          <w:tcPr>
            <w:tcW w:w="2493" w:type="dxa"/>
            <w:vAlign w:val="center"/>
          </w:tcPr>
          <w:p w14:paraId="4C72DDFF">
            <w:pPr>
              <w:spacing w:before="93" w:beforeLines="30" w:after="93" w:afterLines="30"/>
              <w:jc w:val="center"/>
              <w:rPr>
                <w:rFonts w:hint="default" w:eastAsia="宋体"/>
                <w:color w:val="auto"/>
                <w:highlight w:val="none"/>
                <w:lang w:val="en-US" w:eastAsia="zh-CN"/>
              </w:rPr>
            </w:pPr>
            <w:r>
              <w:rPr>
                <w:rFonts w:hint="eastAsia" w:eastAsia="宋体"/>
                <w:color w:val="auto"/>
                <w:highlight w:val="none"/>
                <w:lang w:val="en-US" w:eastAsia="zh-CN"/>
              </w:rPr>
              <w:t>轿厢空调</w:t>
            </w:r>
          </w:p>
        </w:tc>
        <w:tc>
          <w:tcPr>
            <w:tcW w:w="3271" w:type="dxa"/>
            <w:vAlign w:val="center"/>
          </w:tcPr>
          <w:p w14:paraId="6DBB4E3C">
            <w:pPr>
              <w:spacing w:before="93" w:beforeLines="30" w:after="93" w:afterLines="30"/>
              <w:jc w:val="center"/>
              <w:rPr>
                <w:color w:val="auto"/>
                <w:highlight w:val="none"/>
              </w:rPr>
            </w:pPr>
          </w:p>
        </w:tc>
        <w:tc>
          <w:tcPr>
            <w:tcW w:w="2416" w:type="dxa"/>
            <w:vAlign w:val="center"/>
          </w:tcPr>
          <w:p w14:paraId="45B54264">
            <w:pPr>
              <w:spacing w:before="93" w:beforeLines="30" w:after="93" w:afterLines="30"/>
              <w:jc w:val="center"/>
              <w:rPr>
                <w:color w:val="auto"/>
                <w:highlight w:val="none"/>
              </w:rPr>
            </w:pPr>
          </w:p>
        </w:tc>
      </w:tr>
      <w:tr w14:paraId="76BB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61944C91">
            <w:pPr>
              <w:spacing w:before="93" w:beforeLines="30" w:after="93" w:afterLines="30"/>
              <w:jc w:val="center"/>
              <w:rPr>
                <w:color w:val="auto"/>
                <w:highlight w:val="none"/>
              </w:rPr>
            </w:pPr>
          </w:p>
        </w:tc>
        <w:tc>
          <w:tcPr>
            <w:tcW w:w="2493" w:type="dxa"/>
            <w:vAlign w:val="center"/>
          </w:tcPr>
          <w:p w14:paraId="114A3FF4">
            <w:pPr>
              <w:spacing w:before="93" w:beforeLines="30" w:after="93" w:afterLines="30"/>
              <w:jc w:val="center"/>
              <w:rPr>
                <w:color w:val="auto"/>
                <w:highlight w:val="none"/>
              </w:rPr>
            </w:pPr>
          </w:p>
        </w:tc>
        <w:tc>
          <w:tcPr>
            <w:tcW w:w="3271" w:type="dxa"/>
            <w:vAlign w:val="center"/>
          </w:tcPr>
          <w:p w14:paraId="68842EFB">
            <w:pPr>
              <w:spacing w:before="93" w:beforeLines="30" w:after="93" w:afterLines="30"/>
              <w:jc w:val="center"/>
              <w:rPr>
                <w:color w:val="auto"/>
                <w:highlight w:val="none"/>
              </w:rPr>
            </w:pPr>
          </w:p>
        </w:tc>
        <w:tc>
          <w:tcPr>
            <w:tcW w:w="2416" w:type="dxa"/>
            <w:vAlign w:val="center"/>
          </w:tcPr>
          <w:p w14:paraId="320B4DFE">
            <w:pPr>
              <w:spacing w:before="93" w:beforeLines="30" w:after="93" w:afterLines="30"/>
              <w:jc w:val="center"/>
              <w:rPr>
                <w:color w:val="auto"/>
                <w:highlight w:val="none"/>
              </w:rPr>
            </w:pPr>
          </w:p>
        </w:tc>
      </w:tr>
      <w:tr w14:paraId="5E93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14:paraId="1F58547B">
            <w:pPr>
              <w:spacing w:before="93" w:beforeLines="30" w:after="93" w:afterLines="30"/>
              <w:jc w:val="center"/>
              <w:rPr>
                <w:color w:val="auto"/>
                <w:highlight w:val="none"/>
              </w:rPr>
            </w:pPr>
            <w:r>
              <w:rPr>
                <w:rFonts w:hint="eastAsia"/>
                <w:color w:val="auto"/>
                <w:highlight w:val="none"/>
              </w:rPr>
              <w:t>…</w:t>
            </w:r>
          </w:p>
        </w:tc>
        <w:tc>
          <w:tcPr>
            <w:tcW w:w="2493" w:type="dxa"/>
            <w:vAlign w:val="center"/>
          </w:tcPr>
          <w:p w14:paraId="1AADA603">
            <w:pPr>
              <w:spacing w:before="93" w:beforeLines="30" w:after="93" w:afterLines="30"/>
              <w:jc w:val="center"/>
              <w:rPr>
                <w:color w:val="auto"/>
                <w:highlight w:val="none"/>
              </w:rPr>
            </w:pPr>
          </w:p>
        </w:tc>
        <w:tc>
          <w:tcPr>
            <w:tcW w:w="3271" w:type="dxa"/>
            <w:vAlign w:val="center"/>
          </w:tcPr>
          <w:p w14:paraId="12C684D4">
            <w:pPr>
              <w:spacing w:before="93" w:beforeLines="30" w:after="93" w:afterLines="30"/>
              <w:jc w:val="center"/>
              <w:rPr>
                <w:color w:val="auto"/>
                <w:highlight w:val="none"/>
              </w:rPr>
            </w:pPr>
          </w:p>
        </w:tc>
        <w:tc>
          <w:tcPr>
            <w:tcW w:w="2416" w:type="dxa"/>
            <w:vAlign w:val="center"/>
          </w:tcPr>
          <w:p w14:paraId="64E27448">
            <w:pPr>
              <w:spacing w:before="93" w:beforeLines="30" w:after="93" w:afterLines="30"/>
              <w:jc w:val="center"/>
              <w:rPr>
                <w:color w:val="auto"/>
                <w:highlight w:val="none"/>
              </w:rPr>
            </w:pPr>
          </w:p>
        </w:tc>
      </w:tr>
    </w:tbl>
    <w:p w14:paraId="6A51C66E">
      <w:pPr>
        <w:tabs>
          <w:tab w:val="left" w:pos="570"/>
        </w:tabs>
        <w:spacing w:line="440" w:lineRule="exact"/>
        <w:ind w:firstLine="420" w:firstLineChars="200"/>
        <w:rPr>
          <w:color w:val="auto"/>
          <w:highlight w:val="none"/>
        </w:rPr>
      </w:pPr>
      <w:r>
        <w:rPr>
          <w:rFonts w:hint="eastAsia"/>
          <w:b/>
          <w:color w:val="auto"/>
          <w:highlight w:val="none"/>
        </w:rPr>
        <w:t>注：如果不同型号规格的电梯部件有不同，应该依据此表分别填写，并注明投标设备(型号规格)。</w:t>
      </w:r>
    </w:p>
    <w:p w14:paraId="5E365F26">
      <w:pPr>
        <w:tabs>
          <w:tab w:val="left" w:pos="570"/>
          <w:tab w:val="left" w:pos="720"/>
        </w:tabs>
        <w:spacing w:line="440" w:lineRule="exact"/>
        <w:rPr>
          <w:b/>
          <w:color w:val="auto"/>
          <w:highlight w:val="none"/>
        </w:rPr>
      </w:pPr>
    </w:p>
    <w:p w14:paraId="66ED11F0">
      <w:pPr>
        <w:tabs>
          <w:tab w:val="left" w:pos="570"/>
          <w:tab w:val="left" w:pos="720"/>
        </w:tabs>
        <w:spacing w:line="440" w:lineRule="exact"/>
        <w:rPr>
          <w:b/>
          <w:color w:val="auto"/>
          <w:highlight w:val="none"/>
        </w:rPr>
      </w:pPr>
    </w:p>
    <w:p w14:paraId="2FD61BED">
      <w:pPr>
        <w:spacing w:after="120"/>
        <w:rPr>
          <w:color w:val="auto"/>
          <w:highlight w:val="none"/>
        </w:rPr>
      </w:pPr>
      <w:r>
        <w:rPr>
          <w:rFonts w:hint="eastAsia"/>
          <w:color w:val="auto"/>
          <w:highlight w:val="none"/>
        </w:rPr>
        <w:t>法定代表人：（签字或盖章）                               投标人(盖章)：</w:t>
      </w:r>
    </w:p>
    <w:p w14:paraId="43FA109D">
      <w:pPr>
        <w:spacing w:after="120" w:line="400" w:lineRule="exact"/>
        <w:ind w:firstLine="5145" w:firstLineChars="2450"/>
        <w:rPr>
          <w:rFonts w:cs="宋体"/>
          <w:color w:val="auto"/>
          <w:highlight w:val="none"/>
          <w:lang w:val="zh-CN"/>
        </w:rPr>
      </w:pPr>
      <w:r>
        <w:rPr>
          <w:rFonts w:hint="eastAsia"/>
          <w:color w:val="auto"/>
          <w:highlight w:val="none"/>
        </w:rPr>
        <w:t>日期：</w:t>
      </w:r>
    </w:p>
    <w:p w14:paraId="6B5C35BE">
      <w:pPr>
        <w:spacing w:line="540" w:lineRule="exact"/>
        <w:rPr>
          <w:bCs/>
          <w:color w:val="auto"/>
          <w:highlight w:val="none"/>
        </w:rPr>
      </w:pPr>
    </w:p>
    <w:p w14:paraId="4B86AAA4">
      <w:pPr>
        <w:spacing w:line="540" w:lineRule="exact"/>
        <w:rPr>
          <w:bCs/>
          <w:color w:val="auto"/>
          <w:highlight w:val="none"/>
        </w:rPr>
      </w:pPr>
    </w:p>
    <w:p w14:paraId="142C6D07">
      <w:pPr>
        <w:spacing w:line="540" w:lineRule="exact"/>
        <w:rPr>
          <w:color w:val="auto"/>
          <w:highlight w:val="none"/>
        </w:rPr>
      </w:pPr>
      <w:r>
        <w:rPr>
          <w:rFonts w:hint="eastAsia"/>
          <w:bCs/>
          <w:color w:val="auto"/>
          <w:highlight w:val="none"/>
        </w:rPr>
        <w:t>附件</w:t>
      </w:r>
      <w:r>
        <w:rPr>
          <w:rFonts w:hint="eastAsia" w:eastAsia="宋体"/>
          <w:bCs/>
          <w:color w:val="auto"/>
          <w:highlight w:val="none"/>
          <w:lang w:val="en-US" w:eastAsia="zh-CN"/>
        </w:rPr>
        <w:t>四</w:t>
      </w:r>
      <w:r>
        <w:rPr>
          <w:rFonts w:hint="eastAsia"/>
          <w:bCs/>
          <w:color w:val="auto"/>
          <w:highlight w:val="none"/>
        </w:rPr>
        <w:t xml:space="preserve">   </w:t>
      </w:r>
    </w:p>
    <w:p w14:paraId="075F6E74">
      <w:pPr>
        <w:spacing w:line="540" w:lineRule="exact"/>
        <w:jc w:val="center"/>
        <w:rPr>
          <w:b/>
          <w:color w:val="auto"/>
          <w:sz w:val="32"/>
          <w:szCs w:val="32"/>
          <w:highlight w:val="none"/>
        </w:rPr>
      </w:pPr>
      <w:r>
        <w:rPr>
          <w:rFonts w:hint="eastAsia"/>
          <w:b/>
          <w:color w:val="auto"/>
          <w:sz w:val="32"/>
          <w:szCs w:val="32"/>
          <w:highlight w:val="none"/>
        </w:rPr>
        <w:t>随机专用工具及备品备件明细表</w:t>
      </w:r>
    </w:p>
    <w:p w14:paraId="731D0180">
      <w:pPr>
        <w:spacing w:line="540" w:lineRule="exact"/>
        <w:jc w:val="center"/>
        <w:rPr>
          <w:b/>
          <w:color w:val="auto"/>
          <w:sz w:val="32"/>
          <w:szCs w:val="32"/>
          <w:highlight w:val="none"/>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1417"/>
        <w:gridCol w:w="851"/>
        <w:gridCol w:w="850"/>
        <w:gridCol w:w="992"/>
        <w:gridCol w:w="995"/>
        <w:gridCol w:w="1518"/>
      </w:tblGrid>
      <w:tr w14:paraId="1209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trPr>
        <w:tc>
          <w:tcPr>
            <w:tcW w:w="2471" w:type="dxa"/>
            <w:vMerge w:val="restart"/>
            <w:vAlign w:val="center"/>
          </w:tcPr>
          <w:p w14:paraId="3ACF6F88">
            <w:pPr>
              <w:spacing w:before="156" w:beforeLines="50" w:after="120" w:line="300" w:lineRule="auto"/>
              <w:rPr>
                <w:color w:val="auto"/>
                <w:highlight w:val="none"/>
              </w:rPr>
            </w:pPr>
            <w:r>
              <w:rPr>
                <w:rFonts w:hint="eastAsia"/>
                <w:color w:val="auto"/>
                <w:highlight w:val="none"/>
              </w:rPr>
              <w:t>投标设备名称及编号</w:t>
            </w:r>
          </w:p>
        </w:tc>
        <w:tc>
          <w:tcPr>
            <w:tcW w:w="1417" w:type="dxa"/>
            <w:vMerge w:val="restart"/>
            <w:vAlign w:val="center"/>
          </w:tcPr>
          <w:p w14:paraId="42F67AC4">
            <w:pPr>
              <w:spacing w:before="156" w:beforeLines="50" w:after="120" w:line="300" w:lineRule="auto"/>
              <w:rPr>
                <w:color w:val="auto"/>
                <w:highlight w:val="none"/>
              </w:rPr>
            </w:pPr>
            <w:r>
              <w:rPr>
                <w:rFonts w:hint="eastAsia"/>
                <w:color w:val="auto"/>
                <w:highlight w:val="none"/>
              </w:rPr>
              <w:t>名称</w:t>
            </w:r>
          </w:p>
        </w:tc>
        <w:tc>
          <w:tcPr>
            <w:tcW w:w="851" w:type="dxa"/>
            <w:vMerge w:val="restart"/>
            <w:vAlign w:val="center"/>
          </w:tcPr>
          <w:p w14:paraId="04D07A30">
            <w:pPr>
              <w:spacing w:before="156" w:beforeLines="50" w:after="120" w:line="300" w:lineRule="auto"/>
              <w:rPr>
                <w:color w:val="auto"/>
                <w:highlight w:val="none"/>
              </w:rPr>
            </w:pPr>
            <w:r>
              <w:rPr>
                <w:rFonts w:hint="eastAsia"/>
                <w:color w:val="auto"/>
                <w:highlight w:val="none"/>
              </w:rPr>
              <w:t>数量</w:t>
            </w:r>
          </w:p>
        </w:tc>
        <w:tc>
          <w:tcPr>
            <w:tcW w:w="850" w:type="dxa"/>
            <w:vMerge w:val="restart"/>
            <w:vAlign w:val="center"/>
          </w:tcPr>
          <w:p w14:paraId="4CEC33C4">
            <w:pPr>
              <w:spacing w:before="156" w:beforeLines="50" w:after="120" w:line="300" w:lineRule="auto"/>
              <w:rPr>
                <w:color w:val="auto"/>
                <w:highlight w:val="none"/>
              </w:rPr>
            </w:pPr>
            <w:r>
              <w:rPr>
                <w:rFonts w:hint="eastAsia"/>
                <w:color w:val="auto"/>
                <w:highlight w:val="none"/>
              </w:rPr>
              <w:t>单位</w:t>
            </w:r>
          </w:p>
        </w:tc>
        <w:tc>
          <w:tcPr>
            <w:tcW w:w="1987" w:type="dxa"/>
            <w:gridSpan w:val="2"/>
            <w:vAlign w:val="center"/>
          </w:tcPr>
          <w:p w14:paraId="1C8AC61D">
            <w:pPr>
              <w:spacing w:before="156" w:beforeLines="50" w:after="120" w:line="300" w:lineRule="auto"/>
              <w:jc w:val="center"/>
              <w:rPr>
                <w:color w:val="auto"/>
                <w:highlight w:val="none"/>
              </w:rPr>
            </w:pPr>
            <w:r>
              <w:rPr>
                <w:rFonts w:hint="eastAsia"/>
                <w:color w:val="auto"/>
                <w:highlight w:val="none"/>
              </w:rPr>
              <w:t>价格（元）</w:t>
            </w:r>
          </w:p>
        </w:tc>
        <w:tc>
          <w:tcPr>
            <w:tcW w:w="1518" w:type="dxa"/>
            <w:vMerge w:val="restart"/>
            <w:vAlign w:val="center"/>
          </w:tcPr>
          <w:p w14:paraId="12DF0D32">
            <w:pPr>
              <w:spacing w:before="156" w:beforeLines="50" w:after="120" w:line="300" w:lineRule="auto"/>
              <w:jc w:val="center"/>
              <w:rPr>
                <w:color w:val="auto"/>
                <w:highlight w:val="none"/>
              </w:rPr>
            </w:pPr>
            <w:r>
              <w:rPr>
                <w:rFonts w:hint="eastAsia"/>
                <w:color w:val="auto"/>
                <w:highlight w:val="none"/>
              </w:rPr>
              <w:t>备注</w:t>
            </w:r>
          </w:p>
        </w:tc>
      </w:tr>
      <w:tr w14:paraId="109D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2471" w:type="dxa"/>
            <w:vMerge w:val="continue"/>
          </w:tcPr>
          <w:p w14:paraId="2321F43E">
            <w:pPr>
              <w:spacing w:before="156" w:beforeLines="50" w:after="120" w:line="300" w:lineRule="auto"/>
              <w:rPr>
                <w:color w:val="auto"/>
                <w:highlight w:val="none"/>
              </w:rPr>
            </w:pPr>
          </w:p>
        </w:tc>
        <w:tc>
          <w:tcPr>
            <w:tcW w:w="1417" w:type="dxa"/>
            <w:vMerge w:val="continue"/>
          </w:tcPr>
          <w:p w14:paraId="68A3A991">
            <w:pPr>
              <w:spacing w:before="156" w:beforeLines="50" w:after="120" w:line="300" w:lineRule="auto"/>
              <w:rPr>
                <w:color w:val="auto"/>
                <w:highlight w:val="none"/>
              </w:rPr>
            </w:pPr>
          </w:p>
        </w:tc>
        <w:tc>
          <w:tcPr>
            <w:tcW w:w="851" w:type="dxa"/>
            <w:vMerge w:val="continue"/>
          </w:tcPr>
          <w:p w14:paraId="69ACFE9C">
            <w:pPr>
              <w:spacing w:before="156" w:beforeLines="50" w:after="120" w:line="300" w:lineRule="auto"/>
              <w:rPr>
                <w:color w:val="auto"/>
                <w:highlight w:val="none"/>
              </w:rPr>
            </w:pPr>
          </w:p>
        </w:tc>
        <w:tc>
          <w:tcPr>
            <w:tcW w:w="850" w:type="dxa"/>
            <w:vMerge w:val="continue"/>
          </w:tcPr>
          <w:p w14:paraId="2CB085D5">
            <w:pPr>
              <w:spacing w:before="156" w:beforeLines="50" w:after="120" w:line="300" w:lineRule="auto"/>
              <w:rPr>
                <w:color w:val="auto"/>
                <w:highlight w:val="none"/>
              </w:rPr>
            </w:pPr>
          </w:p>
        </w:tc>
        <w:tc>
          <w:tcPr>
            <w:tcW w:w="992" w:type="dxa"/>
            <w:vAlign w:val="center"/>
          </w:tcPr>
          <w:p w14:paraId="0B0B0A15">
            <w:pPr>
              <w:spacing w:before="156" w:beforeLines="50" w:after="120" w:line="300" w:lineRule="auto"/>
              <w:jc w:val="center"/>
              <w:rPr>
                <w:color w:val="auto"/>
                <w:highlight w:val="none"/>
              </w:rPr>
            </w:pPr>
            <w:r>
              <w:rPr>
                <w:rFonts w:hint="eastAsia"/>
                <w:color w:val="auto"/>
                <w:highlight w:val="none"/>
              </w:rPr>
              <w:t>单价</w:t>
            </w:r>
          </w:p>
        </w:tc>
        <w:tc>
          <w:tcPr>
            <w:tcW w:w="995" w:type="dxa"/>
          </w:tcPr>
          <w:p w14:paraId="418E88F7">
            <w:pPr>
              <w:spacing w:before="156" w:beforeLines="50" w:after="120" w:line="300" w:lineRule="auto"/>
              <w:jc w:val="center"/>
              <w:rPr>
                <w:color w:val="auto"/>
                <w:highlight w:val="none"/>
              </w:rPr>
            </w:pPr>
            <w:r>
              <w:rPr>
                <w:rFonts w:hint="eastAsia"/>
                <w:color w:val="auto"/>
                <w:highlight w:val="none"/>
              </w:rPr>
              <w:t>总价</w:t>
            </w:r>
          </w:p>
        </w:tc>
        <w:tc>
          <w:tcPr>
            <w:tcW w:w="1518" w:type="dxa"/>
            <w:vMerge w:val="continue"/>
          </w:tcPr>
          <w:p w14:paraId="1429548F">
            <w:pPr>
              <w:spacing w:before="156" w:beforeLines="50" w:after="120" w:line="300" w:lineRule="auto"/>
              <w:jc w:val="center"/>
              <w:rPr>
                <w:color w:val="auto"/>
                <w:highlight w:val="none"/>
              </w:rPr>
            </w:pPr>
          </w:p>
        </w:tc>
      </w:tr>
      <w:tr w14:paraId="3C4A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14:paraId="0B89B0A5">
            <w:pPr>
              <w:spacing w:before="156" w:beforeLines="50" w:after="120" w:line="300" w:lineRule="auto"/>
              <w:rPr>
                <w:b/>
                <w:color w:val="auto"/>
                <w:highlight w:val="none"/>
              </w:rPr>
            </w:pPr>
            <w:r>
              <w:rPr>
                <w:rFonts w:hint="eastAsia"/>
                <w:b/>
                <w:color w:val="auto"/>
                <w:highlight w:val="none"/>
              </w:rPr>
              <w:t>专用工具：</w:t>
            </w:r>
          </w:p>
        </w:tc>
      </w:tr>
      <w:tr w14:paraId="7DE0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14:paraId="09EC1AB2">
            <w:pPr>
              <w:spacing w:before="156" w:beforeLines="50" w:after="120" w:line="300" w:lineRule="auto"/>
              <w:rPr>
                <w:color w:val="auto"/>
                <w:highlight w:val="none"/>
              </w:rPr>
            </w:pPr>
          </w:p>
        </w:tc>
        <w:tc>
          <w:tcPr>
            <w:tcW w:w="1417" w:type="dxa"/>
          </w:tcPr>
          <w:p w14:paraId="41C8DA75">
            <w:pPr>
              <w:spacing w:before="156" w:beforeLines="50" w:after="120" w:line="300" w:lineRule="auto"/>
              <w:rPr>
                <w:color w:val="auto"/>
                <w:highlight w:val="none"/>
              </w:rPr>
            </w:pPr>
          </w:p>
        </w:tc>
        <w:tc>
          <w:tcPr>
            <w:tcW w:w="851" w:type="dxa"/>
          </w:tcPr>
          <w:p w14:paraId="51719265">
            <w:pPr>
              <w:spacing w:before="156" w:beforeLines="50" w:after="120" w:line="300" w:lineRule="auto"/>
              <w:rPr>
                <w:color w:val="auto"/>
                <w:highlight w:val="none"/>
              </w:rPr>
            </w:pPr>
          </w:p>
        </w:tc>
        <w:tc>
          <w:tcPr>
            <w:tcW w:w="850" w:type="dxa"/>
          </w:tcPr>
          <w:p w14:paraId="0D0A0902">
            <w:pPr>
              <w:spacing w:before="156" w:beforeLines="50" w:after="120" w:line="300" w:lineRule="auto"/>
              <w:rPr>
                <w:color w:val="auto"/>
                <w:highlight w:val="none"/>
              </w:rPr>
            </w:pPr>
          </w:p>
        </w:tc>
        <w:tc>
          <w:tcPr>
            <w:tcW w:w="992" w:type="dxa"/>
          </w:tcPr>
          <w:p w14:paraId="55083CCF">
            <w:pPr>
              <w:spacing w:before="156" w:beforeLines="50" w:after="120" w:line="300" w:lineRule="auto"/>
              <w:jc w:val="center"/>
              <w:rPr>
                <w:color w:val="auto"/>
                <w:highlight w:val="none"/>
              </w:rPr>
            </w:pPr>
          </w:p>
        </w:tc>
        <w:tc>
          <w:tcPr>
            <w:tcW w:w="995" w:type="dxa"/>
          </w:tcPr>
          <w:p w14:paraId="3811BC0C">
            <w:pPr>
              <w:spacing w:before="156" w:beforeLines="50" w:after="120" w:line="300" w:lineRule="auto"/>
              <w:jc w:val="center"/>
              <w:rPr>
                <w:color w:val="auto"/>
                <w:highlight w:val="none"/>
              </w:rPr>
            </w:pPr>
          </w:p>
        </w:tc>
        <w:tc>
          <w:tcPr>
            <w:tcW w:w="1518" w:type="dxa"/>
          </w:tcPr>
          <w:p w14:paraId="1B67F2F3">
            <w:pPr>
              <w:spacing w:before="156" w:beforeLines="50" w:after="120" w:line="300" w:lineRule="auto"/>
              <w:jc w:val="center"/>
              <w:rPr>
                <w:color w:val="auto"/>
                <w:highlight w:val="none"/>
              </w:rPr>
            </w:pPr>
          </w:p>
        </w:tc>
      </w:tr>
      <w:tr w14:paraId="12C9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14:paraId="1A0E80D3">
            <w:pPr>
              <w:spacing w:before="156" w:beforeLines="50" w:after="120" w:line="300" w:lineRule="auto"/>
              <w:rPr>
                <w:color w:val="auto"/>
                <w:highlight w:val="none"/>
              </w:rPr>
            </w:pPr>
          </w:p>
        </w:tc>
        <w:tc>
          <w:tcPr>
            <w:tcW w:w="1417" w:type="dxa"/>
          </w:tcPr>
          <w:p w14:paraId="3970F0B3">
            <w:pPr>
              <w:spacing w:before="156" w:beforeLines="50" w:after="120" w:line="300" w:lineRule="auto"/>
              <w:rPr>
                <w:color w:val="auto"/>
                <w:highlight w:val="none"/>
              </w:rPr>
            </w:pPr>
          </w:p>
        </w:tc>
        <w:tc>
          <w:tcPr>
            <w:tcW w:w="851" w:type="dxa"/>
          </w:tcPr>
          <w:p w14:paraId="3CCED8E5">
            <w:pPr>
              <w:spacing w:before="156" w:beforeLines="50" w:after="120" w:line="300" w:lineRule="auto"/>
              <w:rPr>
                <w:color w:val="auto"/>
                <w:highlight w:val="none"/>
              </w:rPr>
            </w:pPr>
          </w:p>
        </w:tc>
        <w:tc>
          <w:tcPr>
            <w:tcW w:w="850" w:type="dxa"/>
          </w:tcPr>
          <w:p w14:paraId="6663A92C">
            <w:pPr>
              <w:spacing w:before="156" w:beforeLines="50" w:after="120" w:line="300" w:lineRule="auto"/>
              <w:rPr>
                <w:color w:val="auto"/>
                <w:highlight w:val="none"/>
              </w:rPr>
            </w:pPr>
          </w:p>
        </w:tc>
        <w:tc>
          <w:tcPr>
            <w:tcW w:w="992" w:type="dxa"/>
          </w:tcPr>
          <w:p w14:paraId="185DF0FA">
            <w:pPr>
              <w:spacing w:before="156" w:beforeLines="50" w:after="120" w:line="300" w:lineRule="auto"/>
              <w:rPr>
                <w:color w:val="auto"/>
                <w:highlight w:val="none"/>
              </w:rPr>
            </w:pPr>
          </w:p>
        </w:tc>
        <w:tc>
          <w:tcPr>
            <w:tcW w:w="995" w:type="dxa"/>
          </w:tcPr>
          <w:p w14:paraId="66F26130">
            <w:pPr>
              <w:spacing w:before="156" w:beforeLines="50" w:after="120" w:line="300" w:lineRule="auto"/>
              <w:rPr>
                <w:color w:val="auto"/>
                <w:highlight w:val="none"/>
              </w:rPr>
            </w:pPr>
          </w:p>
        </w:tc>
        <w:tc>
          <w:tcPr>
            <w:tcW w:w="1518" w:type="dxa"/>
          </w:tcPr>
          <w:p w14:paraId="7B875B61">
            <w:pPr>
              <w:spacing w:before="156" w:beforeLines="50" w:after="120" w:line="300" w:lineRule="auto"/>
              <w:rPr>
                <w:color w:val="auto"/>
                <w:highlight w:val="none"/>
              </w:rPr>
            </w:pPr>
          </w:p>
        </w:tc>
      </w:tr>
      <w:tr w14:paraId="4065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14:paraId="5B8531D0">
            <w:pPr>
              <w:spacing w:before="156" w:beforeLines="50" w:after="120" w:line="300" w:lineRule="auto"/>
              <w:rPr>
                <w:color w:val="auto"/>
                <w:highlight w:val="none"/>
              </w:rPr>
            </w:pPr>
          </w:p>
          <w:p w14:paraId="1FD4E091">
            <w:pPr>
              <w:spacing w:before="156" w:beforeLines="50" w:after="120" w:line="300" w:lineRule="auto"/>
              <w:rPr>
                <w:color w:val="auto"/>
                <w:highlight w:val="none"/>
              </w:rPr>
            </w:pPr>
          </w:p>
        </w:tc>
        <w:tc>
          <w:tcPr>
            <w:tcW w:w="1417" w:type="dxa"/>
          </w:tcPr>
          <w:p w14:paraId="44B7D2A6">
            <w:pPr>
              <w:spacing w:before="156" w:beforeLines="50" w:after="120" w:line="300" w:lineRule="auto"/>
              <w:rPr>
                <w:color w:val="auto"/>
                <w:highlight w:val="none"/>
              </w:rPr>
            </w:pPr>
          </w:p>
        </w:tc>
        <w:tc>
          <w:tcPr>
            <w:tcW w:w="851" w:type="dxa"/>
          </w:tcPr>
          <w:p w14:paraId="5B18F814">
            <w:pPr>
              <w:spacing w:before="156" w:beforeLines="50" w:after="120" w:line="300" w:lineRule="auto"/>
              <w:rPr>
                <w:color w:val="auto"/>
                <w:highlight w:val="none"/>
              </w:rPr>
            </w:pPr>
          </w:p>
        </w:tc>
        <w:tc>
          <w:tcPr>
            <w:tcW w:w="850" w:type="dxa"/>
          </w:tcPr>
          <w:p w14:paraId="67F205EF">
            <w:pPr>
              <w:spacing w:before="156" w:beforeLines="50" w:after="120" w:line="300" w:lineRule="auto"/>
              <w:rPr>
                <w:color w:val="auto"/>
                <w:highlight w:val="none"/>
              </w:rPr>
            </w:pPr>
          </w:p>
        </w:tc>
        <w:tc>
          <w:tcPr>
            <w:tcW w:w="992" w:type="dxa"/>
          </w:tcPr>
          <w:p w14:paraId="4ADA8687">
            <w:pPr>
              <w:spacing w:before="156" w:beforeLines="50" w:after="120" w:line="300" w:lineRule="auto"/>
              <w:rPr>
                <w:color w:val="auto"/>
                <w:highlight w:val="none"/>
              </w:rPr>
            </w:pPr>
          </w:p>
        </w:tc>
        <w:tc>
          <w:tcPr>
            <w:tcW w:w="995" w:type="dxa"/>
          </w:tcPr>
          <w:p w14:paraId="3C67C7AE">
            <w:pPr>
              <w:spacing w:before="156" w:beforeLines="50" w:after="120" w:line="300" w:lineRule="auto"/>
              <w:rPr>
                <w:color w:val="auto"/>
                <w:highlight w:val="none"/>
              </w:rPr>
            </w:pPr>
          </w:p>
        </w:tc>
        <w:tc>
          <w:tcPr>
            <w:tcW w:w="1518" w:type="dxa"/>
          </w:tcPr>
          <w:p w14:paraId="7464217E">
            <w:pPr>
              <w:spacing w:before="156" w:beforeLines="50" w:after="120" w:line="300" w:lineRule="auto"/>
              <w:rPr>
                <w:color w:val="auto"/>
                <w:highlight w:val="none"/>
              </w:rPr>
            </w:pPr>
          </w:p>
        </w:tc>
      </w:tr>
      <w:tr w14:paraId="7F6C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14:paraId="1FCEA712">
            <w:pPr>
              <w:spacing w:before="156" w:beforeLines="50" w:after="120" w:line="300" w:lineRule="auto"/>
              <w:rPr>
                <w:color w:val="auto"/>
                <w:highlight w:val="none"/>
              </w:rPr>
            </w:pPr>
          </w:p>
        </w:tc>
        <w:tc>
          <w:tcPr>
            <w:tcW w:w="1417" w:type="dxa"/>
          </w:tcPr>
          <w:p w14:paraId="55EC0EB1">
            <w:pPr>
              <w:spacing w:before="156" w:beforeLines="50" w:after="120" w:line="300" w:lineRule="auto"/>
              <w:rPr>
                <w:color w:val="auto"/>
                <w:highlight w:val="none"/>
              </w:rPr>
            </w:pPr>
          </w:p>
        </w:tc>
        <w:tc>
          <w:tcPr>
            <w:tcW w:w="851" w:type="dxa"/>
          </w:tcPr>
          <w:p w14:paraId="5BFC7C22">
            <w:pPr>
              <w:spacing w:before="156" w:beforeLines="50" w:after="120" w:line="300" w:lineRule="auto"/>
              <w:rPr>
                <w:color w:val="auto"/>
                <w:highlight w:val="none"/>
              </w:rPr>
            </w:pPr>
          </w:p>
        </w:tc>
        <w:tc>
          <w:tcPr>
            <w:tcW w:w="850" w:type="dxa"/>
          </w:tcPr>
          <w:p w14:paraId="00330A68">
            <w:pPr>
              <w:spacing w:before="156" w:beforeLines="50" w:after="120" w:line="300" w:lineRule="auto"/>
              <w:rPr>
                <w:color w:val="auto"/>
                <w:highlight w:val="none"/>
              </w:rPr>
            </w:pPr>
          </w:p>
        </w:tc>
        <w:tc>
          <w:tcPr>
            <w:tcW w:w="992" w:type="dxa"/>
          </w:tcPr>
          <w:p w14:paraId="4122FA65">
            <w:pPr>
              <w:spacing w:before="156" w:beforeLines="50" w:after="120" w:line="300" w:lineRule="auto"/>
              <w:rPr>
                <w:color w:val="auto"/>
                <w:highlight w:val="none"/>
              </w:rPr>
            </w:pPr>
          </w:p>
        </w:tc>
        <w:tc>
          <w:tcPr>
            <w:tcW w:w="995" w:type="dxa"/>
          </w:tcPr>
          <w:p w14:paraId="75ECBA86">
            <w:pPr>
              <w:spacing w:before="156" w:beforeLines="50" w:after="120" w:line="300" w:lineRule="auto"/>
              <w:rPr>
                <w:color w:val="auto"/>
                <w:highlight w:val="none"/>
              </w:rPr>
            </w:pPr>
          </w:p>
        </w:tc>
        <w:tc>
          <w:tcPr>
            <w:tcW w:w="1518" w:type="dxa"/>
          </w:tcPr>
          <w:p w14:paraId="15BC99FF">
            <w:pPr>
              <w:spacing w:before="156" w:beforeLines="50" w:after="120" w:line="300" w:lineRule="auto"/>
              <w:rPr>
                <w:color w:val="auto"/>
                <w:highlight w:val="none"/>
              </w:rPr>
            </w:pPr>
          </w:p>
        </w:tc>
      </w:tr>
      <w:tr w14:paraId="0083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14:paraId="037A2900">
            <w:pPr>
              <w:spacing w:before="156" w:beforeLines="50" w:after="120" w:line="300" w:lineRule="auto"/>
              <w:rPr>
                <w:b/>
                <w:color w:val="auto"/>
                <w:highlight w:val="none"/>
              </w:rPr>
            </w:pPr>
            <w:r>
              <w:rPr>
                <w:rFonts w:hint="eastAsia"/>
                <w:b/>
                <w:color w:val="auto"/>
                <w:highlight w:val="none"/>
              </w:rPr>
              <w:t>备品备件：</w:t>
            </w:r>
          </w:p>
        </w:tc>
      </w:tr>
      <w:tr w14:paraId="2705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14:paraId="52FED7AF">
            <w:pPr>
              <w:spacing w:before="156" w:beforeLines="50" w:after="120" w:line="300" w:lineRule="auto"/>
              <w:rPr>
                <w:color w:val="auto"/>
                <w:highlight w:val="none"/>
              </w:rPr>
            </w:pPr>
          </w:p>
        </w:tc>
        <w:tc>
          <w:tcPr>
            <w:tcW w:w="1417" w:type="dxa"/>
          </w:tcPr>
          <w:p w14:paraId="15A5237A">
            <w:pPr>
              <w:spacing w:before="156" w:beforeLines="50" w:after="120" w:line="300" w:lineRule="auto"/>
              <w:rPr>
                <w:color w:val="auto"/>
                <w:highlight w:val="none"/>
              </w:rPr>
            </w:pPr>
          </w:p>
        </w:tc>
        <w:tc>
          <w:tcPr>
            <w:tcW w:w="851" w:type="dxa"/>
          </w:tcPr>
          <w:p w14:paraId="7B4EC886">
            <w:pPr>
              <w:spacing w:before="156" w:beforeLines="50" w:after="120" w:line="300" w:lineRule="auto"/>
              <w:rPr>
                <w:color w:val="auto"/>
                <w:highlight w:val="none"/>
              </w:rPr>
            </w:pPr>
          </w:p>
        </w:tc>
        <w:tc>
          <w:tcPr>
            <w:tcW w:w="850" w:type="dxa"/>
          </w:tcPr>
          <w:p w14:paraId="186FA848">
            <w:pPr>
              <w:spacing w:before="156" w:beforeLines="50" w:after="120" w:line="300" w:lineRule="auto"/>
              <w:rPr>
                <w:color w:val="auto"/>
                <w:highlight w:val="none"/>
              </w:rPr>
            </w:pPr>
          </w:p>
        </w:tc>
        <w:tc>
          <w:tcPr>
            <w:tcW w:w="992" w:type="dxa"/>
          </w:tcPr>
          <w:p w14:paraId="0E977F57">
            <w:pPr>
              <w:spacing w:before="156" w:beforeLines="50" w:after="120" w:line="300" w:lineRule="auto"/>
              <w:jc w:val="center"/>
              <w:rPr>
                <w:color w:val="auto"/>
                <w:highlight w:val="none"/>
              </w:rPr>
            </w:pPr>
          </w:p>
        </w:tc>
        <w:tc>
          <w:tcPr>
            <w:tcW w:w="995" w:type="dxa"/>
          </w:tcPr>
          <w:p w14:paraId="64FCF463">
            <w:pPr>
              <w:spacing w:before="156" w:beforeLines="50" w:after="120" w:line="300" w:lineRule="auto"/>
              <w:jc w:val="center"/>
              <w:rPr>
                <w:color w:val="auto"/>
                <w:highlight w:val="none"/>
              </w:rPr>
            </w:pPr>
          </w:p>
        </w:tc>
        <w:tc>
          <w:tcPr>
            <w:tcW w:w="1518" w:type="dxa"/>
          </w:tcPr>
          <w:p w14:paraId="57385441">
            <w:pPr>
              <w:spacing w:before="156" w:beforeLines="50" w:after="120" w:line="300" w:lineRule="auto"/>
              <w:jc w:val="center"/>
              <w:rPr>
                <w:color w:val="auto"/>
                <w:highlight w:val="none"/>
              </w:rPr>
            </w:pPr>
          </w:p>
        </w:tc>
      </w:tr>
      <w:tr w14:paraId="4E28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14:paraId="0945EAF7">
            <w:pPr>
              <w:spacing w:before="156" w:beforeLines="50" w:after="120" w:line="300" w:lineRule="auto"/>
              <w:rPr>
                <w:color w:val="auto"/>
                <w:highlight w:val="none"/>
              </w:rPr>
            </w:pPr>
          </w:p>
        </w:tc>
        <w:tc>
          <w:tcPr>
            <w:tcW w:w="1417" w:type="dxa"/>
          </w:tcPr>
          <w:p w14:paraId="5A53AFD7">
            <w:pPr>
              <w:spacing w:before="156" w:beforeLines="50" w:after="120" w:line="300" w:lineRule="auto"/>
              <w:rPr>
                <w:color w:val="auto"/>
                <w:highlight w:val="none"/>
              </w:rPr>
            </w:pPr>
          </w:p>
        </w:tc>
        <w:tc>
          <w:tcPr>
            <w:tcW w:w="851" w:type="dxa"/>
          </w:tcPr>
          <w:p w14:paraId="578DA817">
            <w:pPr>
              <w:spacing w:before="156" w:beforeLines="50" w:after="120" w:line="300" w:lineRule="auto"/>
              <w:rPr>
                <w:color w:val="auto"/>
                <w:highlight w:val="none"/>
              </w:rPr>
            </w:pPr>
          </w:p>
        </w:tc>
        <w:tc>
          <w:tcPr>
            <w:tcW w:w="850" w:type="dxa"/>
          </w:tcPr>
          <w:p w14:paraId="70766427">
            <w:pPr>
              <w:spacing w:before="156" w:beforeLines="50" w:after="120" w:line="300" w:lineRule="auto"/>
              <w:rPr>
                <w:color w:val="auto"/>
                <w:highlight w:val="none"/>
              </w:rPr>
            </w:pPr>
          </w:p>
        </w:tc>
        <w:tc>
          <w:tcPr>
            <w:tcW w:w="992" w:type="dxa"/>
          </w:tcPr>
          <w:p w14:paraId="08ED184B">
            <w:pPr>
              <w:spacing w:before="156" w:beforeLines="50" w:after="120" w:line="300" w:lineRule="auto"/>
              <w:rPr>
                <w:color w:val="auto"/>
                <w:highlight w:val="none"/>
              </w:rPr>
            </w:pPr>
          </w:p>
        </w:tc>
        <w:tc>
          <w:tcPr>
            <w:tcW w:w="995" w:type="dxa"/>
          </w:tcPr>
          <w:p w14:paraId="0AC9ACEC">
            <w:pPr>
              <w:spacing w:before="156" w:beforeLines="50" w:after="120" w:line="300" w:lineRule="auto"/>
              <w:rPr>
                <w:color w:val="auto"/>
                <w:highlight w:val="none"/>
              </w:rPr>
            </w:pPr>
          </w:p>
        </w:tc>
        <w:tc>
          <w:tcPr>
            <w:tcW w:w="1518" w:type="dxa"/>
          </w:tcPr>
          <w:p w14:paraId="75FB8BA2">
            <w:pPr>
              <w:spacing w:before="156" w:beforeLines="50" w:after="120" w:line="300" w:lineRule="auto"/>
              <w:rPr>
                <w:color w:val="auto"/>
                <w:highlight w:val="none"/>
              </w:rPr>
            </w:pPr>
          </w:p>
        </w:tc>
      </w:tr>
      <w:tr w14:paraId="5B11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14:paraId="0D1A9AA6">
            <w:pPr>
              <w:spacing w:before="156" w:beforeLines="50" w:after="120" w:line="300" w:lineRule="auto"/>
              <w:rPr>
                <w:color w:val="auto"/>
                <w:highlight w:val="none"/>
              </w:rPr>
            </w:pPr>
          </w:p>
          <w:p w14:paraId="50AB7944">
            <w:pPr>
              <w:spacing w:before="156" w:beforeLines="50" w:after="120" w:line="300" w:lineRule="auto"/>
              <w:rPr>
                <w:color w:val="auto"/>
                <w:highlight w:val="none"/>
              </w:rPr>
            </w:pPr>
          </w:p>
        </w:tc>
        <w:tc>
          <w:tcPr>
            <w:tcW w:w="1417" w:type="dxa"/>
          </w:tcPr>
          <w:p w14:paraId="5D5810ED">
            <w:pPr>
              <w:spacing w:before="156" w:beforeLines="50" w:after="120" w:line="300" w:lineRule="auto"/>
              <w:rPr>
                <w:color w:val="auto"/>
                <w:highlight w:val="none"/>
              </w:rPr>
            </w:pPr>
          </w:p>
        </w:tc>
        <w:tc>
          <w:tcPr>
            <w:tcW w:w="851" w:type="dxa"/>
          </w:tcPr>
          <w:p w14:paraId="168E2B2B">
            <w:pPr>
              <w:spacing w:before="156" w:beforeLines="50" w:after="120" w:line="300" w:lineRule="auto"/>
              <w:rPr>
                <w:color w:val="auto"/>
                <w:highlight w:val="none"/>
              </w:rPr>
            </w:pPr>
          </w:p>
        </w:tc>
        <w:tc>
          <w:tcPr>
            <w:tcW w:w="850" w:type="dxa"/>
          </w:tcPr>
          <w:p w14:paraId="671AC6A4">
            <w:pPr>
              <w:spacing w:before="156" w:beforeLines="50" w:after="120" w:line="300" w:lineRule="auto"/>
              <w:rPr>
                <w:color w:val="auto"/>
                <w:highlight w:val="none"/>
              </w:rPr>
            </w:pPr>
          </w:p>
        </w:tc>
        <w:tc>
          <w:tcPr>
            <w:tcW w:w="992" w:type="dxa"/>
          </w:tcPr>
          <w:p w14:paraId="0943805C">
            <w:pPr>
              <w:spacing w:before="156" w:beforeLines="50" w:after="120" w:line="300" w:lineRule="auto"/>
              <w:rPr>
                <w:color w:val="auto"/>
                <w:highlight w:val="none"/>
              </w:rPr>
            </w:pPr>
          </w:p>
        </w:tc>
        <w:tc>
          <w:tcPr>
            <w:tcW w:w="995" w:type="dxa"/>
          </w:tcPr>
          <w:p w14:paraId="7DA009C8">
            <w:pPr>
              <w:spacing w:before="156" w:beforeLines="50" w:after="120" w:line="300" w:lineRule="auto"/>
              <w:rPr>
                <w:color w:val="auto"/>
                <w:highlight w:val="none"/>
              </w:rPr>
            </w:pPr>
          </w:p>
        </w:tc>
        <w:tc>
          <w:tcPr>
            <w:tcW w:w="1518" w:type="dxa"/>
          </w:tcPr>
          <w:p w14:paraId="7FA43EFB">
            <w:pPr>
              <w:spacing w:before="156" w:beforeLines="50" w:after="120" w:line="300" w:lineRule="auto"/>
              <w:rPr>
                <w:color w:val="auto"/>
                <w:highlight w:val="none"/>
              </w:rPr>
            </w:pPr>
          </w:p>
        </w:tc>
      </w:tr>
      <w:tr w14:paraId="2BCA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14:paraId="38BE7EC9">
            <w:pPr>
              <w:spacing w:before="156" w:beforeLines="50" w:after="120" w:line="300" w:lineRule="auto"/>
              <w:rPr>
                <w:color w:val="auto"/>
                <w:highlight w:val="none"/>
              </w:rPr>
            </w:pPr>
          </w:p>
        </w:tc>
        <w:tc>
          <w:tcPr>
            <w:tcW w:w="1417" w:type="dxa"/>
          </w:tcPr>
          <w:p w14:paraId="7F12B796">
            <w:pPr>
              <w:spacing w:before="156" w:beforeLines="50" w:after="120" w:line="300" w:lineRule="auto"/>
              <w:rPr>
                <w:color w:val="auto"/>
                <w:highlight w:val="none"/>
              </w:rPr>
            </w:pPr>
          </w:p>
        </w:tc>
        <w:tc>
          <w:tcPr>
            <w:tcW w:w="851" w:type="dxa"/>
          </w:tcPr>
          <w:p w14:paraId="0C19FC24">
            <w:pPr>
              <w:spacing w:before="156" w:beforeLines="50" w:after="120" w:line="300" w:lineRule="auto"/>
              <w:rPr>
                <w:color w:val="auto"/>
                <w:highlight w:val="none"/>
              </w:rPr>
            </w:pPr>
          </w:p>
        </w:tc>
        <w:tc>
          <w:tcPr>
            <w:tcW w:w="850" w:type="dxa"/>
          </w:tcPr>
          <w:p w14:paraId="5BEAB44A">
            <w:pPr>
              <w:spacing w:before="156" w:beforeLines="50" w:after="120" w:line="300" w:lineRule="auto"/>
              <w:rPr>
                <w:color w:val="auto"/>
                <w:highlight w:val="none"/>
              </w:rPr>
            </w:pPr>
          </w:p>
        </w:tc>
        <w:tc>
          <w:tcPr>
            <w:tcW w:w="992" w:type="dxa"/>
          </w:tcPr>
          <w:p w14:paraId="56135219">
            <w:pPr>
              <w:spacing w:before="156" w:beforeLines="50" w:after="120" w:line="300" w:lineRule="auto"/>
              <w:rPr>
                <w:color w:val="auto"/>
                <w:highlight w:val="none"/>
              </w:rPr>
            </w:pPr>
          </w:p>
        </w:tc>
        <w:tc>
          <w:tcPr>
            <w:tcW w:w="995" w:type="dxa"/>
          </w:tcPr>
          <w:p w14:paraId="3E417368">
            <w:pPr>
              <w:spacing w:before="156" w:beforeLines="50" w:after="120" w:line="300" w:lineRule="auto"/>
              <w:rPr>
                <w:color w:val="auto"/>
                <w:highlight w:val="none"/>
              </w:rPr>
            </w:pPr>
          </w:p>
        </w:tc>
        <w:tc>
          <w:tcPr>
            <w:tcW w:w="1518" w:type="dxa"/>
          </w:tcPr>
          <w:p w14:paraId="6FF52CF4">
            <w:pPr>
              <w:spacing w:before="156" w:beforeLines="50" w:after="120" w:line="300" w:lineRule="auto"/>
              <w:rPr>
                <w:color w:val="auto"/>
                <w:highlight w:val="none"/>
              </w:rPr>
            </w:pPr>
          </w:p>
        </w:tc>
      </w:tr>
      <w:tr w14:paraId="61AB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14:paraId="10D576E5">
            <w:pPr>
              <w:spacing w:before="156" w:beforeLines="50" w:after="120" w:line="300" w:lineRule="auto"/>
              <w:rPr>
                <w:color w:val="auto"/>
                <w:highlight w:val="none"/>
              </w:rPr>
            </w:pPr>
          </w:p>
        </w:tc>
        <w:tc>
          <w:tcPr>
            <w:tcW w:w="1417" w:type="dxa"/>
          </w:tcPr>
          <w:p w14:paraId="683EFA6B">
            <w:pPr>
              <w:spacing w:before="156" w:beforeLines="50" w:after="120" w:line="300" w:lineRule="auto"/>
              <w:rPr>
                <w:color w:val="auto"/>
                <w:highlight w:val="none"/>
              </w:rPr>
            </w:pPr>
          </w:p>
        </w:tc>
        <w:tc>
          <w:tcPr>
            <w:tcW w:w="851" w:type="dxa"/>
          </w:tcPr>
          <w:p w14:paraId="5319C2CC">
            <w:pPr>
              <w:spacing w:before="156" w:beforeLines="50" w:after="120" w:line="300" w:lineRule="auto"/>
              <w:rPr>
                <w:color w:val="auto"/>
                <w:highlight w:val="none"/>
              </w:rPr>
            </w:pPr>
          </w:p>
        </w:tc>
        <w:tc>
          <w:tcPr>
            <w:tcW w:w="850" w:type="dxa"/>
          </w:tcPr>
          <w:p w14:paraId="1E52E37A">
            <w:pPr>
              <w:spacing w:before="156" w:beforeLines="50" w:after="120" w:line="300" w:lineRule="auto"/>
              <w:rPr>
                <w:color w:val="auto"/>
                <w:highlight w:val="none"/>
              </w:rPr>
            </w:pPr>
          </w:p>
        </w:tc>
        <w:tc>
          <w:tcPr>
            <w:tcW w:w="992" w:type="dxa"/>
          </w:tcPr>
          <w:p w14:paraId="6CED9137">
            <w:pPr>
              <w:spacing w:before="156" w:beforeLines="50" w:after="120" w:line="300" w:lineRule="auto"/>
              <w:rPr>
                <w:color w:val="auto"/>
                <w:highlight w:val="none"/>
              </w:rPr>
            </w:pPr>
          </w:p>
        </w:tc>
        <w:tc>
          <w:tcPr>
            <w:tcW w:w="995" w:type="dxa"/>
          </w:tcPr>
          <w:p w14:paraId="70E8D946">
            <w:pPr>
              <w:spacing w:before="156" w:beforeLines="50" w:after="120" w:line="300" w:lineRule="auto"/>
              <w:rPr>
                <w:color w:val="auto"/>
                <w:highlight w:val="none"/>
              </w:rPr>
            </w:pPr>
          </w:p>
        </w:tc>
        <w:tc>
          <w:tcPr>
            <w:tcW w:w="1518" w:type="dxa"/>
          </w:tcPr>
          <w:p w14:paraId="2FE43AA8">
            <w:pPr>
              <w:spacing w:before="156" w:beforeLines="50" w:after="120" w:line="300" w:lineRule="auto"/>
              <w:rPr>
                <w:color w:val="auto"/>
                <w:highlight w:val="none"/>
              </w:rPr>
            </w:pPr>
          </w:p>
        </w:tc>
      </w:tr>
      <w:tr w14:paraId="4824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14:paraId="79F78AED">
            <w:pPr>
              <w:spacing w:before="156" w:beforeLines="50" w:after="120" w:line="300" w:lineRule="auto"/>
              <w:rPr>
                <w:color w:val="auto"/>
                <w:highlight w:val="none"/>
              </w:rPr>
            </w:pPr>
          </w:p>
        </w:tc>
        <w:tc>
          <w:tcPr>
            <w:tcW w:w="1417" w:type="dxa"/>
          </w:tcPr>
          <w:p w14:paraId="289991C5">
            <w:pPr>
              <w:spacing w:before="156" w:beforeLines="50" w:after="120" w:line="300" w:lineRule="auto"/>
              <w:rPr>
                <w:color w:val="auto"/>
                <w:highlight w:val="none"/>
              </w:rPr>
            </w:pPr>
          </w:p>
        </w:tc>
        <w:tc>
          <w:tcPr>
            <w:tcW w:w="851" w:type="dxa"/>
          </w:tcPr>
          <w:p w14:paraId="267A0D28">
            <w:pPr>
              <w:spacing w:before="156" w:beforeLines="50" w:after="120" w:line="300" w:lineRule="auto"/>
              <w:rPr>
                <w:color w:val="auto"/>
                <w:highlight w:val="none"/>
              </w:rPr>
            </w:pPr>
          </w:p>
        </w:tc>
        <w:tc>
          <w:tcPr>
            <w:tcW w:w="850" w:type="dxa"/>
          </w:tcPr>
          <w:p w14:paraId="33578229">
            <w:pPr>
              <w:spacing w:before="156" w:beforeLines="50" w:after="120" w:line="300" w:lineRule="auto"/>
              <w:rPr>
                <w:color w:val="auto"/>
                <w:highlight w:val="none"/>
              </w:rPr>
            </w:pPr>
          </w:p>
        </w:tc>
        <w:tc>
          <w:tcPr>
            <w:tcW w:w="992" w:type="dxa"/>
          </w:tcPr>
          <w:p w14:paraId="3F293570">
            <w:pPr>
              <w:spacing w:before="156" w:beforeLines="50" w:after="120" w:line="300" w:lineRule="auto"/>
              <w:rPr>
                <w:color w:val="auto"/>
                <w:highlight w:val="none"/>
              </w:rPr>
            </w:pPr>
          </w:p>
        </w:tc>
        <w:tc>
          <w:tcPr>
            <w:tcW w:w="995" w:type="dxa"/>
          </w:tcPr>
          <w:p w14:paraId="2AF3DBA9">
            <w:pPr>
              <w:spacing w:before="156" w:beforeLines="50" w:after="120" w:line="300" w:lineRule="auto"/>
              <w:rPr>
                <w:color w:val="auto"/>
                <w:highlight w:val="none"/>
              </w:rPr>
            </w:pPr>
          </w:p>
        </w:tc>
        <w:tc>
          <w:tcPr>
            <w:tcW w:w="1518" w:type="dxa"/>
          </w:tcPr>
          <w:p w14:paraId="683EB14B">
            <w:pPr>
              <w:spacing w:before="156" w:beforeLines="50" w:after="120" w:line="300" w:lineRule="auto"/>
              <w:rPr>
                <w:color w:val="auto"/>
                <w:highlight w:val="none"/>
              </w:rPr>
            </w:pPr>
          </w:p>
        </w:tc>
      </w:tr>
    </w:tbl>
    <w:p w14:paraId="38AA3FF2">
      <w:pPr>
        <w:spacing w:after="120" w:line="300" w:lineRule="auto"/>
        <w:rPr>
          <w:color w:val="auto"/>
          <w:highlight w:val="none"/>
        </w:rPr>
      </w:pPr>
      <w:r>
        <w:rPr>
          <w:rFonts w:hint="eastAsia"/>
          <w:color w:val="auto"/>
          <w:highlight w:val="none"/>
        </w:rPr>
        <w:t>注：1. 本表所列为随投标设备所带的专用工具和备品备件。</w:t>
      </w:r>
    </w:p>
    <w:p w14:paraId="76640B2A">
      <w:pPr>
        <w:spacing w:after="120" w:line="300" w:lineRule="auto"/>
        <w:rPr>
          <w:color w:val="auto"/>
          <w:highlight w:val="none"/>
        </w:rPr>
      </w:pPr>
      <w:r>
        <w:rPr>
          <w:rFonts w:hint="eastAsia"/>
          <w:color w:val="auto"/>
          <w:highlight w:val="none"/>
        </w:rPr>
        <w:t xml:space="preserve">    2. 本表中所列价格应计入投标总价。</w:t>
      </w:r>
    </w:p>
    <w:p w14:paraId="770D4BCE">
      <w:pPr>
        <w:pStyle w:val="66"/>
        <w:spacing w:after="120" w:afterLines="0"/>
        <w:ind w:firstLine="0" w:firstLineChars="0"/>
        <w:rPr>
          <w:rFonts w:ascii="宋体" w:hAnsi="宋体"/>
          <w:color w:val="auto"/>
          <w:sz w:val="21"/>
          <w:szCs w:val="21"/>
          <w:highlight w:val="none"/>
        </w:rPr>
      </w:pPr>
    </w:p>
    <w:p w14:paraId="54222049">
      <w:pPr>
        <w:spacing w:after="120"/>
        <w:rPr>
          <w:color w:val="auto"/>
          <w:highlight w:val="none"/>
        </w:rPr>
      </w:pPr>
      <w:r>
        <w:rPr>
          <w:rFonts w:hint="eastAsia"/>
          <w:color w:val="auto"/>
          <w:highlight w:val="none"/>
        </w:rPr>
        <w:t>法定代表人：（签字或盖章）                         投标人(盖章)：</w:t>
      </w:r>
    </w:p>
    <w:p w14:paraId="3C3D7380">
      <w:pPr>
        <w:spacing w:after="120"/>
        <w:rPr>
          <w:color w:val="auto"/>
          <w:highlight w:val="none"/>
        </w:rPr>
      </w:pPr>
    </w:p>
    <w:p w14:paraId="1C84CD52">
      <w:pPr>
        <w:spacing w:after="120"/>
        <w:rPr>
          <w:color w:val="auto"/>
          <w:highlight w:val="none"/>
        </w:rPr>
      </w:pPr>
      <w:r>
        <w:rPr>
          <w:rFonts w:hint="eastAsia"/>
          <w:color w:val="auto"/>
          <w:highlight w:val="none"/>
        </w:rPr>
        <w:t>日期：</w:t>
      </w:r>
      <w:bookmarkStart w:id="65" w:name="_Toc317847131"/>
    </w:p>
    <w:p w14:paraId="2DC571C5">
      <w:pPr>
        <w:spacing w:after="120"/>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五</w:t>
      </w:r>
    </w:p>
    <w:p w14:paraId="0AAA6823">
      <w:pPr>
        <w:spacing w:line="540" w:lineRule="exact"/>
        <w:jc w:val="center"/>
        <w:rPr>
          <w:b/>
          <w:color w:val="auto"/>
          <w:sz w:val="32"/>
          <w:szCs w:val="32"/>
          <w:highlight w:val="none"/>
        </w:rPr>
      </w:pPr>
      <w:r>
        <w:rPr>
          <w:rFonts w:hint="eastAsia"/>
          <w:b/>
          <w:color w:val="auto"/>
          <w:sz w:val="32"/>
          <w:szCs w:val="32"/>
          <w:highlight w:val="none"/>
        </w:rPr>
        <w:t>供招标人选购的备品备件一览表</w:t>
      </w:r>
      <w:bookmarkEnd w:id="65"/>
    </w:p>
    <w:p w14:paraId="4669CAD3">
      <w:pPr>
        <w:spacing w:line="540" w:lineRule="exact"/>
        <w:jc w:val="center"/>
        <w:rPr>
          <w:b/>
          <w:color w:val="auto"/>
          <w:sz w:val="32"/>
          <w:szCs w:val="32"/>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560"/>
        <w:gridCol w:w="851"/>
        <w:gridCol w:w="850"/>
        <w:gridCol w:w="992"/>
        <w:gridCol w:w="995"/>
        <w:gridCol w:w="1274"/>
      </w:tblGrid>
      <w:tr w14:paraId="386F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vAlign w:val="center"/>
          </w:tcPr>
          <w:p w14:paraId="6396DEC3">
            <w:pPr>
              <w:spacing w:after="120" w:line="300" w:lineRule="auto"/>
              <w:rPr>
                <w:color w:val="auto"/>
                <w:highlight w:val="none"/>
              </w:rPr>
            </w:pPr>
            <w:r>
              <w:rPr>
                <w:rFonts w:hint="eastAsia"/>
                <w:color w:val="auto"/>
                <w:highlight w:val="none"/>
              </w:rPr>
              <w:t>投标设备名称及编号</w:t>
            </w:r>
          </w:p>
        </w:tc>
        <w:tc>
          <w:tcPr>
            <w:tcW w:w="1560" w:type="dxa"/>
            <w:vMerge w:val="restart"/>
            <w:vAlign w:val="center"/>
          </w:tcPr>
          <w:p w14:paraId="2DECBE13">
            <w:pPr>
              <w:spacing w:after="120" w:line="300" w:lineRule="auto"/>
              <w:rPr>
                <w:color w:val="auto"/>
                <w:highlight w:val="none"/>
              </w:rPr>
            </w:pPr>
            <w:r>
              <w:rPr>
                <w:rFonts w:hint="eastAsia"/>
                <w:color w:val="auto"/>
                <w:highlight w:val="none"/>
              </w:rPr>
              <w:t>备件名称</w:t>
            </w:r>
          </w:p>
        </w:tc>
        <w:tc>
          <w:tcPr>
            <w:tcW w:w="851" w:type="dxa"/>
            <w:vMerge w:val="restart"/>
            <w:vAlign w:val="center"/>
          </w:tcPr>
          <w:p w14:paraId="6E44B392">
            <w:pPr>
              <w:spacing w:after="120" w:line="300" w:lineRule="auto"/>
              <w:rPr>
                <w:color w:val="auto"/>
                <w:highlight w:val="none"/>
              </w:rPr>
            </w:pPr>
            <w:r>
              <w:rPr>
                <w:rFonts w:hint="eastAsia"/>
                <w:color w:val="auto"/>
                <w:highlight w:val="none"/>
              </w:rPr>
              <w:t>数量</w:t>
            </w:r>
          </w:p>
        </w:tc>
        <w:tc>
          <w:tcPr>
            <w:tcW w:w="850" w:type="dxa"/>
            <w:vMerge w:val="restart"/>
            <w:vAlign w:val="center"/>
          </w:tcPr>
          <w:p w14:paraId="5CA9CB9E">
            <w:pPr>
              <w:spacing w:after="120" w:line="300" w:lineRule="auto"/>
              <w:rPr>
                <w:color w:val="auto"/>
                <w:highlight w:val="none"/>
              </w:rPr>
            </w:pPr>
            <w:r>
              <w:rPr>
                <w:rFonts w:hint="eastAsia"/>
                <w:color w:val="auto"/>
                <w:highlight w:val="none"/>
              </w:rPr>
              <w:t>单位</w:t>
            </w:r>
          </w:p>
        </w:tc>
        <w:tc>
          <w:tcPr>
            <w:tcW w:w="1987" w:type="dxa"/>
            <w:gridSpan w:val="2"/>
            <w:vAlign w:val="center"/>
          </w:tcPr>
          <w:p w14:paraId="78F555AB">
            <w:pPr>
              <w:spacing w:after="120" w:line="300" w:lineRule="auto"/>
              <w:jc w:val="center"/>
              <w:rPr>
                <w:color w:val="auto"/>
                <w:highlight w:val="none"/>
              </w:rPr>
            </w:pPr>
            <w:r>
              <w:rPr>
                <w:rFonts w:hint="eastAsia"/>
                <w:color w:val="auto"/>
                <w:highlight w:val="none"/>
              </w:rPr>
              <w:t>价格（元）</w:t>
            </w:r>
          </w:p>
        </w:tc>
        <w:tc>
          <w:tcPr>
            <w:tcW w:w="1274" w:type="dxa"/>
            <w:vMerge w:val="restart"/>
            <w:vAlign w:val="center"/>
          </w:tcPr>
          <w:p w14:paraId="76E48930">
            <w:pPr>
              <w:spacing w:after="120" w:line="300" w:lineRule="auto"/>
              <w:jc w:val="center"/>
              <w:rPr>
                <w:color w:val="auto"/>
                <w:highlight w:val="none"/>
              </w:rPr>
            </w:pPr>
            <w:r>
              <w:rPr>
                <w:rFonts w:hint="eastAsia"/>
                <w:color w:val="auto"/>
                <w:highlight w:val="none"/>
              </w:rPr>
              <w:t>备注</w:t>
            </w:r>
          </w:p>
        </w:tc>
      </w:tr>
      <w:tr w14:paraId="5EC8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986CCA3">
            <w:pPr>
              <w:spacing w:after="120" w:line="300" w:lineRule="auto"/>
              <w:rPr>
                <w:color w:val="auto"/>
                <w:highlight w:val="none"/>
              </w:rPr>
            </w:pPr>
          </w:p>
        </w:tc>
        <w:tc>
          <w:tcPr>
            <w:tcW w:w="1560" w:type="dxa"/>
            <w:vMerge w:val="continue"/>
          </w:tcPr>
          <w:p w14:paraId="03655F63">
            <w:pPr>
              <w:spacing w:after="120" w:line="300" w:lineRule="auto"/>
              <w:rPr>
                <w:color w:val="auto"/>
                <w:highlight w:val="none"/>
              </w:rPr>
            </w:pPr>
          </w:p>
        </w:tc>
        <w:tc>
          <w:tcPr>
            <w:tcW w:w="851" w:type="dxa"/>
            <w:vMerge w:val="continue"/>
          </w:tcPr>
          <w:p w14:paraId="63090818">
            <w:pPr>
              <w:spacing w:after="120" w:line="300" w:lineRule="auto"/>
              <w:rPr>
                <w:color w:val="auto"/>
                <w:highlight w:val="none"/>
              </w:rPr>
            </w:pPr>
          </w:p>
        </w:tc>
        <w:tc>
          <w:tcPr>
            <w:tcW w:w="850" w:type="dxa"/>
            <w:vMerge w:val="continue"/>
          </w:tcPr>
          <w:p w14:paraId="6C886439">
            <w:pPr>
              <w:spacing w:after="120" w:line="300" w:lineRule="auto"/>
              <w:rPr>
                <w:color w:val="auto"/>
                <w:highlight w:val="none"/>
              </w:rPr>
            </w:pPr>
          </w:p>
        </w:tc>
        <w:tc>
          <w:tcPr>
            <w:tcW w:w="992" w:type="dxa"/>
            <w:vAlign w:val="center"/>
          </w:tcPr>
          <w:p w14:paraId="4779C0F0">
            <w:pPr>
              <w:spacing w:after="120" w:line="300" w:lineRule="auto"/>
              <w:jc w:val="center"/>
              <w:rPr>
                <w:color w:val="auto"/>
                <w:highlight w:val="none"/>
              </w:rPr>
            </w:pPr>
            <w:r>
              <w:rPr>
                <w:rFonts w:hint="eastAsia"/>
                <w:color w:val="auto"/>
                <w:highlight w:val="none"/>
              </w:rPr>
              <w:t>单价</w:t>
            </w:r>
          </w:p>
        </w:tc>
        <w:tc>
          <w:tcPr>
            <w:tcW w:w="995" w:type="dxa"/>
            <w:vAlign w:val="center"/>
          </w:tcPr>
          <w:p w14:paraId="24EB9620">
            <w:pPr>
              <w:spacing w:after="120" w:line="300" w:lineRule="auto"/>
              <w:jc w:val="center"/>
              <w:rPr>
                <w:color w:val="auto"/>
                <w:highlight w:val="none"/>
              </w:rPr>
            </w:pPr>
            <w:r>
              <w:rPr>
                <w:rFonts w:hint="eastAsia"/>
                <w:color w:val="auto"/>
                <w:highlight w:val="none"/>
              </w:rPr>
              <w:t>总价</w:t>
            </w:r>
          </w:p>
        </w:tc>
        <w:tc>
          <w:tcPr>
            <w:tcW w:w="1274" w:type="dxa"/>
            <w:vMerge w:val="continue"/>
          </w:tcPr>
          <w:p w14:paraId="7CEB026B">
            <w:pPr>
              <w:spacing w:after="120" w:line="300" w:lineRule="auto"/>
              <w:jc w:val="center"/>
              <w:rPr>
                <w:color w:val="auto"/>
                <w:highlight w:val="none"/>
              </w:rPr>
            </w:pPr>
          </w:p>
        </w:tc>
      </w:tr>
      <w:tr w14:paraId="6DC6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551ED699">
            <w:pPr>
              <w:spacing w:after="120" w:line="300" w:lineRule="auto"/>
              <w:rPr>
                <w:color w:val="auto"/>
                <w:highlight w:val="none"/>
              </w:rPr>
            </w:pPr>
          </w:p>
        </w:tc>
        <w:tc>
          <w:tcPr>
            <w:tcW w:w="1560" w:type="dxa"/>
          </w:tcPr>
          <w:p w14:paraId="1B1B9B61">
            <w:pPr>
              <w:spacing w:after="120" w:line="300" w:lineRule="auto"/>
              <w:rPr>
                <w:color w:val="auto"/>
                <w:highlight w:val="none"/>
              </w:rPr>
            </w:pPr>
          </w:p>
        </w:tc>
        <w:tc>
          <w:tcPr>
            <w:tcW w:w="851" w:type="dxa"/>
          </w:tcPr>
          <w:p w14:paraId="0D248C04">
            <w:pPr>
              <w:spacing w:after="120" w:line="300" w:lineRule="auto"/>
              <w:rPr>
                <w:color w:val="auto"/>
                <w:highlight w:val="none"/>
              </w:rPr>
            </w:pPr>
          </w:p>
        </w:tc>
        <w:tc>
          <w:tcPr>
            <w:tcW w:w="850" w:type="dxa"/>
          </w:tcPr>
          <w:p w14:paraId="4E1C3CA2">
            <w:pPr>
              <w:spacing w:after="120" w:line="300" w:lineRule="auto"/>
              <w:rPr>
                <w:color w:val="auto"/>
                <w:highlight w:val="none"/>
              </w:rPr>
            </w:pPr>
          </w:p>
        </w:tc>
        <w:tc>
          <w:tcPr>
            <w:tcW w:w="992" w:type="dxa"/>
          </w:tcPr>
          <w:p w14:paraId="2C4F021F">
            <w:pPr>
              <w:spacing w:after="120" w:line="300" w:lineRule="auto"/>
              <w:jc w:val="center"/>
              <w:rPr>
                <w:color w:val="auto"/>
                <w:highlight w:val="none"/>
              </w:rPr>
            </w:pPr>
          </w:p>
        </w:tc>
        <w:tc>
          <w:tcPr>
            <w:tcW w:w="995" w:type="dxa"/>
          </w:tcPr>
          <w:p w14:paraId="6E112EFC">
            <w:pPr>
              <w:spacing w:after="120" w:line="300" w:lineRule="auto"/>
              <w:jc w:val="center"/>
              <w:rPr>
                <w:color w:val="auto"/>
                <w:highlight w:val="none"/>
              </w:rPr>
            </w:pPr>
          </w:p>
        </w:tc>
        <w:tc>
          <w:tcPr>
            <w:tcW w:w="1274" w:type="dxa"/>
          </w:tcPr>
          <w:p w14:paraId="24445D94">
            <w:pPr>
              <w:spacing w:after="120" w:line="300" w:lineRule="auto"/>
              <w:jc w:val="center"/>
              <w:rPr>
                <w:color w:val="auto"/>
                <w:highlight w:val="none"/>
              </w:rPr>
            </w:pPr>
          </w:p>
        </w:tc>
      </w:tr>
      <w:tr w14:paraId="09D0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7C523D9A">
            <w:pPr>
              <w:spacing w:after="120" w:line="300" w:lineRule="auto"/>
              <w:rPr>
                <w:color w:val="auto"/>
                <w:highlight w:val="none"/>
              </w:rPr>
            </w:pPr>
          </w:p>
        </w:tc>
        <w:tc>
          <w:tcPr>
            <w:tcW w:w="1560" w:type="dxa"/>
          </w:tcPr>
          <w:p w14:paraId="7A123A26">
            <w:pPr>
              <w:spacing w:after="120" w:line="300" w:lineRule="auto"/>
              <w:rPr>
                <w:color w:val="auto"/>
                <w:highlight w:val="none"/>
              </w:rPr>
            </w:pPr>
          </w:p>
        </w:tc>
        <w:tc>
          <w:tcPr>
            <w:tcW w:w="851" w:type="dxa"/>
          </w:tcPr>
          <w:p w14:paraId="284DB1BA">
            <w:pPr>
              <w:spacing w:after="120" w:line="300" w:lineRule="auto"/>
              <w:rPr>
                <w:color w:val="auto"/>
                <w:highlight w:val="none"/>
              </w:rPr>
            </w:pPr>
          </w:p>
        </w:tc>
        <w:tc>
          <w:tcPr>
            <w:tcW w:w="850" w:type="dxa"/>
          </w:tcPr>
          <w:p w14:paraId="47A7F207">
            <w:pPr>
              <w:spacing w:after="120" w:line="300" w:lineRule="auto"/>
              <w:rPr>
                <w:color w:val="auto"/>
                <w:highlight w:val="none"/>
              </w:rPr>
            </w:pPr>
          </w:p>
        </w:tc>
        <w:tc>
          <w:tcPr>
            <w:tcW w:w="992" w:type="dxa"/>
          </w:tcPr>
          <w:p w14:paraId="10FCDEFF">
            <w:pPr>
              <w:spacing w:after="120" w:line="300" w:lineRule="auto"/>
              <w:rPr>
                <w:color w:val="auto"/>
                <w:highlight w:val="none"/>
              </w:rPr>
            </w:pPr>
          </w:p>
        </w:tc>
        <w:tc>
          <w:tcPr>
            <w:tcW w:w="995" w:type="dxa"/>
          </w:tcPr>
          <w:p w14:paraId="5003980E">
            <w:pPr>
              <w:spacing w:after="120" w:line="300" w:lineRule="auto"/>
              <w:rPr>
                <w:color w:val="auto"/>
                <w:highlight w:val="none"/>
              </w:rPr>
            </w:pPr>
          </w:p>
        </w:tc>
        <w:tc>
          <w:tcPr>
            <w:tcW w:w="1274" w:type="dxa"/>
          </w:tcPr>
          <w:p w14:paraId="34ED2C80">
            <w:pPr>
              <w:spacing w:after="120" w:line="300" w:lineRule="auto"/>
              <w:rPr>
                <w:color w:val="auto"/>
                <w:highlight w:val="none"/>
              </w:rPr>
            </w:pPr>
          </w:p>
        </w:tc>
      </w:tr>
      <w:tr w14:paraId="175F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055E9A9">
            <w:pPr>
              <w:spacing w:after="120" w:line="300" w:lineRule="auto"/>
              <w:rPr>
                <w:color w:val="auto"/>
                <w:highlight w:val="none"/>
              </w:rPr>
            </w:pPr>
          </w:p>
        </w:tc>
        <w:tc>
          <w:tcPr>
            <w:tcW w:w="1560" w:type="dxa"/>
          </w:tcPr>
          <w:p w14:paraId="6AF1CE7C">
            <w:pPr>
              <w:spacing w:after="120" w:line="300" w:lineRule="auto"/>
              <w:rPr>
                <w:color w:val="auto"/>
                <w:highlight w:val="none"/>
              </w:rPr>
            </w:pPr>
          </w:p>
        </w:tc>
        <w:tc>
          <w:tcPr>
            <w:tcW w:w="851" w:type="dxa"/>
          </w:tcPr>
          <w:p w14:paraId="598B5FEF">
            <w:pPr>
              <w:spacing w:after="120" w:line="300" w:lineRule="auto"/>
              <w:rPr>
                <w:color w:val="auto"/>
                <w:highlight w:val="none"/>
              </w:rPr>
            </w:pPr>
          </w:p>
        </w:tc>
        <w:tc>
          <w:tcPr>
            <w:tcW w:w="850" w:type="dxa"/>
          </w:tcPr>
          <w:p w14:paraId="52EC3B73">
            <w:pPr>
              <w:spacing w:after="120" w:line="300" w:lineRule="auto"/>
              <w:rPr>
                <w:color w:val="auto"/>
                <w:highlight w:val="none"/>
              </w:rPr>
            </w:pPr>
          </w:p>
        </w:tc>
        <w:tc>
          <w:tcPr>
            <w:tcW w:w="992" w:type="dxa"/>
          </w:tcPr>
          <w:p w14:paraId="4BB18CA2">
            <w:pPr>
              <w:spacing w:after="120" w:line="300" w:lineRule="auto"/>
              <w:rPr>
                <w:color w:val="auto"/>
                <w:highlight w:val="none"/>
              </w:rPr>
            </w:pPr>
          </w:p>
        </w:tc>
        <w:tc>
          <w:tcPr>
            <w:tcW w:w="995" w:type="dxa"/>
          </w:tcPr>
          <w:p w14:paraId="756D053B">
            <w:pPr>
              <w:spacing w:after="120" w:line="300" w:lineRule="auto"/>
              <w:rPr>
                <w:color w:val="auto"/>
                <w:highlight w:val="none"/>
              </w:rPr>
            </w:pPr>
          </w:p>
        </w:tc>
        <w:tc>
          <w:tcPr>
            <w:tcW w:w="1274" w:type="dxa"/>
          </w:tcPr>
          <w:p w14:paraId="726E953A">
            <w:pPr>
              <w:spacing w:after="120" w:line="300" w:lineRule="auto"/>
              <w:rPr>
                <w:color w:val="auto"/>
                <w:highlight w:val="none"/>
              </w:rPr>
            </w:pPr>
          </w:p>
        </w:tc>
      </w:tr>
      <w:tr w14:paraId="4A384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50972A3F">
            <w:pPr>
              <w:spacing w:after="120" w:line="300" w:lineRule="auto"/>
              <w:rPr>
                <w:color w:val="auto"/>
                <w:highlight w:val="none"/>
              </w:rPr>
            </w:pPr>
          </w:p>
        </w:tc>
        <w:tc>
          <w:tcPr>
            <w:tcW w:w="1560" w:type="dxa"/>
          </w:tcPr>
          <w:p w14:paraId="523C9A23">
            <w:pPr>
              <w:spacing w:after="120" w:line="300" w:lineRule="auto"/>
              <w:rPr>
                <w:color w:val="auto"/>
                <w:highlight w:val="none"/>
              </w:rPr>
            </w:pPr>
          </w:p>
        </w:tc>
        <w:tc>
          <w:tcPr>
            <w:tcW w:w="851" w:type="dxa"/>
          </w:tcPr>
          <w:p w14:paraId="79F21617">
            <w:pPr>
              <w:spacing w:after="120" w:line="300" w:lineRule="auto"/>
              <w:rPr>
                <w:color w:val="auto"/>
                <w:highlight w:val="none"/>
              </w:rPr>
            </w:pPr>
          </w:p>
        </w:tc>
        <w:tc>
          <w:tcPr>
            <w:tcW w:w="850" w:type="dxa"/>
          </w:tcPr>
          <w:p w14:paraId="57466757">
            <w:pPr>
              <w:spacing w:after="120" w:line="300" w:lineRule="auto"/>
              <w:rPr>
                <w:color w:val="auto"/>
                <w:highlight w:val="none"/>
              </w:rPr>
            </w:pPr>
          </w:p>
        </w:tc>
        <w:tc>
          <w:tcPr>
            <w:tcW w:w="992" w:type="dxa"/>
          </w:tcPr>
          <w:p w14:paraId="42F75F87">
            <w:pPr>
              <w:spacing w:after="120" w:line="300" w:lineRule="auto"/>
              <w:rPr>
                <w:color w:val="auto"/>
                <w:highlight w:val="none"/>
              </w:rPr>
            </w:pPr>
          </w:p>
        </w:tc>
        <w:tc>
          <w:tcPr>
            <w:tcW w:w="995" w:type="dxa"/>
          </w:tcPr>
          <w:p w14:paraId="27189F9A">
            <w:pPr>
              <w:spacing w:after="120" w:line="300" w:lineRule="auto"/>
              <w:rPr>
                <w:color w:val="auto"/>
                <w:highlight w:val="none"/>
              </w:rPr>
            </w:pPr>
          </w:p>
        </w:tc>
        <w:tc>
          <w:tcPr>
            <w:tcW w:w="1274" w:type="dxa"/>
          </w:tcPr>
          <w:p w14:paraId="76AF9D73">
            <w:pPr>
              <w:spacing w:after="120" w:line="300" w:lineRule="auto"/>
              <w:rPr>
                <w:color w:val="auto"/>
                <w:highlight w:val="none"/>
              </w:rPr>
            </w:pPr>
          </w:p>
        </w:tc>
      </w:tr>
      <w:tr w14:paraId="3ED0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6B4B07E6">
            <w:pPr>
              <w:spacing w:after="120" w:line="300" w:lineRule="auto"/>
              <w:rPr>
                <w:color w:val="auto"/>
                <w:highlight w:val="none"/>
              </w:rPr>
            </w:pPr>
          </w:p>
        </w:tc>
        <w:tc>
          <w:tcPr>
            <w:tcW w:w="1560" w:type="dxa"/>
          </w:tcPr>
          <w:p w14:paraId="387AE337">
            <w:pPr>
              <w:spacing w:after="120" w:line="300" w:lineRule="auto"/>
              <w:rPr>
                <w:color w:val="auto"/>
                <w:highlight w:val="none"/>
              </w:rPr>
            </w:pPr>
          </w:p>
        </w:tc>
        <w:tc>
          <w:tcPr>
            <w:tcW w:w="851" w:type="dxa"/>
          </w:tcPr>
          <w:p w14:paraId="5D6B74BE">
            <w:pPr>
              <w:spacing w:after="120" w:line="300" w:lineRule="auto"/>
              <w:rPr>
                <w:color w:val="auto"/>
                <w:highlight w:val="none"/>
              </w:rPr>
            </w:pPr>
          </w:p>
        </w:tc>
        <w:tc>
          <w:tcPr>
            <w:tcW w:w="850" w:type="dxa"/>
          </w:tcPr>
          <w:p w14:paraId="7E6A8CF6">
            <w:pPr>
              <w:spacing w:after="120" w:line="300" w:lineRule="auto"/>
              <w:rPr>
                <w:color w:val="auto"/>
                <w:highlight w:val="none"/>
              </w:rPr>
            </w:pPr>
          </w:p>
        </w:tc>
        <w:tc>
          <w:tcPr>
            <w:tcW w:w="992" w:type="dxa"/>
          </w:tcPr>
          <w:p w14:paraId="58AEC7CE">
            <w:pPr>
              <w:spacing w:after="120" w:line="300" w:lineRule="auto"/>
              <w:rPr>
                <w:color w:val="auto"/>
                <w:highlight w:val="none"/>
              </w:rPr>
            </w:pPr>
          </w:p>
        </w:tc>
        <w:tc>
          <w:tcPr>
            <w:tcW w:w="995" w:type="dxa"/>
          </w:tcPr>
          <w:p w14:paraId="44340F37">
            <w:pPr>
              <w:spacing w:after="120" w:line="300" w:lineRule="auto"/>
              <w:rPr>
                <w:color w:val="auto"/>
                <w:highlight w:val="none"/>
              </w:rPr>
            </w:pPr>
          </w:p>
        </w:tc>
        <w:tc>
          <w:tcPr>
            <w:tcW w:w="1274" w:type="dxa"/>
          </w:tcPr>
          <w:p w14:paraId="1C38819B">
            <w:pPr>
              <w:spacing w:after="120" w:line="300" w:lineRule="auto"/>
              <w:rPr>
                <w:color w:val="auto"/>
                <w:highlight w:val="none"/>
              </w:rPr>
            </w:pPr>
          </w:p>
        </w:tc>
      </w:tr>
      <w:tr w14:paraId="6C77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6D8FB534">
            <w:pPr>
              <w:spacing w:after="120" w:line="300" w:lineRule="auto"/>
              <w:rPr>
                <w:color w:val="auto"/>
                <w:highlight w:val="none"/>
              </w:rPr>
            </w:pPr>
          </w:p>
        </w:tc>
        <w:tc>
          <w:tcPr>
            <w:tcW w:w="1560" w:type="dxa"/>
          </w:tcPr>
          <w:p w14:paraId="3D2778C3">
            <w:pPr>
              <w:spacing w:after="120" w:line="300" w:lineRule="auto"/>
              <w:rPr>
                <w:color w:val="auto"/>
                <w:highlight w:val="none"/>
              </w:rPr>
            </w:pPr>
          </w:p>
        </w:tc>
        <w:tc>
          <w:tcPr>
            <w:tcW w:w="851" w:type="dxa"/>
          </w:tcPr>
          <w:p w14:paraId="2E50A7D5">
            <w:pPr>
              <w:spacing w:after="120" w:line="300" w:lineRule="auto"/>
              <w:rPr>
                <w:color w:val="auto"/>
                <w:highlight w:val="none"/>
              </w:rPr>
            </w:pPr>
          </w:p>
        </w:tc>
        <w:tc>
          <w:tcPr>
            <w:tcW w:w="850" w:type="dxa"/>
          </w:tcPr>
          <w:p w14:paraId="67436BCC">
            <w:pPr>
              <w:spacing w:after="120" w:line="300" w:lineRule="auto"/>
              <w:rPr>
                <w:color w:val="auto"/>
                <w:highlight w:val="none"/>
              </w:rPr>
            </w:pPr>
          </w:p>
        </w:tc>
        <w:tc>
          <w:tcPr>
            <w:tcW w:w="992" w:type="dxa"/>
          </w:tcPr>
          <w:p w14:paraId="208B4DA6">
            <w:pPr>
              <w:spacing w:after="120" w:line="300" w:lineRule="auto"/>
              <w:rPr>
                <w:color w:val="auto"/>
                <w:highlight w:val="none"/>
              </w:rPr>
            </w:pPr>
          </w:p>
        </w:tc>
        <w:tc>
          <w:tcPr>
            <w:tcW w:w="995" w:type="dxa"/>
          </w:tcPr>
          <w:p w14:paraId="1B2E994C">
            <w:pPr>
              <w:spacing w:after="120" w:line="300" w:lineRule="auto"/>
              <w:rPr>
                <w:color w:val="auto"/>
                <w:highlight w:val="none"/>
              </w:rPr>
            </w:pPr>
          </w:p>
        </w:tc>
        <w:tc>
          <w:tcPr>
            <w:tcW w:w="1274" w:type="dxa"/>
          </w:tcPr>
          <w:p w14:paraId="65BBB0BB">
            <w:pPr>
              <w:spacing w:after="120" w:line="300" w:lineRule="auto"/>
              <w:rPr>
                <w:color w:val="auto"/>
                <w:highlight w:val="none"/>
              </w:rPr>
            </w:pPr>
          </w:p>
        </w:tc>
      </w:tr>
      <w:tr w14:paraId="4EB0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4BB28D5E">
            <w:pPr>
              <w:spacing w:after="120" w:line="300" w:lineRule="auto"/>
              <w:rPr>
                <w:color w:val="auto"/>
                <w:highlight w:val="none"/>
              </w:rPr>
            </w:pPr>
          </w:p>
        </w:tc>
        <w:tc>
          <w:tcPr>
            <w:tcW w:w="1560" w:type="dxa"/>
          </w:tcPr>
          <w:p w14:paraId="1BE634AE">
            <w:pPr>
              <w:spacing w:after="120" w:line="300" w:lineRule="auto"/>
              <w:rPr>
                <w:color w:val="auto"/>
                <w:highlight w:val="none"/>
              </w:rPr>
            </w:pPr>
          </w:p>
        </w:tc>
        <w:tc>
          <w:tcPr>
            <w:tcW w:w="851" w:type="dxa"/>
          </w:tcPr>
          <w:p w14:paraId="697FAF68">
            <w:pPr>
              <w:spacing w:after="120" w:line="300" w:lineRule="auto"/>
              <w:rPr>
                <w:color w:val="auto"/>
                <w:highlight w:val="none"/>
              </w:rPr>
            </w:pPr>
          </w:p>
        </w:tc>
        <w:tc>
          <w:tcPr>
            <w:tcW w:w="850" w:type="dxa"/>
          </w:tcPr>
          <w:p w14:paraId="62790B76">
            <w:pPr>
              <w:spacing w:after="120" w:line="300" w:lineRule="auto"/>
              <w:rPr>
                <w:color w:val="auto"/>
                <w:highlight w:val="none"/>
              </w:rPr>
            </w:pPr>
          </w:p>
        </w:tc>
        <w:tc>
          <w:tcPr>
            <w:tcW w:w="992" w:type="dxa"/>
          </w:tcPr>
          <w:p w14:paraId="58B9902C">
            <w:pPr>
              <w:spacing w:after="120" w:line="300" w:lineRule="auto"/>
              <w:rPr>
                <w:color w:val="auto"/>
                <w:highlight w:val="none"/>
              </w:rPr>
            </w:pPr>
          </w:p>
        </w:tc>
        <w:tc>
          <w:tcPr>
            <w:tcW w:w="995" w:type="dxa"/>
          </w:tcPr>
          <w:p w14:paraId="61DCCDCF">
            <w:pPr>
              <w:spacing w:after="120" w:line="300" w:lineRule="auto"/>
              <w:rPr>
                <w:color w:val="auto"/>
                <w:highlight w:val="none"/>
              </w:rPr>
            </w:pPr>
          </w:p>
        </w:tc>
        <w:tc>
          <w:tcPr>
            <w:tcW w:w="1274" w:type="dxa"/>
          </w:tcPr>
          <w:p w14:paraId="6ED078A1">
            <w:pPr>
              <w:spacing w:after="120" w:line="300" w:lineRule="auto"/>
              <w:rPr>
                <w:color w:val="auto"/>
                <w:highlight w:val="none"/>
              </w:rPr>
            </w:pPr>
          </w:p>
        </w:tc>
      </w:tr>
      <w:tr w14:paraId="4199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6B84FD3D">
            <w:pPr>
              <w:spacing w:after="120" w:line="300" w:lineRule="auto"/>
              <w:rPr>
                <w:color w:val="auto"/>
                <w:highlight w:val="none"/>
              </w:rPr>
            </w:pPr>
          </w:p>
        </w:tc>
        <w:tc>
          <w:tcPr>
            <w:tcW w:w="1560" w:type="dxa"/>
          </w:tcPr>
          <w:p w14:paraId="67F3EBDE">
            <w:pPr>
              <w:spacing w:after="120" w:line="300" w:lineRule="auto"/>
              <w:rPr>
                <w:color w:val="auto"/>
                <w:highlight w:val="none"/>
              </w:rPr>
            </w:pPr>
          </w:p>
        </w:tc>
        <w:tc>
          <w:tcPr>
            <w:tcW w:w="851" w:type="dxa"/>
          </w:tcPr>
          <w:p w14:paraId="13AC9445">
            <w:pPr>
              <w:spacing w:after="120" w:line="300" w:lineRule="auto"/>
              <w:rPr>
                <w:color w:val="auto"/>
                <w:highlight w:val="none"/>
              </w:rPr>
            </w:pPr>
          </w:p>
        </w:tc>
        <w:tc>
          <w:tcPr>
            <w:tcW w:w="850" w:type="dxa"/>
          </w:tcPr>
          <w:p w14:paraId="5EC0CEC4">
            <w:pPr>
              <w:spacing w:after="120" w:line="300" w:lineRule="auto"/>
              <w:rPr>
                <w:color w:val="auto"/>
                <w:highlight w:val="none"/>
              </w:rPr>
            </w:pPr>
          </w:p>
        </w:tc>
        <w:tc>
          <w:tcPr>
            <w:tcW w:w="992" w:type="dxa"/>
          </w:tcPr>
          <w:p w14:paraId="25C91BC8">
            <w:pPr>
              <w:spacing w:after="120" w:line="300" w:lineRule="auto"/>
              <w:rPr>
                <w:color w:val="auto"/>
                <w:highlight w:val="none"/>
              </w:rPr>
            </w:pPr>
          </w:p>
        </w:tc>
        <w:tc>
          <w:tcPr>
            <w:tcW w:w="995" w:type="dxa"/>
          </w:tcPr>
          <w:p w14:paraId="2F3B94AF">
            <w:pPr>
              <w:spacing w:after="120" w:line="300" w:lineRule="auto"/>
              <w:rPr>
                <w:color w:val="auto"/>
                <w:highlight w:val="none"/>
              </w:rPr>
            </w:pPr>
          </w:p>
        </w:tc>
        <w:tc>
          <w:tcPr>
            <w:tcW w:w="1274" w:type="dxa"/>
          </w:tcPr>
          <w:p w14:paraId="1BC3CCED">
            <w:pPr>
              <w:spacing w:after="120" w:line="300" w:lineRule="auto"/>
              <w:rPr>
                <w:color w:val="auto"/>
                <w:highlight w:val="none"/>
              </w:rPr>
            </w:pPr>
          </w:p>
        </w:tc>
      </w:tr>
      <w:tr w14:paraId="537FA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4360869">
            <w:pPr>
              <w:spacing w:after="120" w:line="300" w:lineRule="auto"/>
              <w:rPr>
                <w:color w:val="auto"/>
                <w:highlight w:val="none"/>
              </w:rPr>
            </w:pPr>
          </w:p>
        </w:tc>
        <w:tc>
          <w:tcPr>
            <w:tcW w:w="1560" w:type="dxa"/>
          </w:tcPr>
          <w:p w14:paraId="17ED6449">
            <w:pPr>
              <w:spacing w:after="120" w:line="300" w:lineRule="auto"/>
              <w:rPr>
                <w:color w:val="auto"/>
                <w:highlight w:val="none"/>
              </w:rPr>
            </w:pPr>
          </w:p>
        </w:tc>
        <w:tc>
          <w:tcPr>
            <w:tcW w:w="851" w:type="dxa"/>
          </w:tcPr>
          <w:p w14:paraId="092D0A95">
            <w:pPr>
              <w:spacing w:after="120" w:line="300" w:lineRule="auto"/>
              <w:rPr>
                <w:color w:val="auto"/>
                <w:highlight w:val="none"/>
              </w:rPr>
            </w:pPr>
          </w:p>
        </w:tc>
        <w:tc>
          <w:tcPr>
            <w:tcW w:w="850" w:type="dxa"/>
          </w:tcPr>
          <w:p w14:paraId="1FFBA33D">
            <w:pPr>
              <w:spacing w:after="120" w:line="300" w:lineRule="auto"/>
              <w:rPr>
                <w:color w:val="auto"/>
                <w:highlight w:val="none"/>
              </w:rPr>
            </w:pPr>
          </w:p>
        </w:tc>
        <w:tc>
          <w:tcPr>
            <w:tcW w:w="992" w:type="dxa"/>
          </w:tcPr>
          <w:p w14:paraId="13B21BFA">
            <w:pPr>
              <w:spacing w:after="120" w:line="300" w:lineRule="auto"/>
              <w:rPr>
                <w:color w:val="auto"/>
                <w:highlight w:val="none"/>
              </w:rPr>
            </w:pPr>
          </w:p>
        </w:tc>
        <w:tc>
          <w:tcPr>
            <w:tcW w:w="995" w:type="dxa"/>
          </w:tcPr>
          <w:p w14:paraId="32E7FDDE">
            <w:pPr>
              <w:spacing w:after="120" w:line="300" w:lineRule="auto"/>
              <w:rPr>
                <w:color w:val="auto"/>
                <w:highlight w:val="none"/>
              </w:rPr>
            </w:pPr>
          </w:p>
        </w:tc>
        <w:tc>
          <w:tcPr>
            <w:tcW w:w="1274" w:type="dxa"/>
          </w:tcPr>
          <w:p w14:paraId="09030265">
            <w:pPr>
              <w:spacing w:after="120" w:line="300" w:lineRule="auto"/>
              <w:rPr>
                <w:color w:val="auto"/>
                <w:highlight w:val="none"/>
              </w:rPr>
            </w:pPr>
          </w:p>
        </w:tc>
      </w:tr>
      <w:tr w14:paraId="1FC7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tcPr>
          <w:p w14:paraId="624B9674">
            <w:pPr>
              <w:spacing w:after="120" w:line="300" w:lineRule="auto"/>
              <w:rPr>
                <w:color w:val="auto"/>
                <w:highlight w:val="none"/>
              </w:rPr>
            </w:pPr>
            <w:r>
              <w:rPr>
                <w:rFonts w:hint="eastAsia"/>
                <w:color w:val="auto"/>
                <w:highlight w:val="none"/>
              </w:rPr>
              <w:t>…</w:t>
            </w:r>
          </w:p>
        </w:tc>
        <w:tc>
          <w:tcPr>
            <w:tcW w:w="1560" w:type="dxa"/>
          </w:tcPr>
          <w:p w14:paraId="08D7BB42">
            <w:pPr>
              <w:spacing w:after="120" w:line="300" w:lineRule="auto"/>
              <w:rPr>
                <w:color w:val="auto"/>
                <w:highlight w:val="none"/>
              </w:rPr>
            </w:pPr>
          </w:p>
        </w:tc>
        <w:tc>
          <w:tcPr>
            <w:tcW w:w="851" w:type="dxa"/>
          </w:tcPr>
          <w:p w14:paraId="573781A8">
            <w:pPr>
              <w:spacing w:after="120" w:line="300" w:lineRule="auto"/>
              <w:rPr>
                <w:color w:val="auto"/>
                <w:highlight w:val="none"/>
              </w:rPr>
            </w:pPr>
          </w:p>
        </w:tc>
        <w:tc>
          <w:tcPr>
            <w:tcW w:w="850" w:type="dxa"/>
          </w:tcPr>
          <w:p w14:paraId="0775EA18">
            <w:pPr>
              <w:spacing w:after="120" w:line="300" w:lineRule="auto"/>
              <w:rPr>
                <w:color w:val="auto"/>
                <w:highlight w:val="none"/>
              </w:rPr>
            </w:pPr>
          </w:p>
        </w:tc>
        <w:tc>
          <w:tcPr>
            <w:tcW w:w="992" w:type="dxa"/>
          </w:tcPr>
          <w:p w14:paraId="51A248F3">
            <w:pPr>
              <w:spacing w:after="120" w:line="300" w:lineRule="auto"/>
              <w:rPr>
                <w:color w:val="auto"/>
                <w:highlight w:val="none"/>
              </w:rPr>
            </w:pPr>
          </w:p>
        </w:tc>
        <w:tc>
          <w:tcPr>
            <w:tcW w:w="995" w:type="dxa"/>
          </w:tcPr>
          <w:p w14:paraId="59D56EE3">
            <w:pPr>
              <w:spacing w:after="120" w:line="300" w:lineRule="auto"/>
              <w:rPr>
                <w:color w:val="auto"/>
                <w:highlight w:val="none"/>
              </w:rPr>
            </w:pPr>
          </w:p>
        </w:tc>
        <w:tc>
          <w:tcPr>
            <w:tcW w:w="1274" w:type="dxa"/>
          </w:tcPr>
          <w:p w14:paraId="6C0BE7C8">
            <w:pPr>
              <w:spacing w:after="120" w:line="300" w:lineRule="auto"/>
              <w:rPr>
                <w:color w:val="auto"/>
                <w:highlight w:val="none"/>
              </w:rPr>
            </w:pPr>
          </w:p>
        </w:tc>
      </w:tr>
    </w:tbl>
    <w:p w14:paraId="52915FD6">
      <w:pPr>
        <w:spacing w:after="120" w:line="300" w:lineRule="auto"/>
        <w:rPr>
          <w:color w:val="auto"/>
          <w:highlight w:val="none"/>
        </w:rPr>
      </w:pPr>
      <w:r>
        <w:rPr>
          <w:rFonts w:hint="eastAsia"/>
          <w:color w:val="auto"/>
          <w:highlight w:val="none"/>
        </w:rPr>
        <w:t>注：</w:t>
      </w:r>
      <w:r>
        <w:rPr>
          <w:color w:val="auto"/>
          <w:highlight w:val="none"/>
        </w:rPr>
        <w:t>1.表所列为质保期后连续运行5年所需的备品备件清单（每台），不变价。</w:t>
      </w:r>
    </w:p>
    <w:p w14:paraId="2E168596">
      <w:pPr>
        <w:spacing w:after="120" w:line="300" w:lineRule="auto"/>
        <w:ind w:firstLine="420" w:firstLineChars="200"/>
        <w:rPr>
          <w:color w:val="auto"/>
          <w:highlight w:val="none"/>
        </w:rPr>
      </w:pPr>
      <w:r>
        <w:rPr>
          <w:color w:val="auto"/>
          <w:highlight w:val="none"/>
        </w:rPr>
        <w:t>2.表中所列价格不计入投标总价，仅供招标人选购时用。</w:t>
      </w:r>
    </w:p>
    <w:p w14:paraId="310F9419">
      <w:pPr>
        <w:spacing w:after="120"/>
        <w:rPr>
          <w:b/>
          <w:color w:val="auto"/>
          <w:highlight w:val="none"/>
        </w:rPr>
      </w:pPr>
    </w:p>
    <w:p w14:paraId="3DB15D4C">
      <w:pPr>
        <w:spacing w:after="120"/>
        <w:rPr>
          <w:b/>
          <w:color w:val="auto"/>
          <w:highlight w:val="none"/>
        </w:rPr>
      </w:pPr>
    </w:p>
    <w:p w14:paraId="5854FAC2">
      <w:pPr>
        <w:spacing w:after="120"/>
        <w:rPr>
          <w:color w:val="auto"/>
          <w:highlight w:val="none"/>
        </w:rPr>
      </w:pPr>
      <w:r>
        <w:rPr>
          <w:rFonts w:hint="eastAsia"/>
          <w:color w:val="auto"/>
          <w:highlight w:val="none"/>
        </w:rPr>
        <w:t>法定代表人：（签字或盖章）                         投标人(盖章)：</w:t>
      </w:r>
    </w:p>
    <w:p w14:paraId="4F24CFA0">
      <w:pPr>
        <w:spacing w:after="120"/>
        <w:rPr>
          <w:color w:val="auto"/>
          <w:highlight w:val="none"/>
        </w:rPr>
      </w:pPr>
    </w:p>
    <w:p w14:paraId="523DFD39">
      <w:pPr>
        <w:spacing w:after="120"/>
        <w:rPr>
          <w:color w:val="auto"/>
          <w:highlight w:val="none"/>
        </w:rPr>
      </w:pPr>
      <w:r>
        <w:rPr>
          <w:rFonts w:hint="eastAsia"/>
          <w:color w:val="auto"/>
          <w:highlight w:val="none"/>
        </w:rPr>
        <w:t>日期：</w:t>
      </w:r>
    </w:p>
    <w:p w14:paraId="2F285437">
      <w:pPr>
        <w:spacing w:after="120"/>
        <w:rPr>
          <w:color w:val="auto"/>
          <w:highlight w:val="none"/>
        </w:rPr>
      </w:pPr>
    </w:p>
    <w:p w14:paraId="39339A06">
      <w:pPr>
        <w:spacing w:after="120"/>
        <w:rPr>
          <w:color w:val="auto"/>
          <w:highlight w:val="none"/>
        </w:rPr>
      </w:pPr>
    </w:p>
    <w:p w14:paraId="0BA89C11">
      <w:pPr>
        <w:spacing w:after="120"/>
        <w:rPr>
          <w:color w:val="auto"/>
          <w:highlight w:val="none"/>
        </w:rPr>
      </w:pPr>
    </w:p>
    <w:p w14:paraId="5E780161">
      <w:pPr>
        <w:spacing w:after="120"/>
        <w:rPr>
          <w:color w:val="auto"/>
          <w:highlight w:val="none"/>
        </w:rPr>
      </w:pPr>
    </w:p>
    <w:p w14:paraId="3CD9D1D6">
      <w:pPr>
        <w:spacing w:after="120"/>
        <w:rPr>
          <w:color w:val="auto"/>
          <w:highlight w:val="none"/>
        </w:rPr>
      </w:pPr>
    </w:p>
    <w:p w14:paraId="0B53D24A">
      <w:pPr>
        <w:spacing w:line="540" w:lineRule="exact"/>
        <w:rPr>
          <w:bCs/>
          <w:color w:val="auto"/>
          <w:highlight w:val="none"/>
        </w:rPr>
      </w:pPr>
      <w:bookmarkStart w:id="66" w:name="_Toc317847132"/>
    </w:p>
    <w:p w14:paraId="29B728AA">
      <w:pPr>
        <w:spacing w:line="540" w:lineRule="exact"/>
        <w:rPr>
          <w:rFonts w:hint="eastAsia" w:eastAsia="宋体"/>
          <w:bCs/>
          <w:color w:val="auto"/>
          <w:highlight w:val="none"/>
          <w:lang w:eastAsia="zh-CN"/>
        </w:rPr>
      </w:pPr>
      <w:r>
        <w:rPr>
          <w:rFonts w:hint="eastAsia"/>
          <w:bCs/>
          <w:color w:val="auto"/>
          <w:highlight w:val="none"/>
        </w:rPr>
        <w:t>附件</w:t>
      </w:r>
      <w:r>
        <w:rPr>
          <w:rFonts w:hint="eastAsia" w:eastAsia="宋体"/>
          <w:bCs/>
          <w:color w:val="auto"/>
          <w:highlight w:val="none"/>
          <w:lang w:val="en-US" w:eastAsia="zh-CN"/>
        </w:rPr>
        <w:t>六</w:t>
      </w:r>
    </w:p>
    <w:p w14:paraId="729FDC0B">
      <w:pPr>
        <w:spacing w:line="540" w:lineRule="exact"/>
        <w:jc w:val="center"/>
        <w:rPr>
          <w:b/>
          <w:color w:val="auto"/>
          <w:sz w:val="32"/>
          <w:szCs w:val="32"/>
          <w:highlight w:val="none"/>
        </w:rPr>
      </w:pPr>
      <w:r>
        <w:rPr>
          <w:rFonts w:hint="eastAsia"/>
          <w:b/>
          <w:color w:val="auto"/>
          <w:sz w:val="32"/>
          <w:szCs w:val="32"/>
          <w:highlight w:val="none"/>
        </w:rPr>
        <w:t>质保期满后大小包费用一览表</w:t>
      </w:r>
      <w:bookmarkEnd w:id="66"/>
    </w:p>
    <w:p w14:paraId="79C98D7A">
      <w:pPr>
        <w:spacing w:line="540" w:lineRule="exact"/>
        <w:jc w:val="center"/>
        <w:rPr>
          <w:b/>
          <w:color w:val="auto"/>
          <w:sz w:val="32"/>
          <w:szCs w:val="32"/>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6"/>
        <w:gridCol w:w="2514"/>
        <w:gridCol w:w="2409"/>
        <w:gridCol w:w="1276"/>
      </w:tblGrid>
      <w:tr w14:paraId="2821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vMerge w:val="restart"/>
            <w:vAlign w:val="center"/>
          </w:tcPr>
          <w:p w14:paraId="44456859">
            <w:pPr>
              <w:spacing w:line="360" w:lineRule="exact"/>
              <w:jc w:val="center"/>
              <w:rPr>
                <w:color w:val="auto"/>
                <w:highlight w:val="none"/>
              </w:rPr>
            </w:pPr>
            <w:r>
              <w:rPr>
                <w:rFonts w:hint="eastAsia"/>
                <w:color w:val="auto"/>
                <w:highlight w:val="none"/>
              </w:rPr>
              <w:t>投标设备名称及编号</w:t>
            </w:r>
          </w:p>
        </w:tc>
        <w:tc>
          <w:tcPr>
            <w:tcW w:w="2514" w:type="dxa"/>
            <w:vMerge w:val="restart"/>
            <w:vAlign w:val="center"/>
          </w:tcPr>
          <w:p w14:paraId="35C0EEE2">
            <w:pPr>
              <w:spacing w:line="360" w:lineRule="exact"/>
              <w:jc w:val="center"/>
              <w:rPr>
                <w:color w:val="auto"/>
                <w:highlight w:val="none"/>
              </w:rPr>
            </w:pPr>
            <w:r>
              <w:rPr>
                <w:rFonts w:hint="eastAsia"/>
                <w:color w:val="auto"/>
                <w:highlight w:val="none"/>
              </w:rPr>
              <w:t>小包费用/台.年(元)</w:t>
            </w:r>
          </w:p>
        </w:tc>
        <w:tc>
          <w:tcPr>
            <w:tcW w:w="2409" w:type="dxa"/>
            <w:vMerge w:val="restart"/>
            <w:vAlign w:val="center"/>
          </w:tcPr>
          <w:p w14:paraId="459911B1">
            <w:pPr>
              <w:spacing w:line="360" w:lineRule="exact"/>
              <w:jc w:val="center"/>
              <w:rPr>
                <w:color w:val="auto"/>
                <w:highlight w:val="none"/>
              </w:rPr>
            </w:pPr>
            <w:r>
              <w:rPr>
                <w:rFonts w:hint="eastAsia"/>
                <w:color w:val="auto"/>
                <w:highlight w:val="none"/>
              </w:rPr>
              <w:t>大包费用/台年(元)</w:t>
            </w:r>
          </w:p>
        </w:tc>
        <w:tc>
          <w:tcPr>
            <w:tcW w:w="1276" w:type="dxa"/>
            <w:vMerge w:val="restart"/>
            <w:vAlign w:val="center"/>
          </w:tcPr>
          <w:p w14:paraId="1C4898FB">
            <w:pPr>
              <w:spacing w:line="360" w:lineRule="exact"/>
              <w:jc w:val="center"/>
              <w:rPr>
                <w:color w:val="auto"/>
                <w:highlight w:val="none"/>
              </w:rPr>
            </w:pPr>
            <w:r>
              <w:rPr>
                <w:rFonts w:hint="eastAsia"/>
                <w:color w:val="auto"/>
                <w:highlight w:val="none"/>
              </w:rPr>
              <w:t>备注</w:t>
            </w:r>
          </w:p>
        </w:tc>
      </w:tr>
      <w:tr w14:paraId="5C18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vMerge w:val="continue"/>
          </w:tcPr>
          <w:p w14:paraId="2C504CDE">
            <w:pPr>
              <w:spacing w:after="120" w:line="300" w:lineRule="auto"/>
              <w:rPr>
                <w:color w:val="auto"/>
                <w:highlight w:val="none"/>
              </w:rPr>
            </w:pPr>
          </w:p>
        </w:tc>
        <w:tc>
          <w:tcPr>
            <w:tcW w:w="2514" w:type="dxa"/>
            <w:vMerge w:val="continue"/>
          </w:tcPr>
          <w:p w14:paraId="1FA19D58">
            <w:pPr>
              <w:spacing w:after="120" w:line="300" w:lineRule="auto"/>
              <w:rPr>
                <w:color w:val="auto"/>
                <w:highlight w:val="none"/>
              </w:rPr>
            </w:pPr>
          </w:p>
        </w:tc>
        <w:tc>
          <w:tcPr>
            <w:tcW w:w="2409" w:type="dxa"/>
            <w:vMerge w:val="continue"/>
          </w:tcPr>
          <w:p w14:paraId="161DF165">
            <w:pPr>
              <w:spacing w:after="120" w:line="300" w:lineRule="auto"/>
              <w:rPr>
                <w:color w:val="auto"/>
                <w:highlight w:val="none"/>
              </w:rPr>
            </w:pPr>
          </w:p>
        </w:tc>
        <w:tc>
          <w:tcPr>
            <w:tcW w:w="1276" w:type="dxa"/>
            <w:vMerge w:val="continue"/>
          </w:tcPr>
          <w:p w14:paraId="15C25A8E">
            <w:pPr>
              <w:spacing w:after="120" w:line="300" w:lineRule="auto"/>
              <w:jc w:val="center"/>
              <w:rPr>
                <w:color w:val="auto"/>
                <w:highlight w:val="none"/>
              </w:rPr>
            </w:pPr>
          </w:p>
        </w:tc>
      </w:tr>
      <w:tr w14:paraId="3B665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391E9736">
            <w:pPr>
              <w:spacing w:after="120" w:line="300" w:lineRule="auto"/>
              <w:rPr>
                <w:color w:val="auto"/>
                <w:highlight w:val="none"/>
              </w:rPr>
            </w:pPr>
          </w:p>
        </w:tc>
        <w:tc>
          <w:tcPr>
            <w:tcW w:w="2514" w:type="dxa"/>
          </w:tcPr>
          <w:p w14:paraId="659BBC1F">
            <w:pPr>
              <w:spacing w:after="120" w:line="300" w:lineRule="auto"/>
              <w:rPr>
                <w:color w:val="auto"/>
                <w:highlight w:val="none"/>
              </w:rPr>
            </w:pPr>
          </w:p>
        </w:tc>
        <w:tc>
          <w:tcPr>
            <w:tcW w:w="2409" w:type="dxa"/>
          </w:tcPr>
          <w:p w14:paraId="228CD25F">
            <w:pPr>
              <w:spacing w:after="120" w:line="300" w:lineRule="auto"/>
              <w:rPr>
                <w:color w:val="auto"/>
                <w:highlight w:val="none"/>
              </w:rPr>
            </w:pPr>
          </w:p>
        </w:tc>
        <w:tc>
          <w:tcPr>
            <w:tcW w:w="1276" w:type="dxa"/>
          </w:tcPr>
          <w:p w14:paraId="0F6F4993">
            <w:pPr>
              <w:spacing w:after="120" w:line="300" w:lineRule="auto"/>
              <w:jc w:val="center"/>
              <w:rPr>
                <w:color w:val="auto"/>
                <w:highlight w:val="none"/>
              </w:rPr>
            </w:pPr>
          </w:p>
        </w:tc>
      </w:tr>
      <w:tr w14:paraId="4A1A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5FF1E6C6">
            <w:pPr>
              <w:spacing w:after="120" w:line="300" w:lineRule="auto"/>
              <w:rPr>
                <w:color w:val="auto"/>
                <w:highlight w:val="none"/>
              </w:rPr>
            </w:pPr>
          </w:p>
        </w:tc>
        <w:tc>
          <w:tcPr>
            <w:tcW w:w="2514" w:type="dxa"/>
          </w:tcPr>
          <w:p w14:paraId="5E2F2FB7">
            <w:pPr>
              <w:spacing w:after="120" w:line="300" w:lineRule="auto"/>
              <w:rPr>
                <w:color w:val="auto"/>
                <w:highlight w:val="none"/>
              </w:rPr>
            </w:pPr>
          </w:p>
        </w:tc>
        <w:tc>
          <w:tcPr>
            <w:tcW w:w="2409" w:type="dxa"/>
          </w:tcPr>
          <w:p w14:paraId="53466E00">
            <w:pPr>
              <w:spacing w:after="120" w:line="300" w:lineRule="auto"/>
              <w:rPr>
                <w:color w:val="auto"/>
                <w:highlight w:val="none"/>
              </w:rPr>
            </w:pPr>
          </w:p>
        </w:tc>
        <w:tc>
          <w:tcPr>
            <w:tcW w:w="1276" w:type="dxa"/>
          </w:tcPr>
          <w:p w14:paraId="4FF6CCC4">
            <w:pPr>
              <w:spacing w:after="120" w:line="300" w:lineRule="auto"/>
              <w:rPr>
                <w:color w:val="auto"/>
                <w:highlight w:val="none"/>
              </w:rPr>
            </w:pPr>
          </w:p>
        </w:tc>
      </w:tr>
      <w:tr w14:paraId="0A72A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7131822A">
            <w:pPr>
              <w:spacing w:after="120" w:line="300" w:lineRule="auto"/>
              <w:rPr>
                <w:color w:val="auto"/>
                <w:highlight w:val="none"/>
              </w:rPr>
            </w:pPr>
          </w:p>
        </w:tc>
        <w:tc>
          <w:tcPr>
            <w:tcW w:w="2514" w:type="dxa"/>
          </w:tcPr>
          <w:p w14:paraId="135B6A7D">
            <w:pPr>
              <w:spacing w:after="120" w:line="300" w:lineRule="auto"/>
              <w:rPr>
                <w:color w:val="auto"/>
                <w:highlight w:val="none"/>
              </w:rPr>
            </w:pPr>
          </w:p>
        </w:tc>
        <w:tc>
          <w:tcPr>
            <w:tcW w:w="2409" w:type="dxa"/>
          </w:tcPr>
          <w:p w14:paraId="3511002C">
            <w:pPr>
              <w:spacing w:after="120" w:line="300" w:lineRule="auto"/>
              <w:rPr>
                <w:color w:val="auto"/>
                <w:highlight w:val="none"/>
              </w:rPr>
            </w:pPr>
          </w:p>
        </w:tc>
        <w:tc>
          <w:tcPr>
            <w:tcW w:w="1276" w:type="dxa"/>
          </w:tcPr>
          <w:p w14:paraId="68406BC1">
            <w:pPr>
              <w:spacing w:after="120" w:line="300" w:lineRule="auto"/>
              <w:rPr>
                <w:color w:val="auto"/>
                <w:highlight w:val="none"/>
              </w:rPr>
            </w:pPr>
          </w:p>
        </w:tc>
      </w:tr>
      <w:tr w14:paraId="79EE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6B9C3165">
            <w:pPr>
              <w:spacing w:after="120" w:line="300" w:lineRule="auto"/>
              <w:rPr>
                <w:color w:val="auto"/>
                <w:highlight w:val="none"/>
              </w:rPr>
            </w:pPr>
          </w:p>
        </w:tc>
        <w:tc>
          <w:tcPr>
            <w:tcW w:w="2514" w:type="dxa"/>
          </w:tcPr>
          <w:p w14:paraId="621FEC4C">
            <w:pPr>
              <w:spacing w:after="120" w:line="300" w:lineRule="auto"/>
              <w:rPr>
                <w:color w:val="auto"/>
                <w:highlight w:val="none"/>
              </w:rPr>
            </w:pPr>
          </w:p>
        </w:tc>
        <w:tc>
          <w:tcPr>
            <w:tcW w:w="2409" w:type="dxa"/>
          </w:tcPr>
          <w:p w14:paraId="7DB8FC24">
            <w:pPr>
              <w:spacing w:after="120" w:line="300" w:lineRule="auto"/>
              <w:rPr>
                <w:color w:val="auto"/>
                <w:highlight w:val="none"/>
              </w:rPr>
            </w:pPr>
          </w:p>
        </w:tc>
        <w:tc>
          <w:tcPr>
            <w:tcW w:w="1276" w:type="dxa"/>
          </w:tcPr>
          <w:p w14:paraId="3CADFDCB">
            <w:pPr>
              <w:spacing w:after="120" w:line="300" w:lineRule="auto"/>
              <w:rPr>
                <w:color w:val="auto"/>
                <w:highlight w:val="none"/>
              </w:rPr>
            </w:pPr>
          </w:p>
        </w:tc>
      </w:tr>
      <w:tr w14:paraId="09309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4235F9E3">
            <w:pPr>
              <w:spacing w:after="120" w:line="300" w:lineRule="auto"/>
              <w:rPr>
                <w:color w:val="auto"/>
                <w:highlight w:val="none"/>
              </w:rPr>
            </w:pPr>
          </w:p>
        </w:tc>
        <w:tc>
          <w:tcPr>
            <w:tcW w:w="2514" w:type="dxa"/>
          </w:tcPr>
          <w:p w14:paraId="2BC057CD">
            <w:pPr>
              <w:spacing w:after="120" w:line="300" w:lineRule="auto"/>
              <w:rPr>
                <w:color w:val="auto"/>
                <w:highlight w:val="none"/>
              </w:rPr>
            </w:pPr>
          </w:p>
        </w:tc>
        <w:tc>
          <w:tcPr>
            <w:tcW w:w="2409" w:type="dxa"/>
          </w:tcPr>
          <w:p w14:paraId="0CF52140">
            <w:pPr>
              <w:spacing w:after="120" w:line="300" w:lineRule="auto"/>
              <w:rPr>
                <w:color w:val="auto"/>
                <w:highlight w:val="none"/>
              </w:rPr>
            </w:pPr>
          </w:p>
        </w:tc>
        <w:tc>
          <w:tcPr>
            <w:tcW w:w="1276" w:type="dxa"/>
          </w:tcPr>
          <w:p w14:paraId="33095C8F">
            <w:pPr>
              <w:spacing w:after="120" w:line="300" w:lineRule="auto"/>
              <w:rPr>
                <w:color w:val="auto"/>
                <w:highlight w:val="none"/>
              </w:rPr>
            </w:pPr>
          </w:p>
        </w:tc>
      </w:tr>
      <w:tr w14:paraId="562C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284F2D85">
            <w:pPr>
              <w:spacing w:after="120" w:line="300" w:lineRule="auto"/>
              <w:rPr>
                <w:color w:val="auto"/>
                <w:highlight w:val="none"/>
              </w:rPr>
            </w:pPr>
          </w:p>
        </w:tc>
        <w:tc>
          <w:tcPr>
            <w:tcW w:w="2514" w:type="dxa"/>
          </w:tcPr>
          <w:p w14:paraId="00920A9B">
            <w:pPr>
              <w:spacing w:after="120" w:line="300" w:lineRule="auto"/>
              <w:rPr>
                <w:color w:val="auto"/>
                <w:highlight w:val="none"/>
              </w:rPr>
            </w:pPr>
          </w:p>
        </w:tc>
        <w:tc>
          <w:tcPr>
            <w:tcW w:w="2409" w:type="dxa"/>
          </w:tcPr>
          <w:p w14:paraId="7DAD9420">
            <w:pPr>
              <w:spacing w:after="120" w:line="300" w:lineRule="auto"/>
              <w:rPr>
                <w:color w:val="auto"/>
                <w:highlight w:val="none"/>
              </w:rPr>
            </w:pPr>
          </w:p>
        </w:tc>
        <w:tc>
          <w:tcPr>
            <w:tcW w:w="1276" w:type="dxa"/>
          </w:tcPr>
          <w:p w14:paraId="07189C32">
            <w:pPr>
              <w:spacing w:after="120" w:line="300" w:lineRule="auto"/>
              <w:rPr>
                <w:color w:val="auto"/>
                <w:highlight w:val="none"/>
              </w:rPr>
            </w:pPr>
          </w:p>
        </w:tc>
      </w:tr>
      <w:tr w14:paraId="5D1D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1295EA60">
            <w:pPr>
              <w:spacing w:after="120" w:line="300" w:lineRule="auto"/>
              <w:rPr>
                <w:color w:val="auto"/>
                <w:highlight w:val="none"/>
              </w:rPr>
            </w:pPr>
          </w:p>
        </w:tc>
        <w:tc>
          <w:tcPr>
            <w:tcW w:w="2514" w:type="dxa"/>
          </w:tcPr>
          <w:p w14:paraId="1C4D0F5D">
            <w:pPr>
              <w:spacing w:after="120" w:line="300" w:lineRule="auto"/>
              <w:rPr>
                <w:color w:val="auto"/>
                <w:highlight w:val="none"/>
              </w:rPr>
            </w:pPr>
          </w:p>
        </w:tc>
        <w:tc>
          <w:tcPr>
            <w:tcW w:w="2409" w:type="dxa"/>
          </w:tcPr>
          <w:p w14:paraId="535315E3">
            <w:pPr>
              <w:spacing w:after="120" w:line="300" w:lineRule="auto"/>
              <w:rPr>
                <w:color w:val="auto"/>
                <w:highlight w:val="none"/>
              </w:rPr>
            </w:pPr>
          </w:p>
        </w:tc>
        <w:tc>
          <w:tcPr>
            <w:tcW w:w="1276" w:type="dxa"/>
          </w:tcPr>
          <w:p w14:paraId="357B7AA9">
            <w:pPr>
              <w:spacing w:after="120" w:line="300" w:lineRule="auto"/>
              <w:rPr>
                <w:color w:val="auto"/>
                <w:highlight w:val="none"/>
              </w:rPr>
            </w:pPr>
          </w:p>
        </w:tc>
      </w:tr>
      <w:tr w14:paraId="38D1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14:paraId="4CEC71E5">
            <w:pPr>
              <w:spacing w:after="120" w:line="300" w:lineRule="auto"/>
              <w:rPr>
                <w:color w:val="auto"/>
                <w:highlight w:val="none"/>
              </w:rPr>
            </w:pPr>
          </w:p>
        </w:tc>
        <w:tc>
          <w:tcPr>
            <w:tcW w:w="2514" w:type="dxa"/>
          </w:tcPr>
          <w:p w14:paraId="25DA3B8E">
            <w:pPr>
              <w:spacing w:after="120" w:line="300" w:lineRule="auto"/>
              <w:rPr>
                <w:color w:val="auto"/>
                <w:highlight w:val="none"/>
              </w:rPr>
            </w:pPr>
          </w:p>
        </w:tc>
        <w:tc>
          <w:tcPr>
            <w:tcW w:w="2409" w:type="dxa"/>
          </w:tcPr>
          <w:p w14:paraId="402B7680">
            <w:pPr>
              <w:spacing w:after="120" w:line="300" w:lineRule="auto"/>
              <w:rPr>
                <w:color w:val="auto"/>
                <w:highlight w:val="none"/>
              </w:rPr>
            </w:pPr>
          </w:p>
        </w:tc>
        <w:tc>
          <w:tcPr>
            <w:tcW w:w="1276" w:type="dxa"/>
          </w:tcPr>
          <w:p w14:paraId="5E6DE404">
            <w:pPr>
              <w:spacing w:after="120" w:line="300" w:lineRule="auto"/>
              <w:rPr>
                <w:color w:val="auto"/>
                <w:highlight w:val="none"/>
              </w:rPr>
            </w:pPr>
          </w:p>
        </w:tc>
      </w:tr>
      <w:tr w14:paraId="11BD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55" w:type="dxa"/>
            <w:gridSpan w:val="4"/>
          </w:tcPr>
          <w:p w14:paraId="508ECF92">
            <w:pPr>
              <w:spacing w:line="360" w:lineRule="exact"/>
              <w:rPr>
                <w:color w:val="auto"/>
                <w:highlight w:val="none"/>
              </w:rPr>
            </w:pPr>
            <w:r>
              <w:rPr>
                <w:rFonts w:hint="eastAsia"/>
                <w:color w:val="auto"/>
                <w:highlight w:val="none"/>
              </w:rPr>
              <w:t>质保期满后所有电梯2年小包费加3年的大包费用（总价）：</w:t>
            </w:r>
          </w:p>
        </w:tc>
      </w:tr>
    </w:tbl>
    <w:p w14:paraId="40A04849">
      <w:pPr>
        <w:spacing w:after="120"/>
        <w:rPr>
          <w:b/>
          <w:color w:val="auto"/>
          <w:highlight w:val="none"/>
        </w:rPr>
      </w:pPr>
      <w:r>
        <w:rPr>
          <w:rFonts w:hint="eastAsia"/>
          <w:b/>
          <w:color w:val="auto"/>
          <w:highlight w:val="none"/>
        </w:rPr>
        <w:t>注：①如果不同型号规格的电梯大小包费用不同，请在表格内分别填写，并在技术标中说明大小包的工作内容和范围。②大小包费用不计入投标总价。</w:t>
      </w:r>
    </w:p>
    <w:p w14:paraId="6001FD72">
      <w:pPr>
        <w:spacing w:after="120"/>
        <w:rPr>
          <w:b/>
          <w:color w:val="auto"/>
          <w:highlight w:val="none"/>
        </w:rPr>
      </w:pPr>
    </w:p>
    <w:p w14:paraId="4764F1F4">
      <w:pPr>
        <w:spacing w:after="120"/>
        <w:rPr>
          <w:b/>
          <w:color w:val="auto"/>
          <w:highlight w:val="none"/>
        </w:rPr>
      </w:pPr>
    </w:p>
    <w:p w14:paraId="06A2FAEE">
      <w:pPr>
        <w:spacing w:after="120"/>
        <w:rPr>
          <w:b/>
          <w:color w:val="auto"/>
          <w:highlight w:val="none"/>
        </w:rPr>
      </w:pPr>
    </w:p>
    <w:p w14:paraId="35813568">
      <w:pPr>
        <w:spacing w:after="120"/>
        <w:rPr>
          <w:color w:val="auto"/>
          <w:highlight w:val="none"/>
        </w:rPr>
      </w:pPr>
      <w:r>
        <w:rPr>
          <w:rFonts w:hint="eastAsia"/>
          <w:color w:val="auto"/>
          <w:highlight w:val="none"/>
        </w:rPr>
        <w:t>法定代表人：（签字或盖章）                         投标人(盖章)：</w:t>
      </w:r>
    </w:p>
    <w:p w14:paraId="38EAB26B">
      <w:pPr>
        <w:spacing w:after="120"/>
        <w:rPr>
          <w:color w:val="auto"/>
          <w:highlight w:val="none"/>
        </w:rPr>
      </w:pPr>
    </w:p>
    <w:p w14:paraId="1ECB9255">
      <w:pPr>
        <w:spacing w:after="120"/>
        <w:rPr>
          <w:color w:val="auto"/>
          <w:highlight w:val="none"/>
        </w:rPr>
      </w:pPr>
      <w:r>
        <w:rPr>
          <w:rFonts w:hint="eastAsia"/>
          <w:color w:val="auto"/>
          <w:highlight w:val="none"/>
        </w:rPr>
        <w:t>日期：</w:t>
      </w:r>
    </w:p>
    <w:p w14:paraId="02B98A18">
      <w:pPr>
        <w:spacing w:after="120"/>
        <w:rPr>
          <w:rFonts w:hint="eastAsia" w:eastAsia="宋体"/>
          <w:bCs/>
          <w:color w:val="auto"/>
          <w:highlight w:val="none"/>
          <w:lang w:eastAsia="zh-CN"/>
        </w:rPr>
      </w:pPr>
      <w:r>
        <w:rPr>
          <w:color w:val="auto"/>
          <w:highlight w:val="none"/>
        </w:rPr>
        <w:br w:type="page"/>
      </w:r>
      <w:bookmarkStart w:id="67" w:name="_Toc34032144"/>
      <w:bookmarkStart w:id="68" w:name="_Toc31343176"/>
      <w:bookmarkStart w:id="69" w:name="_Toc317847133"/>
      <w:r>
        <w:rPr>
          <w:rFonts w:hint="eastAsia"/>
          <w:bCs/>
          <w:color w:val="auto"/>
          <w:highlight w:val="none"/>
        </w:rPr>
        <w:t>附件</w:t>
      </w:r>
      <w:r>
        <w:rPr>
          <w:rFonts w:hint="eastAsia" w:eastAsia="宋体"/>
          <w:bCs/>
          <w:color w:val="auto"/>
          <w:highlight w:val="none"/>
          <w:lang w:val="en-US" w:eastAsia="zh-CN"/>
        </w:rPr>
        <w:t>七</w:t>
      </w:r>
    </w:p>
    <w:p w14:paraId="22F36B93">
      <w:pPr>
        <w:spacing w:line="540" w:lineRule="exact"/>
        <w:jc w:val="center"/>
        <w:rPr>
          <w:b/>
          <w:color w:val="auto"/>
          <w:sz w:val="32"/>
          <w:szCs w:val="32"/>
          <w:highlight w:val="none"/>
        </w:rPr>
      </w:pPr>
      <w:r>
        <w:rPr>
          <w:rFonts w:hint="eastAsia"/>
          <w:b/>
          <w:color w:val="auto"/>
          <w:sz w:val="32"/>
          <w:szCs w:val="32"/>
          <w:highlight w:val="none"/>
        </w:rPr>
        <w:t>驻项目现场的工程技术、管理人员</w:t>
      </w:r>
      <w:bookmarkEnd w:id="67"/>
      <w:bookmarkEnd w:id="68"/>
      <w:bookmarkEnd w:id="69"/>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85"/>
        <w:gridCol w:w="736"/>
        <w:gridCol w:w="736"/>
        <w:gridCol w:w="938"/>
        <w:gridCol w:w="938"/>
        <w:gridCol w:w="1057"/>
        <w:gridCol w:w="1440"/>
        <w:gridCol w:w="1690"/>
      </w:tblGrid>
      <w:tr w14:paraId="261C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6F72AA5D">
            <w:pPr>
              <w:spacing w:after="120"/>
              <w:jc w:val="center"/>
              <w:rPr>
                <w:color w:val="auto"/>
                <w:highlight w:val="none"/>
              </w:rPr>
            </w:pPr>
            <w:r>
              <w:rPr>
                <w:rFonts w:hint="eastAsia"/>
                <w:color w:val="auto"/>
                <w:highlight w:val="none"/>
              </w:rPr>
              <w:t>姓名</w:t>
            </w:r>
          </w:p>
        </w:tc>
        <w:tc>
          <w:tcPr>
            <w:tcW w:w="1185" w:type="dxa"/>
            <w:vAlign w:val="center"/>
          </w:tcPr>
          <w:p w14:paraId="1CFE98F7">
            <w:pPr>
              <w:spacing w:after="120"/>
              <w:jc w:val="center"/>
              <w:rPr>
                <w:color w:val="auto"/>
                <w:highlight w:val="none"/>
              </w:rPr>
            </w:pPr>
            <w:r>
              <w:rPr>
                <w:rFonts w:hint="eastAsia"/>
                <w:color w:val="auto"/>
                <w:highlight w:val="none"/>
              </w:rPr>
              <w:t>本工程拟</w:t>
            </w:r>
          </w:p>
          <w:p w14:paraId="6E3EF3D9">
            <w:pPr>
              <w:spacing w:after="120"/>
              <w:jc w:val="center"/>
              <w:rPr>
                <w:color w:val="auto"/>
                <w:highlight w:val="none"/>
              </w:rPr>
            </w:pPr>
            <w:r>
              <w:rPr>
                <w:rFonts w:hint="eastAsia"/>
                <w:color w:val="auto"/>
                <w:highlight w:val="none"/>
              </w:rPr>
              <w:t>任岗位</w:t>
            </w:r>
          </w:p>
        </w:tc>
        <w:tc>
          <w:tcPr>
            <w:tcW w:w="736" w:type="dxa"/>
            <w:vAlign w:val="center"/>
          </w:tcPr>
          <w:p w14:paraId="001DCDE9">
            <w:pPr>
              <w:spacing w:after="120"/>
              <w:jc w:val="center"/>
              <w:rPr>
                <w:color w:val="auto"/>
                <w:highlight w:val="none"/>
              </w:rPr>
            </w:pPr>
            <w:r>
              <w:rPr>
                <w:rFonts w:hint="eastAsia"/>
                <w:color w:val="auto"/>
                <w:highlight w:val="none"/>
              </w:rPr>
              <w:t>年龄</w:t>
            </w:r>
          </w:p>
        </w:tc>
        <w:tc>
          <w:tcPr>
            <w:tcW w:w="736" w:type="dxa"/>
            <w:vAlign w:val="center"/>
          </w:tcPr>
          <w:p w14:paraId="127123B6">
            <w:pPr>
              <w:spacing w:after="120"/>
              <w:jc w:val="center"/>
              <w:rPr>
                <w:color w:val="auto"/>
                <w:highlight w:val="none"/>
              </w:rPr>
            </w:pPr>
            <w:r>
              <w:rPr>
                <w:rFonts w:hint="eastAsia"/>
                <w:color w:val="auto"/>
                <w:highlight w:val="none"/>
              </w:rPr>
              <w:t>性别</w:t>
            </w:r>
          </w:p>
        </w:tc>
        <w:tc>
          <w:tcPr>
            <w:tcW w:w="938" w:type="dxa"/>
            <w:vAlign w:val="center"/>
          </w:tcPr>
          <w:p w14:paraId="1973BC36">
            <w:pPr>
              <w:spacing w:after="120"/>
              <w:jc w:val="center"/>
              <w:rPr>
                <w:color w:val="auto"/>
                <w:highlight w:val="none"/>
              </w:rPr>
            </w:pPr>
            <w:r>
              <w:rPr>
                <w:rFonts w:hint="eastAsia"/>
                <w:color w:val="auto"/>
                <w:highlight w:val="none"/>
              </w:rPr>
              <w:t>专业</w:t>
            </w:r>
          </w:p>
          <w:p w14:paraId="08082337">
            <w:pPr>
              <w:spacing w:after="120"/>
              <w:jc w:val="center"/>
              <w:rPr>
                <w:color w:val="auto"/>
                <w:highlight w:val="none"/>
              </w:rPr>
            </w:pPr>
            <w:r>
              <w:rPr>
                <w:rFonts w:hint="eastAsia"/>
                <w:color w:val="auto"/>
                <w:highlight w:val="none"/>
              </w:rPr>
              <w:t>学历</w:t>
            </w:r>
          </w:p>
        </w:tc>
        <w:tc>
          <w:tcPr>
            <w:tcW w:w="938" w:type="dxa"/>
            <w:vAlign w:val="center"/>
          </w:tcPr>
          <w:p w14:paraId="3B3BB879">
            <w:pPr>
              <w:spacing w:after="120"/>
              <w:jc w:val="center"/>
              <w:rPr>
                <w:color w:val="auto"/>
                <w:highlight w:val="none"/>
              </w:rPr>
            </w:pPr>
            <w:r>
              <w:rPr>
                <w:rFonts w:hint="eastAsia"/>
                <w:color w:val="auto"/>
                <w:highlight w:val="none"/>
              </w:rPr>
              <w:t>专业</w:t>
            </w:r>
          </w:p>
          <w:p w14:paraId="7D20CE87">
            <w:pPr>
              <w:spacing w:after="120"/>
              <w:jc w:val="center"/>
              <w:rPr>
                <w:color w:val="auto"/>
                <w:highlight w:val="none"/>
              </w:rPr>
            </w:pPr>
            <w:r>
              <w:rPr>
                <w:rFonts w:hint="eastAsia"/>
                <w:color w:val="auto"/>
                <w:highlight w:val="none"/>
              </w:rPr>
              <w:t>年限</w:t>
            </w:r>
          </w:p>
        </w:tc>
        <w:tc>
          <w:tcPr>
            <w:tcW w:w="1057" w:type="dxa"/>
            <w:vAlign w:val="center"/>
          </w:tcPr>
          <w:p w14:paraId="6EA01BE2">
            <w:pPr>
              <w:spacing w:after="120"/>
              <w:jc w:val="center"/>
              <w:rPr>
                <w:color w:val="auto"/>
                <w:highlight w:val="none"/>
              </w:rPr>
            </w:pPr>
            <w:r>
              <w:rPr>
                <w:rFonts w:hint="eastAsia"/>
                <w:color w:val="auto"/>
                <w:highlight w:val="none"/>
              </w:rPr>
              <w:t>现任职务和职称</w:t>
            </w:r>
          </w:p>
        </w:tc>
        <w:tc>
          <w:tcPr>
            <w:tcW w:w="1440" w:type="dxa"/>
            <w:vAlign w:val="center"/>
          </w:tcPr>
          <w:p w14:paraId="0F5A9D46">
            <w:pPr>
              <w:spacing w:after="120"/>
              <w:jc w:val="center"/>
              <w:rPr>
                <w:color w:val="auto"/>
                <w:highlight w:val="none"/>
              </w:rPr>
            </w:pPr>
            <w:r>
              <w:rPr>
                <w:rFonts w:hint="eastAsia"/>
                <w:color w:val="auto"/>
                <w:highlight w:val="none"/>
              </w:rPr>
              <w:t>安排上岗的</w:t>
            </w:r>
          </w:p>
          <w:p w14:paraId="225036C3">
            <w:pPr>
              <w:spacing w:after="120"/>
              <w:jc w:val="center"/>
              <w:rPr>
                <w:color w:val="auto"/>
                <w:highlight w:val="none"/>
              </w:rPr>
            </w:pPr>
            <w:r>
              <w:rPr>
                <w:rFonts w:hint="eastAsia"/>
                <w:color w:val="auto"/>
                <w:highlight w:val="none"/>
              </w:rPr>
              <w:t>起止时间</w:t>
            </w:r>
          </w:p>
        </w:tc>
        <w:tc>
          <w:tcPr>
            <w:tcW w:w="1690" w:type="dxa"/>
            <w:vAlign w:val="center"/>
          </w:tcPr>
          <w:p w14:paraId="7A519062">
            <w:pPr>
              <w:spacing w:after="120"/>
              <w:jc w:val="center"/>
              <w:rPr>
                <w:color w:val="auto"/>
                <w:highlight w:val="none"/>
              </w:rPr>
            </w:pPr>
            <w:r>
              <w:rPr>
                <w:rFonts w:hint="eastAsia"/>
                <w:color w:val="auto"/>
                <w:highlight w:val="none"/>
              </w:rPr>
              <w:t>类似工程的经历、业绩介绍（或另附简历）</w:t>
            </w:r>
          </w:p>
        </w:tc>
      </w:tr>
      <w:tr w14:paraId="20CC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3EAE74B1">
            <w:pPr>
              <w:spacing w:after="120"/>
              <w:jc w:val="center"/>
              <w:rPr>
                <w:b/>
                <w:bCs/>
                <w:color w:val="auto"/>
                <w:highlight w:val="none"/>
              </w:rPr>
            </w:pPr>
          </w:p>
        </w:tc>
        <w:tc>
          <w:tcPr>
            <w:tcW w:w="1185" w:type="dxa"/>
            <w:vAlign w:val="center"/>
          </w:tcPr>
          <w:p w14:paraId="45BF777A">
            <w:pPr>
              <w:spacing w:after="120"/>
              <w:jc w:val="center"/>
              <w:rPr>
                <w:b/>
                <w:bCs/>
                <w:color w:val="auto"/>
                <w:highlight w:val="none"/>
              </w:rPr>
            </w:pPr>
          </w:p>
        </w:tc>
        <w:tc>
          <w:tcPr>
            <w:tcW w:w="736" w:type="dxa"/>
            <w:vAlign w:val="center"/>
          </w:tcPr>
          <w:p w14:paraId="5D57609B">
            <w:pPr>
              <w:spacing w:after="120"/>
              <w:jc w:val="center"/>
              <w:rPr>
                <w:b/>
                <w:bCs/>
                <w:color w:val="auto"/>
                <w:highlight w:val="none"/>
              </w:rPr>
            </w:pPr>
          </w:p>
        </w:tc>
        <w:tc>
          <w:tcPr>
            <w:tcW w:w="736" w:type="dxa"/>
            <w:vAlign w:val="center"/>
          </w:tcPr>
          <w:p w14:paraId="7C21F99D">
            <w:pPr>
              <w:spacing w:after="120"/>
              <w:jc w:val="center"/>
              <w:rPr>
                <w:b/>
                <w:bCs/>
                <w:color w:val="auto"/>
                <w:highlight w:val="none"/>
              </w:rPr>
            </w:pPr>
          </w:p>
        </w:tc>
        <w:tc>
          <w:tcPr>
            <w:tcW w:w="938" w:type="dxa"/>
            <w:vAlign w:val="center"/>
          </w:tcPr>
          <w:p w14:paraId="3E71FE09">
            <w:pPr>
              <w:spacing w:after="120"/>
              <w:jc w:val="center"/>
              <w:rPr>
                <w:b/>
                <w:bCs/>
                <w:color w:val="auto"/>
                <w:highlight w:val="none"/>
              </w:rPr>
            </w:pPr>
          </w:p>
        </w:tc>
        <w:tc>
          <w:tcPr>
            <w:tcW w:w="938" w:type="dxa"/>
            <w:vAlign w:val="center"/>
          </w:tcPr>
          <w:p w14:paraId="362B7ECE">
            <w:pPr>
              <w:spacing w:after="120"/>
              <w:jc w:val="center"/>
              <w:rPr>
                <w:b/>
                <w:bCs/>
                <w:color w:val="auto"/>
                <w:highlight w:val="none"/>
              </w:rPr>
            </w:pPr>
          </w:p>
        </w:tc>
        <w:tc>
          <w:tcPr>
            <w:tcW w:w="1057" w:type="dxa"/>
            <w:vAlign w:val="center"/>
          </w:tcPr>
          <w:p w14:paraId="3DAC6F04">
            <w:pPr>
              <w:spacing w:after="120"/>
              <w:jc w:val="center"/>
              <w:rPr>
                <w:b/>
                <w:bCs/>
                <w:color w:val="auto"/>
                <w:highlight w:val="none"/>
              </w:rPr>
            </w:pPr>
          </w:p>
        </w:tc>
        <w:tc>
          <w:tcPr>
            <w:tcW w:w="1440" w:type="dxa"/>
            <w:vAlign w:val="center"/>
          </w:tcPr>
          <w:p w14:paraId="1B2BBF8D">
            <w:pPr>
              <w:spacing w:after="120"/>
              <w:jc w:val="center"/>
              <w:rPr>
                <w:b/>
                <w:bCs/>
                <w:color w:val="auto"/>
                <w:highlight w:val="none"/>
              </w:rPr>
            </w:pPr>
          </w:p>
        </w:tc>
        <w:tc>
          <w:tcPr>
            <w:tcW w:w="1690" w:type="dxa"/>
            <w:vAlign w:val="center"/>
          </w:tcPr>
          <w:p w14:paraId="7860488E">
            <w:pPr>
              <w:spacing w:after="120"/>
              <w:jc w:val="center"/>
              <w:rPr>
                <w:b/>
                <w:bCs/>
                <w:color w:val="auto"/>
                <w:highlight w:val="none"/>
              </w:rPr>
            </w:pPr>
          </w:p>
        </w:tc>
      </w:tr>
      <w:tr w14:paraId="5BB9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5BEF80E4">
            <w:pPr>
              <w:spacing w:after="120"/>
              <w:jc w:val="center"/>
              <w:rPr>
                <w:b/>
                <w:bCs/>
                <w:color w:val="auto"/>
                <w:highlight w:val="none"/>
              </w:rPr>
            </w:pPr>
          </w:p>
        </w:tc>
        <w:tc>
          <w:tcPr>
            <w:tcW w:w="1185" w:type="dxa"/>
            <w:vAlign w:val="center"/>
          </w:tcPr>
          <w:p w14:paraId="0E308798">
            <w:pPr>
              <w:spacing w:after="120"/>
              <w:jc w:val="center"/>
              <w:rPr>
                <w:b/>
                <w:bCs/>
                <w:color w:val="auto"/>
                <w:highlight w:val="none"/>
              </w:rPr>
            </w:pPr>
          </w:p>
        </w:tc>
        <w:tc>
          <w:tcPr>
            <w:tcW w:w="736" w:type="dxa"/>
            <w:vAlign w:val="center"/>
          </w:tcPr>
          <w:p w14:paraId="76CE80BF">
            <w:pPr>
              <w:spacing w:after="120"/>
              <w:jc w:val="center"/>
              <w:rPr>
                <w:b/>
                <w:bCs/>
                <w:color w:val="auto"/>
                <w:highlight w:val="none"/>
              </w:rPr>
            </w:pPr>
          </w:p>
        </w:tc>
        <w:tc>
          <w:tcPr>
            <w:tcW w:w="736" w:type="dxa"/>
            <w:vAlign w:val="center"/>
          </w:tcPr>
          <w:p w14:paraId="6B2E17DE">
            <w:pPr>
              <w:spacing w:after="120"/>
              <w:jc w:val="center"/>
              <w:rPr>
                <w:b/>
                <w:bCs/>
                <w:color w:val="auto"/>
                <w:highlight w:val="none"/>
              </w:rPr>
            </w:pPr>
          </w:p>
        </w:tc>
        <w:tc>
          <w:tcPr>
            <w:tcW w:w="938" w:type="dxa"/>
            <w:vAlign w:val="center"/>
          </w:tcPr>
          <w:p w14:paraId="6256A2D9">
            <w:pPr>
              <w:spacing w:after="120"/>
              <w:jc w:val="center"/>
              <w:rPr>
                <w:b/>
                <w:bCs/>
                <w:color w:val="auto"/>
                <w:highlight w:val="none"/>
              </w:rPr>
            </w:pPr>
          </w:p>
        </w:tc>
        <w:tc>
          <w:tcPr>
            <w:tcW w:w="938" w:type="dxa"/>
            <w:vAlign w:val="center"/>
          </w:tcPr>
          <w:p w14:paraId="30B23AC5">
            <w:pPr>
              <w:spacing w:after="120"/>
              <w:jc w:val="center"/>
              <w:rPr>
                <w:b/>
                <w:bCs/>
                <w:color w:val="auto"/>
                <w:highlight w:val="none"/>
              </w:rPr>
            </w:pPr>
          </w:p>
        </w:tc>
        <w:tc>
          <w:tcPr>
            <w:tcW w:w="1057" w:type="dxa"/>
            <w:vAlign w:val="center"/>
          </w:tcPr>
          <w:p w14:paraId="40856C89">
            <w:pPr>
              <w:spacing w:after="120"/>
              <w:jc w:val="center"/>
              <w:rPr>
                <w:b/>
                <w:bCs/>
                <w:color w:val="auto"/>
                <w:highlight w:val="none"/>
              </w:rPr>
            </w:pPr>
          </w:p>
        </w:tc>
        <w:tc>
          <w:tcPr>
            <w:tcW w:w="1440" w:type="dxa"/>
            <w:vAlign w:val="center"/>
          </w:tcPr>
          <w:p w14:paraId="59A19CDC">
            <w:pPr>
              <w:spacing w:after="120"/>
              <w:jc w:val="center"/>
              <w:rPr>
                <w:b/>
                <w:bCs/>
                <w:color w:val="auto"/>
                <w:highlight w:val="none"/>
              </w:rPr>
            </w:pPr>
          </w:p>
        </w:tc>
        <w:tc>
          <w:tcPr>
            <w:tcW w:w="1690" w:type="dxa"/>
            <w:vAlign w:val="center"/>
          </w:tcPr>
          <w:p w14:paraId="280B7CA4">
            <w:pPr>
              <w:spacing w:after="120"/>
              <w:jc w:val="center"/>
              <w:rPr>
                <w:b/>
                <w:bCs/>
                <w:color w:val="auto"/>
                <w:highlight w:val="none"/>
              </w:rPr>
            </w:pPr>
          </w:p>
        </w:tc>
      </w:tr>
      <w:tr w14:paraId="6947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70100D9E">
            <w:pPr>
              <w:spacing w:after="120"/>
              <w:jc w:val="center"/>
              <w:rPr>
                <w:b/>
                <w:bCs/>
                <w:color w:val="auto"/>
                <w:highlight w:val="none"/>
              </w:rPr>
            </w:pPr>
          </w:p>
        </w:tc>
        <w:tc>
          <w:tcPr>
            <w:tcW w:w="1185" w:type="dxa"/>
            <w:vAlign w:val="center"/>
          </w:tcPr>
          <w:p w14:paraId="32E7555E">
            <w:pPr>
              <w:spacing w:after="120"/>
              <w:jc w:val="center"/>
              <w:rPr>
                <w:b/>
                <w:bCs/>
                <w:color w:val="auto"/>
                <w:highlight w:val="none"/>
              </w:rPr>
            </w:pPr>
          </w:p>
        </w:tc>
        <w:tc>
          <w:tcPr>
            <w:tcW w:w="736" w:type="dxa"/>
            <w:vAlign w:val="center"/>
          </w:tcPr>
          <w:p w14:paraId="6FC2D16F">
            <w:pPr>
              <w:spacing w:after="120"/>
              <w:jc w:val="center"/>
              <w:rPr>
                <w:b/>
                <w:bCs/>
                <w:color w:val="auto"/>
                <w:highlight w:val="none"/>
              </w:rPr>
            </w:pPr>
          </w:p>
        </w:tc>
        <w:tc>
          <w:tcPr>
            <w:tcW w:w="736" w:type="dxa"/>
            <w:vAlign w:val="center"/>
          </w:tcPr>
          <w:p w14:paraId="1FE98ACF">
            <w:pPr>
              <w:spacing w:after="120"/>
              <w:jc w:val="center"/>
              <w:rPr>
                <w:b/>
                <w:bCs/>
                <w:color w:val="auto"/>
                <w:highlight w:val="none"/>
              </w:rPr>
            </w:pPr>
          </w:p>
        </w:tc>
        <w:tc>
          <w:tcPr>
            <w:tcW w:w="938" w:type="dxa"/>
            <w:vAlign w:val="center"/>
          </w:tcPr>
          <w:p w14:paraId="5D7EE7DC">
            <w:pPr>
              <w:spacing w:after="120"/>
              <w:jc w:val="center"/>
              <w:rPr>
                <w:b/>
                <w:bCs/>
                <w:color w:val="auto"/>
                <w:highlight w:val="none"/>
              </w:rPr>
            </w:pPr>
          </w:p>
        </w:tc>
        <w:tc>
          <w:tcPr>
            <w:tcW w:w="938" w:type="dxa"/>
            <w:vAlign w:val="center"/>
          </w:tcPr>
          <w:p w14:paraId="6891D9C2">
            <w:pPr>
              <w:spacing w:after="120"/>
              <w:jc w:val="center"/>
              <w:rPr>
                <w:b/>
                <w:bCs/>
                <w:color w:val="auto"/>
                <w:highlight w:val="none"/>
              </w:rPr>
            </w:pPr>
          </w:p>
        </w:tc>
        <w:tc>
          <w:tcPr>
            <w:tcW w:w="1057" w:type="dxa"/>
            <w:vAlign w:val="center"/>
          </w:tcPr>
          <w:p w14:paraId="3E5BC477">
            <w:pPr>
              <w:spacing w:after="120"/>
              <w:jc w:val="center"/>
              <w:rPr>
                <w:b/>
                <w:bCs/>
                <w:color w:val="auto"/>
                <w:highlight w:val="none"/>
              </w:rPr>
            </w:pPr>
          </w:p>
        </w:tc>
        <w:tc>
          <w:tcPr>
            <w:tcW w:w="1440" w:type="dxa"/>
            <w:vAlign w:val="center"/>
          </w:tcPr>
          <w:p w14:paraId="618CCCAA">
            <w:pPr>
              <w:spacing w:after="120"/>
              <w:jc w:val="center"/>
              <w:rPr>
                <w:b/>
                <w:bCs/>
                <w:color w:val="auto"/>
                <w:highlight w:val="none"/>
              </w:rPr>
            </w:pPr>
          </w:p>
        </w:tc>
        <w:tc>
          <w:tcPr>
            <w:tcW w:w="1690" w:type="dxa"/>
            <w:vAlign w:val="center"/>
          </w:tcPr>
          <w:p w14:paraId="719481E0">
            <w:pPr>
              <w:spacing w:after="120"/>
              <w:jc w:val="center"/>
              <w:rPr>
                <w:b/>
                <w:bCs/>
                <w:color w:val="auto"/>
                <w:highlight w:val="none"/>
              </w:rPr>
            </w:pPr>
          </w:p>
        </w:tc>
      </w:tr>
      <w:tr w14:paraId="16A5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75080E79">
            <w:pPr>
              <w:spacing w:after="120"/>
              <w:jc w:val="center"/>
              <w:rPr>
                <w:b/>
                <w:bCs/>
                <w:color w:val="auto"/>
                <w:highlight w:val="none"/>
              </w:rPr>
            </w:pPr>
          </w:p>
        </w:tc>
        <w:tc>
          <w:tcPr>
            <w:tcW w:w="1185" w:type="dxa"/>
            <w:vAlign w:val="center"/>
          </w:tcPr>
          <w:p w14:paraId="512022CE">
            <w:pPr>
              <w:spacing w:after="120"/>
              <w:jc w:val="center"/>
              <w:rPr>
                <w:b/>
                <w:bCs/>
                <w:color w:val="auto"/>
                <w:highlight w:val="none"/>
              </w:rPr>
            </w:pPr>
          </w:p>
        </w:tc>
        <w:tc>
          <w:tcPr>
            <w:tcW w:w="736" w:type="dxa"/>
            <w:vAlign w:val="center"/>
          </w:tcPr>
          <w:p w14:paraId="58E41393">
            <w:pPr>
              <w:spacing w:after="120"/>
              <w:jc w:val="center"/>
              <w:rPr>
                <w:b/>
                <w:bCs/>
                <w:color w:val="auto"/>
                <w:highlight w:val="none"/>
              </w:rPr>
            </w:pPr>
          </w:p>
        </w:tc>
        <w:tc>
          <w:tcPr>
            <w:tcW w:w="736" w:type="dxa"/>
            <w:vAlign w:val="center"/>
          </w:tcPr>
          <w:p w14:paraId="40CFC6F8">
            <w:pPr>
              <w:spacing w:after="120"/>
              <w:jc w:val="center"/>
              <w:rPr>
                <w:b/>
                <w:bCs/>
                <w:color w:val="auto"/>
                <w:highlight w:val="none"/>
              </w:rPr>
            </w:pPr>
          </w:p>
        </w:tc>
        <w:tc>
          <w:tcPr>
            <w:tcW w:w="938" w:type="dxa"/>
            <w:vAlign w:val="center"/>
          </w:tcPr>
          <w:p w14:paraId="7E10E664">
            <w:pPr>
              <w:spacing w:after="120"/>
              <w:jc w:val="center"/>
              <w:rPr>
                <w:b/>
                <w:bCs/>
                <w:color w:val="auto"/>
                <w:highlight w:val="none"/>
              </w:rPr>
            </w:pPr>
          </w:p>
        </w:tc>
        <w:tc>
          <w:tcPr>
            <w:tcW w:w="938" w:type="dxa"/>
            <w:vAlign w:val="center"/>
          </w:tcPr>
          <w:p w14:paraId="69638369">
            <w:pPr>
              <w:spacing w:after="120"/>
              <w:jc w:val="center"/>
              <w:rPr>
                <w:b/>
                <w:bCs/>
                <w:color w:val="auto"/>
                <w:highlight w:val="none"/>
              </w:rPr>
            </w:pPr>
          </w:p>
        </w:tc>
        <w:tc>
          <w:tcPr>
            <w:tcW w:w="1057" w:type="dxa"/>
            <w:vAlign w:val="center"/>
          </w:tcPr>
          <w:p w14:paraId="29B5415E">
            <w:pPr>
              <w:spacing w:after="120"/>
              <w:jc w:val="center"/>
              <w:rPr>
                <w:b/>
                <w:bCs/>
                <w:color w:val="auto"/>
                <w:highlight w:val="none"/>
              </w:rPr>
            </w:pPr>
          </w:p>
        </w:tc>
        <w:tc>
          <w:tcPr>
            <w:tcW w:w="1440" w:type="dxa"/>
            <w:vAlign w:val="center"/>
          </w:tcPr>
          <w:p w14:paraId="29996E0B">
            <w:pPr>
              <w:spacing w:after="120"/>
              <w:jc w:val="center"/>
              <w:rPr>
                <w:b/>
                <w:bCs/>
                <w:color w:val="auto"/>
                <w:highlight w:val="none"/>
              </w:rPr>
            </w:pPr>
          </w:p>
        </w:tc>
        <w:tc>
          <w:tcPr>
            <w:tcW w:w="1690" w:type="dxa"/>
            <w:vAlign w:val="center"/>
          </w:tcPr>
          <w:p w14:paraId="7E1F6CFD">
            <w:pPr>
              <w:spacing w:after="120"/>
              <w:jc w:val="center"/>
              <w:rPr>
                <w:b/>
                <w:bCs/>
                <w:color w:val="auto"/>
                <w:highlight w:val="none"/>
              </w:rPr>
            </w:pPr>
          </w:p>
        </w:tc>
      </w:tr>
      <w:tr w14:paraId="53281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5ABC40CC">
            <w:pPr>
              <w:spacing w:after="120"/>
              <w:jc w:val="center"/>
              <w:rPr>
                <w:b/>
                <w:bCs/>
                <w:color w:val="auto"/>
                <w:highlight w:val="none"/>
              </w:rPr>
            </w:pPr>
          </w:p>
        </w:tc>
        <w:tc>
          <w:tcPr>
            <w:tcW w:w="1185" w:type="dxa"/>
            <w:vAlign w:val="center"/>
          </w:tcPr>
          <w:p w14:paraId="030EC0DC">
            <w:pPr>
              <w:spacing w:after="120"/>
              <w:jc w:val="center"/>
              <w:rPr>
                <w:b/>
                <w:bCs/>
                <w:color w:val="auto"/>
                <w:highlight w:val="none"/>
              </w:rPr>
            </w:pPr>
          </w:p>
        </w:tc>
        <w:tc>
          <w:tcPr>
            <w:tcW w:w="736" w:type="dxa"/>
            <w:vAlign w:val="center"/>
          </w:tcPr>
          <w:p w14:paraId="680956DD">
            <w:pPr>
              <w:spacing w:after="120"/>
              <w:jc w:val="center"/>
              <w:rPr>
                <w:b/>
                <w:bCs/>
                <w:color w:val="auto"/>
                <w:highlight w:val="none"/>
              </w:rPr>
            </w:pPr>
          </w:p>
        </w:tc>
        <w:tc>
          <w:tcPr>
            <w:tcW w:w="736" w:type="dxa"/>
            <w:vAlign w:val="center"/>
          </w:tcPr>
          <w:p w14:paraId="49565D2A">
            <w:pPr>
              <w:spacing w:after="120"/>
              <w:jc w:val="center"/>
              <w:rPr>
                <w:b/>
                <w:bCs/>
                <w:color w:val="auto"/>
                <w:highlight w:val="none"/>
              </w:rPr>
            </w:pPr>
          </w:p>
        </w:tc>
        <w:tc>
          <w:tcPr>
            <w:tcW w:w="938" w:type="dxa"/>
            <w:vAlign w:val="center"/>
          </w:tcPr>
          <w:p w14:paraId="1140EEED">
            <w:pPr>
              <w:spacing w:after="120"/>
              <w:jc w:val="center"/>
              <w:rPr>
                <w:b/>
                <w:bCs/>
                <w:color w:val="auto"/>
                <w:highlight w:val="none"/>
              </w:rPr>
            </w:pPr>
          </w:p>
        </w:tc>
        <w:tc>
          <w:tcPr>
            <w:tcW w:w="938" w:type="dxa"/>
            <w:vAlign w:val="center"/>
          </w:tcPr>
          <w:p w14:paraId="031AA556">
            <w:pPr>
              <w:spacing w:after="120"/>
              <w:jc w:val="center"/>
              <w:rPr>
                <w:b/>
                <w:bCs/>
                <w:color w:val="auto"/>
                <w:highlight w:val="none"/>
              </w:rPr>
            </w:pPr>
          </w:p>
        </w:tc>
        <w:tc>
          <w:tcPr>
            <w:tcW w:w="1057" w:type="dxa"/>
            <w:vAlign w:val="center"/>
          </w:tcPr>
          <w:p w14:paraId="3045804D">
            <w:pPr>
              <w:spacing w:after="120"/>
              <w:jc w:val="center"/>
              <w:rPr>
                <w:b/>
                <w:bCs/>
                <w:color w:val="auto"/>
                <w:highlight w:val="none"/>
              </w:rPr>
            </w:pPr>
          </w:p>
        </w:tc>
        <w:tc>
          <w:tcPr>
            <w:tcW w:w="1440" w:type="dxa"/>
            <w:vAlign w:val="center"/>
          </w:tcPr>
          <w:p w14:paraId="7557DC51">
            <w:pPr>
              <w:spacing w:after="120"/>
              <w:jc w:val="center"/>
              <w:rPr>
                <w:b/>
                <w:bCs/>
                <w:color w:val="auto"/>
                <w:highlight w:val="none"/>
              </w:rPr>
            </w:pPr>
          </w:p>
        </w:tc>
        <w:tc>
          <w:tcPr>
            <w:tcW w:w="1690" w:type="dxa"/>
            <w:vAlign w:val="center"/>
          </w:tcPr>
          <w:p w14:paraId="46AC182B">
            <w:pPr>
              <w:spacing w:after="120"/>
              <w:jc w:val="center"/>
              <w:rPr>
                <w:b/>
                <w:bCs/>
                <w:color w:val="auto"/>
                <w:highlight w:val="none"/>
              </w:rPr>
            </w:pPr>
          </w:p>
        </w:tc>
      </w:tr>
      <w:tr w14:paraId="3681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43F3B6B1">
            <w:pPr>
              <w:spacing w:after="120"/>
              <w:jc w:val="center"/>
              <w:rPr>
                <w:b/>
                <w:bCs/>
                <w:color w:val="auto"/>
                <w:highlight w:val="none"/>
              </w:rPr>
            </w:pPr>
          </w:p>
        </w:tc>
        <w:tc>
          <w:tcPr>
            <w:tcW w:w="1185" w:type="dxa"/>
            <w:vAlign w:val="center"/>
          </w:tcPr>
          <w:p w14:paraId="77B472BF">
            <w:pPr>
              <w:spacing w:after="120"/>
              <w:jc w:val="center"/>
              <w:rPr>
                <w:b/>
                <w:bCs/>
                <w:color w:val="auto"/>
                <w:highlight w:val="none"/>
              </w:rPr>
            </w:pPr>
          </w:p>
        </w:tc>
        <w:tc>
          <w:tcPr>
            <w:tcW w:w="736" w:type="dxa"/>
            <w:vAlign w:val="center"/>
          </w:tcPr>
          <w:p w14:paraId="60A31068">
            <w:pPr>
              <w:spacing w:after="120"/>
              <w:jc w:val="center"/>
              <w:rPr>
                <w:b/>
                <w:bCs/>
                <w:color w:val="auto"/>
                <w:highlight w:val="none"/>
              </w:rPr>
            </w:pPr>
          </w:p>
        </w:tc>
        <w:tc>
          <w:tcPr>
            <w:tcW w:w="736" w:type="dxa"/>
            <w:vAlign w:val="center"/>
          </w:tcPr>
          <w:p w14:paraId="6AB94BE8">
            <w:pPr>
              <w:spacing w:after="120"/>
              <w:jc w:val="center"/>
              <w:rPr>
                <w:b/>
                <w:bCs/>
                <w:color w:val="auto"/>
                <w:highlight w:val="none"/>
              </w:rPr>
            </w:pPr>
          </w:p>
        </w:tc>
        <w:tc>
          <w:tcPr>
            <w:tcW w:w="938" w:type="dxa"/>
            <w:vAlign w:val="center"/>
          </w:tcPr>
          <w:p w14:paraId="61A1F339">
            <w:pPr>
              <w:spacing w:after="120"/>
              <w:jc w:val="center"/>
              <w:rPr>
                <w:b/>
                <w:bCs/>
                <w:color w:val="auto"/>
                <w:highlight w:val="none"/>
              </w:rPr>
            </w:pPr>
          </w:p>
        </w:tc>
        <w:tc>
          <w:tcPr>
            <w:tcW w:w="938" w:type="dxa"/>
            <w:vAlign w:val="center"/>
          </w:tcPr>
          <w:p w14:paraId="1CFCB9C9">
            <w:pPr>
              <w:spacing w:after="120"/>
              <w:jc w:val="center"/>
              <w:rPr>
                <w:b/>
                <w:bCs/>
                <w:color w:val="auto"/>
                <w:highlight w:val="none"/>
              </w:rPr>
            </w:pPr>
          </w:p>
        </w:tc>
        <w:tc>
          <w:tcPr>
            <w:tcW w:w="1057" w:type="dxa"/>
            <w:vAlign w:val="center"/>
          </w:tcPr>
          <w:p w14:paraId="267012F6">
            <w:pPr>
              <w:spacing w:after="120"/>
              <w:jc w:val="center"/>
              <w:rPr>
                <w:b/>
                <w:bCs/>
                <w:color w:val="auto"/>
                <w:highlight w:val="none"/>
              </w:rPr>
            </w:pPr>
          </w:p>
        </w:tc>
        <w:tc>
          <w:tcPr>
            <w:tcW w:w="1440" w:type="dxa"/>
            <w:vAlign w:val="center"/>
          </w:tcPr>
          <w:p w14:paraId="34943106">
            <w:pPr>
              <w:spacing w:after="120"/>
              <w:jc w:val="center"/>
              <w:rPr>
                <w:b/>
                <w:bCs/>
                <w:color w:val="auto"/>
                <w:highlight w:val="none"/>
              </w:rPr>
            </w:pPr>
          </w:p>
        </w:tc>
        <w:tc>
          <w:tcPr>
            <w:tcW w:w="1690" w:type="dxa"/>
            <w:vAlign w:val="center"/>
          </w:tcPr>
          <w:p w14:paraId="34297BDC">
            <w:pPr>
              <w:spacing w:after="120"/>
              <w:jc w:val="center"/>
              <w:rPr>
                <w:b/>
                <w:bCs/>
                <w:color w:val="auto"/>
                <w:highlight w:val="none"/>
              </w:rPr>
            </w:pPr>
          </w:p>
        </w:tc>
      </w:tr>
      <w:tr w14:paraId="7F6A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224F3DD7">
            <w:pPr>
              <w:spacing w:after="120"/>
              <w:jc w:val="center"/>
              <w:rPr>
                <w:b/>
                <w:bCs/>
                <w:color w:val="auto"/>
                <w:highlight w:val="none"/>
              </w:rPr>
            </w:pPr>
          </w:p>
        </w:tc>
        <w:tc>
          <w:tcPr>
            <w:tcW w:w="1185" w:type="dxa"/>
            <w:vAlign w:val="center"/>
          </w:tcPr>
          <w:p w14:paraId="55042643">
            <w:pPr>
              <w:spacing w:after="120"/>
              <w:jc w:val="center"/>
              <w:rPr>
                <w:b/>
                <w:bCs/>
                <w:color w:val="auto"/>
                <w:highlight w:val="none"/>
              </w:rPr>
            </w:pPr>
          </w:p>
        </w:tc>
        <w:tc>
          <w:tcPr>
            <w:tcW w:w="736" w:type="dxa"/>
            <w:vAlign w:val="center"/>
          </w:tcPr>
          <w:p w14:paraId="1B3CCB48">
            <w:pPr>
              <w:spacing w:after="120"/>
              <w:jc w:val="center"/>
              <w:rPr>
                <w:b/>
                <w:bCs/>
                <w:color w:val="auto"/>
                <w:highlight w:val="none"/>
              </w:rPr>
            </w:pPr>
          </w:p>
        </w:tc>
        <w:tc>
          <w:tcPr>
            <w:tcW w:w="736" w:type="dxa"/>
            <w:vAlign w:val="center"/>
          </w:tcPr>
          <w:p w14:paraId="064F5510">
            <w:pPr>
              <w:spacing w:after="120"/>
              <w:jc w:val="center"/>
              <w:rPr>
                <w:b/>
                <w:bCs/>
                <w:color w:val="auto"/>
                <w:highlight w:val="none"/>
              </w:rPr>
            </w:pPr>
          </w:p>
        </w:tc>
        <w:tc>
          <w:tcPr>
            <w:tcW w:w="938" w:type="dxa"/>
            <w:vAlign w:val="center"/>
          </w:tcPr>
          <w:p w14:paraId="2C7EFA5D">
            <w:pPr>
              <w:spacing w:after="120"/>
              <w:jc w:val="center"/>
              <w:rPr>
                <w:b/>
                <w:bCs/>
                <w:color w:val="auto"/>
                <w:highlight w:val="none"/>
              </w:rPr>
            </w:pPr>
          </w:p>
        </w:tc>
        <w:tc>
          <w:tcPr>
            <w:tcW w:w="938" w:type="dxa"/>
            <w:vAlign w:val="center"/>
          </w:tcPr>
          <w:p w14:paraId="1E579A6D">
            <w:pPr>
              <w:spacing w:after="120"/>
              <w:jc w:val="center"/>
              <w:rPr>
                <w:b/>
                <w:bCs/>
                <w:color w:val="auto"/>
                <w:highlight w:val="none"/>
              </w:rPr>
            </w:pPr>
          </w:p>
        </w:tc>
        <w:tc>
          <w:tcPr>
            <w:tcW w:w="1057" w:type="dxa"/>
            <w:vAlign w:val="center"/>
          </w:tcPr>
          <w:p w14:paraId="21CC1CDE">
            <w:pPr>
              <w:spacing w:after="120"/>
              <w:jc w:val="center"/>
              <w:rPr>
                <w:b/>
                <w:bCs/>
                <w:color w:val="auto"/>
                <w:highlight w:val="none"/>
              </w:rPr>
            </w:pPr>
          </w:p>
        </w:tc>
        <w:tc>
          <w:tcPr>
            <w:tcW w:w="1440" w:type="dxa"/>
            <w:vAlign w:val="center"/>
          </w:tcPr>
          <w:p w14:paraId="2E7C3F40">
            <w:pPr>
              <w:spacing w:after="120"/>
              <w:jc w:val="center"/>
              <w:rPr>
                <w:b/>
                <w:bCs/>
                <w:color w:val="auto"/>
                <w:highlight w:val="none"/>
              </w:rPr>
            </w:pPr>
          </w:p>
        </w:tc>
        <w:tc>
          <w:tcPr>
            <w:tcW w:w="1690" w:type="dxa"/>
            <w:vAlign w:val="center"/>
          </w:tcPr>
          <w:p w14:paraId="6F93427A">
            <w:pPr>
              <w:spacing w:after="120"/>
              <w:jc w:val="center"/>
              <w:rPr>
                <w:b/>
                <w:bCs/>
                <w:color w:val="auto"/>
                <w:highlight w:val="none"/>
              </w:rPr>
            </w:pPr>
          </w:p>
        </w:tc>
      </w:tr>
      <w:tr w14:paraId="6EBE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2B1C59B4">
            <w:pPr>
              <w:spacing w:after="120"/>
              <w:jc w:val="center"/>
              <w:rPr>
                <w:b/>
                <w:bCs/>
                <w:color w:val="auto"/>
                <w:highlight w:val="none"/>
              </w:rPr>
            </w:pPr>
          </w:p>
        </w:tc>
        <w:tc>
          <w:tcPr>
            <w:tcW w:w="1185" w:type="dxa"/>
            <w:vAlign w:val="center"/>
          </w:tcPr>
          <w:p w14:paraId="79AA1857">
            <w:pPr>
              <w:spacing w:after="120"/>
              <w:jc w:val="center"/>
              <w:rPr>
                <w:b/>
                <w:bCs/>
                <w:color w:val="auto"/>
                <w:highlight w:val="none"/>
              </w:rPr>
            </w:pPr>
          </w:p>
        </w:tc>
        <w:tc>
          <w:tcPr>
            <w:tcW w:w="736" w:type="dxa"/>
            <w:vAlign w:val="center"/>
          </w:tcPr>
          <w:p w14:paraId="0D74CC87">
            <w:pPr>
              <w:spacing w:after="120"/>
              <w:jc w:val="center"/>
              <w:rPr>
                <w:b/>
                <w:bCs/>
                <w:color w:val="auto"/>
                <w:highlight w:val="none"/>
              </w:rPr>
            </w:pPr>
          </w:p>
        </w:tc>
        <w:tc>
          <w:tcPr>
            <w:tcW w:w="736" w:type="dxa"/>
            <w:vAlign w:val="center"/>
          </w:tcPr>
          <w:p w14:paraId="54D70187">
            <w:pPr>
              <w:spacing w:after="120"/>
              <w:jc w:val="center"/>
              <w:rPr>
                <w:b/>
                <w:bCs/>
                <w:color w:val="auto"/>
                <w:highlight w:val="none"/>
              </w:rPr>
            </w:pPr>
          </w:p>
        </w:tc>
        <w:tc>
          <w:tcPr>
            <w:tcW w:w="938" w:type="dxa"/>
            <w:vAlign w:val="center"/>
          </w:tcPr>
          <w:p w14:paraId="57627182">
            <w:pPr>
              <w:spacing w:after="120"/>
              <w:jc w:val="center"/>
              <w:rPr>
                <w:b/>
                <w:bCs/>
                <w:color w:val="auto"/>
                <w:highlight w:val="none"/>
              </w:rPr>
            </w:pPr>
          </w:p>
        </w:tc>
        <w:tc>
          <w:tcPr>
            <w:tcW w:w="938" w:type="dxa"/>
            <w:vAlign w:val="center"/>
          </w:tcPr>
          <w:p w14:paraId="76A95D6B">
            <w:pPr>
              <w:spacing w:after="120"/>
              <w:jc w:val="center"/>
              <w:rPr>
                <w:b/>
                <w:bCs/>
                <w:color w:val="auto"/>
                <w:highlight w:val="none"/>
              </w:rPr>
            </w:pPr>
          </w:p>
        </w:tc>
        <w:tc>
          <w:tcPr>
            <w:tcW w:w="1057" w:type="dxa"/>
            <w:vAlign w:val="center"/>
          </w:tcPr>
          <w:p w14:paraId="5A71BFDD">
            <w:pPr>
              <w:spacing w:after="120"/>
              <w:jc w:val="center"/>
              <w:rPr>
                <w:b/>
                <w:bCs/>
                <w:color w:val="auto"/>
                <w:highlight w:val="none"/>
              </w:rPr>
            </w:pPr>
          </w:p>
        </w:tc>
        <w:tc>
          <w:tcPr>
            <w:tcW w:w="1440" w:type="dxa"/>
            <w:vAlign w:val="center"/>
          </w:tcPr>
          <w:p w14:paraId="58DA7400">
            <w:pPr>
              <w:spacing w:after="120"/>
              <w:jc w:val="center"/>
              <w:rPr>
                <w:b/>
                <w:bCs/>
                <w:color w:val="auto"/>
                <w:highlight w:val="none"/>
              </w:rPr>
            </w:pPr>
          </w:p>
        </w:tc>
        <w:tc>
          <w:tcPr>
            <w:tcW w:w="1690" w:type="dxa"/>
            <w:vAlign w:val="center"/>
          </w:tcPr>
          <w:p w14:paraId="4FA1015C">
            <w:pPr>
              <w:spacing w:after="120"/>
              <w:jc w:val="center"/>
              <w:rPr>
                <w:b/>
                <w:bCs/>
                <w:color w:val="auto"/>
                <w:highlight w:val="none"/>
              </w:rPr>
            </w:pPr>
          </w:p>
        </w:tc>
      </w:tr>
      <w:tr w14:paraId="634AF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0BFA068C">
            <w:pPr>
              <w:spacing w:after="120"/>
              <w:jc w:val="center"/>
              <w:rPr>
                <w:b/>
                <w:bCs/>
                <w:color w:val="auto"/>
                <w:highlight w:val="none"/>
              </w:rPr>
            </w:pPr>
          </w:p>
        </w:tc>
        <w:tc>
          <w:tcPr>
            <w:tcW w:w="1185" w:type="dxa"/>
            <w:vAlign w:val="center"/>
          </w:tcPr>
          <w:p w14:paraId="11D9E255">
            <w:pPr>
              <w:spacing w:after="120"/>
              <w:jc w:val="center"/>
              <w:rPr>
                <w:b/>
                <w:bCs/>
                <w:color w:val="auto"/>
                <w:highlight w:val="none"/>
              </w:rPr>
            </w:pPr>
          </w:p>
        </w:tc>
        <w:tc>
          <w:tcPr>
            <w:tcW w:w="736" w:type="dxa"/>
            <w:vAlign w:val="center"/>
          </w:tcPr>
          <w:p w14:paraId="6ECC9691">
            <w:pPr>
              <w:spacing w:after="120"/>
              <w:jc w:val="center"/>
              <w:rPr>
                <w:b/>
                <w:bCs/>
                <w:color w:val="auto"/>
                <w:highlight w:val="none"/>
              </w:rPr>
            </w:pPr>
          </w:p>
        </w:tc>
        <w:tc>
          <w:tcPr>
            <w:tcW w:w="736" w:type="dxa"/>
            <w:vAlign w:val="center"/>
          </w:tcPr>
          <w:p w14:paraId="39B921A7">
            <w:pPr>
              <w:spacing w:after="120"/>
              <w:jc w:val="center"/>
              <w:rPr>
                <w:b/>
                <w:bCs/>
                <w:color w:val="auto"/>
                <w:highlight w:val="none"/>
              </w:rPr>
            </w:pPr>
          </w:p>
        </w:tc>
        <w:tc>
          <w:tcPr>
            <w:tcW w:w="938" w:type="dxa"/>
            <w:vAlign w:val="center"/>
          </w:tcPr>
          <w:p w14:paraId="0E4CC994">
            <w:pPr>
              <w:spacing w:after="120"/>
              <w:jc w:val="center"/>
              <w:rPr>
                <w:b/>
                <w:bCs/>
                <w:color w:val="auto"/>
                <w:highlight w:val="none"/>
              </w:rPr>
            </w:pPr>
          </w:p>
        </w:tc>
        <w:tc>
          <w:tcPr>
            <w:tcW w:w="938" w:type="dxa"/>
            <w:vAlign w:val="center"/>
          </w:tcPr>
          <w:p w14:paraId="32DDF84D">
            <w:pPr>
              <w:spacing w:after="120"/>
              <w:jc w:val="center"/>
              <w:rPr>
                <w:b/>
                <w:bCs/>
                <w:color w:val="auto"/>
                <w:highlight w:val="none"/>
              </w:rPr>
            </w:pPr>
          </w:p>
        </w:tc>
        <w:tc>
          <w:tcPr>
            <w:tcW w:w="1057" w:type="dxa"/>
            <w:vAlign w:val="center"/>
          </w:tcPr>
          <w:p w14:paraId="088B6B08">
            <w:pPr>
              <w:spacing w:after="120"/>
              <w:jc w:val="center"/>
              <w:rPr>
                <w:b/>
                <w:bCs/>
                <w:color w:val="auto"/>
                <w:highlight w:val="none"/>
              </w:rPr>
            </w:pPr>
          </w:p>
        </w:tc>
        <w:tc>
          <w:tcPr>
            <w:tcW w:w="1440" w:type="dxa"/>
            <w:vAlign w:val="center"/>
          </w:tcPr>
          <w:p w14:paraId="6795C934">
            <w:pPr>
              <w:spacing w:after="120"/>
              <w:jc w:val="center"/>
              <w:rPr>
                <w:b/>
                <w:bCs/>
                <w:color w:val="auto"/>
                <w:highlight w:val="none"/>
              </w:rPr>
            </w:pPr>
          </w:p>
        </w:tc>
        <w:tc>
          <w:tcPr>
            <w:tcW w:w="1690" w:type="dxa"/>
            <w:vAlign w:val="center"/>
          </w:tcPr>
          <w:p w14:paraId="7854ABAD">
            <w:pPr>
              <w:spacing w:after="120"/>
              <w:jc w:val="center"/>
              <w:rPr>
                <w:b/>
                <w:bCs/>
                <w:color w:val="auto"/>
                <w:highlight w:val="none"/>
              </w:rPr>
            </w:pPr>
          </w:p>
        </w:tc>
      </w:tr>
    </w:tbl>
    <w:p w14:paraId="4E48A0DB">
      <w:pPr>
        <w:spacing w:after="120" w:line="360" w:lineRule="auto"/>
        <w:ind w:firstLine="315" w:firstLineChars="150"/>
        <w:rPr>
          <w:color w:val="auto"/>
          <w:highlight w:val="none"/>
        </w:rPr>
      </w:pPr>
      <w:r>
        <w:rPr>
          <w:rFonts w:hint="eastAsia"/>
          <w:color w:val="auto"/>
          <w:highlight w:val="none"/>
        </w:rPr>
        <w:t>注：</w:t>
      </w:r>
      <w:r>
        <w:rPr>
          <w:color w:val="auto"/>
          <w:highlight w:val="none"/>
        </w:rPr>
        <w:t>1、我方单位的项目经理、技术负责、施工、质量、安全、材料、财务以及各主要专业工种负责人均已列入。</w:t>
      </w:r>
    </w:p>
    <w:p w14:paraId="534FC986">
      <w:pPr>
        <w:spacing w:after="120" w:line="360" w:lineRule="auto"/>
        <w:ind w:firstLine="315" w:firstLineChars="150"/>
        <w:rPr>
          <w:color w:val="auto"/>
          <w:highlight w:val="none"/>
        </w:rPr>
      </w:pPr>
      <w:r>
        <w:rPr>
          <w:color w:val="auto"/>
          <w:highlight w:val="none"/>
        </w:rPr>
        <w:t>2、列入本表人员的更换须经招标人单位同意，擅自更换或不到位均属违纪行为。</w:t>
      </w:r>
    </w:p>
    <w:p w14:paraId="36F2FCF6">
      <w:pPr>
        <w:spacing w:after="120" w:line="360" w:lineRule="auto"/>
        <w:ind w:firstLine="315" w:firstLineChars="150"/>
        <w:rPr>
          <w:color w:val="auto"/>
          <w:highlight w:val="none"/>
        </w:rPr>
      </w:pPr>
    </w:p>
    <w:p w14:paraId="22DF36B2">
      <w:pPr>
        <w:spacing w:after="120" w:line="360" w:lineRule="auto"/>
        <w:ind w:firstLine="315" w:firstLineChars="150"/>
        <w:rPr>
          <w:color w:val="auto"/>
          <w:highlight w:val="none"/>
        </w:rPr>
      </w:pPr>
    </w:p>
    <w:p w14:paraId="68420F85">
      <w:pPr>
        <w:spacing w:after="120"/>
        <w:rPr>
          <w:color w:val="auto"/>
          <w:highlight w:val="none"/>
        </w:rPr>
      </w:pPr>
      <w:r>
        <w:rPr>
          <w:rFonts w:hint="eastAsia"/>
          <w:color w:val="auto"/>
          <w:highlight w:val="none"/>
        </w:rPr>
        <w:t>法定代表人：（签字或盖章）                         投标人(盖章)：</w:t>
      </w:r>
    </w:p>
    <w:p w14:paraId="495A5EBF">
      <w:pPr>
        <w:spacing w:after="120"/>
        <w:rPr>
          <w:color w:val="auto"/>
          <w:highlight w:val="none"/>
        </w:rPr>
      </w:pPr>
    </w:p>
    <w:p w14:paraId="2AF1A1C6">
      <w:pPr>
        <w:spacing w:after="120"/>
        <w:rPr>
          <w:color w:val="auto"/>
          <w:highlight w:val="none"/>
        </w:rPr>
      </w:pPr>
      <w:r>
        <w:rPr>
          <w:rFonts w:hint="eastAsia"/>
          <w:color w:val="auto"/>
          <w:highlight w:val="none"/>
        </w:rPr>
        <w:t>日期：</w:t>
      </w:r>
    </w:p>
    <w:p w14:paraId="12D80159">
      <w:pPr>
        <w:spacing w:after="120"/>
        <w:rPr>
          <w:color w:val="auto"/>
          <w:highlight w:val="none"/>
        </w:rPr>
      </w:pPr>
    </w:p>
    <w:p w14:paraId="03B873B3">
      <w:pPr>
        <w:rPr>
          <w:color w:val="auto"/>
          <w:highlight w:val="none"/>
        </w:rPr>
      </w:pPr>
      <w:r>
        <w:rPr>
          <w:color w:val="auto"/>
          <w:highlight w:val="none"/>
        </w:rPr>
        <w:br w:type="page"/>
      </w:r>
    </w:p>
    <w:p w14:paraId="3C443D99">
      <w:pPr>
        <w:pStyle w:val="21"/>
        <w:jc w:val="both"/>
        <w:rPr>
          <w:color w:val="auto"/>
          <w:highlight w:val="none"/>
        </w:rPr>
      </w:pPr>
    </w:p>
    <w:p w14:paraId="3B9923A6">
      <w:pPr>
        <w:jc w:val="center"/>
        <w:rPr>
          <w:rFonts w:ascii="黑体" w:eastAsia="黑体"/>
          <w:color w:val="auto"/>
          <w:sz w:val="32"/>
          <w:szCs w:val="32"/>
          <w:highlight w:val="none"/>
        </w:rPr>
      </w:pPr>
    </w:p>
    <w:p w14:paraId="7CED4AD8">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（项目名称）招标</w:t>
      </w:r>
      <w:r>
        <w:rPr>
          <w:rFonts w:hint="eastAsia"/>
          <w:color w:val="auto"/>
          <w:sz w:val="28"/>
          <w:szCs w:val="28"/>
          <w:highlight w:val="none"/>
        </w:rPr>
        <w:cr/>
      </w:r>
    </w:p>
    <w:p w14:paraId="6F0CF7FC">
      <w:pPr>
        <w:rPr>
          <w:color w:val="auto"/>
          <w:sz w:val="28"/>
          <w:szCs w:val="28"/>
          <w:highlight w:val="none"/>
        </w:rPr>
      </w:pPr>
    </w:p>
    <w:p w14:paraId="500285E6">
      <w:pPr>
        <w:rPr>
          <w:color w:val="auto"/>
          <w:sz w:val="28"/>
          <w:szCs w:val="28"/>
          <w:highlight w:val="none"/>
        </w:rPr>
      </w:pPr>
    </w:p>
    <w:p w14:paraId="410F8C26">
      <w:pPr>
        <w:rPr>
          <w:color w:val="auto"/>
          <w:sz w:val="28"/>
          <w:szCs w:val="28"/>
          <w:highlight w:val="none"/>
        </w:rPr>
      </w:pPr>
    </w:p>
    <w:p w14:paraId="1BEA28FA">
      <w:pPr>
        <w:jc w:val="center"/>
        <w:rPr>
          <w:color w:val="auto"/>
          <w:sz w:val="36"/>
          <w:szCs w:val="36"/>
          <w:highlight w:val="none"/>
        </w:rPr>
      </w:pPr>
      <w:r>
        <w:rPr>
          <w:rFonts w:hint="eastAsia"/>
          <w:color w:val="auto"/>
          <w:sz w:val="36"/>
          <w:szCs w:val="36"/>
          <w:highlight w:val="none"/>
        </w:rPr>
        <w:t>投  标  文  件</w:t>
      </w:r>
      <w:r>
        <w:rPr>
          <w:rFonts w:hint="eastAsia"/>
          <w:color w:val="auto"/>
          <w:sz w:val="36"/>
          <w:szCs w:val="36"/>
          <w:highlight w:val="none"/>
        </w:rPr>
        <w:cr/>
      </w:r>
    </w:p>
    <w:p w14:paraId="5441E0BC">
      <w:pPr>
        <w:jc w:val="center"/>
        <w:rPr>
          <w:color w:val="auto"/>
          <w:sz w:val="36"/>
          <w:szCs w:val="36"/>
          <w:highlight w:val="none"/>
        </w:rPr>
      </w:pPr>
      <w:r>
        <w:rPr>
          <w:rFonts w:hint="eastAsia"/>
          <w:color w:val="auto"/>
          <w:sz w:val="36"/>
          <w:szCs w:val="36"/>
          <w:highlight w:val="none"/>
        </w:rPr>
        <w:t>（</w:t>
      </w:r>
      <w:r>
        <w:rPr>
          <w:rFonts w:hint="eastAsia" w:eastAsia="宋体"/>
          <w:color w:val="auto"/>
          <w:sz w:val="36"/>
          <w:szCs w:val="36"/>
          <w:highlight w:val="none"/>
          <w:lang w:eastAsia="zh-CN"/>
        </w:rPr>
        <w:t>技术标</w:t>
      </w:r>
      <w:r>
        <w:rPr>
          <w:rFonts w:hint="eastAsia"/>
          <w:color w:val="auto"/>
          <w:sz w:val="36"/>
          <w:szCs w:val="36"/>
          <w:highlight w:val="none"/>
        </w:rPr>
        <w:t>）</w:t>
      </w:r>
    </w:p>
    <w:p w14:paraId="367C9336">
      <w:pPr>
        <w:jc w:val="center"/>
        <w:rPr>
          <w:color w:val="auto"/>
          <w:sz w:val="18"/>
          <w:szCs w:val="18"/>
          <w:highlight w:val="none"/>
        </w:rPr>
      </w:pPr>
    </w:p>
    <w:p w14:paraId="3FE583CA">
      <w:pPr>
        <w:jc w:val="center"/>
        <w:rPr>
          <w:color w:val="auto"/>
          <w:sz w:val="18"/>
          <w:szCs w:val="18"/>
          <w:highlight w:val="none"/>
        </w:rPr>
      </w:pPr>
    </w:p>
    <w:p w14:paraId="2E481AB2">
      <w:pPr>
        <w:jc w:val="center"/>
        <w:rPr>
          <w:color w:val="auto"/>
          <w:sz w:val="18"/>
          <w:szCs w:val="18"/>
          <w:highlight w:val="none"/>
        </w:rPr>
      </w:pPr>
    </w:p>
    <w:p w14:paraId="77D98E08">
      <w:pPr>
        <w:jc w:val="center"/>
        <w:rPr>
          <w:color w:val="auto"/>
          <w:sz w:val="18"/>
          <w:szCs w:val="18"/>
          <w:highlight w:val="none"/>
        </w:rPr>
      </w:pPr>
    </w:p>
    <w:p w14:paraId="1E739340">
      <w:pPr>
        <w:jc w:val="center"/>
        <w:rPr>
          <w:color w:val="auto"/>
          <w:sz w:val="18"/>
          <w:szCs w:val="18"/>
          <w:highlight w:val="none"/>
        </w:rPr>
      </w:pPr>
    </w:p>
    <w:p w14:paraId="500F5E48">
      <w:pPr>
        <w:jc w:val="center"/>
        <w:rPr>
          <w:color w:val="auto"/>
          <w:sz w:val="18"/>
          <w:szCs w:val="18"/>
          <w:highlight w:val="none"/>
        </w:rPr>
      </w:pPr>
    </w:p>
    <w:p w14:paraId="58EA4D24">
      <w:pPr>
        <w:jc w:val="center"/>
        <w:rPr>
          <w:color w:val="auto"/>
          <w:sz w:val="18"/>
          <w:szCs w:val="18"/>
          <w:highlight w:val="none"/>
        </w:rPr>
      </w:pPr>
    </w:p>
    <w:p w14:paraId="4046477B">
      <w:pPr>
        <w:jc w:val="center"/>
        <w:rPr>
          <w:color w:val="auto"/>
          <w:sz w:val="18"/>
          <w:szCs w:val="18"/>
          <w:highlight w:val="none"/>
        </w:rPr>
      </w:pPr>
    </w:p>
    <w:p w14:paraId="0269BE24">
      <w:pPr>
        <w:jc w:val="center"/>
        <w:rPr>
          <w:color w:val="auto"/>
          <w:sz w:val="18"/>
          <w:szCs w:val="18"/>
          <w:highlight w:val="none"/>
        </w:rPr>
      </w:pPr>
    </w:p>
    <w:p w14:paraId="693F50DE">
      <w:pPr>
        <w:jc w:val="center"/>
        <w:rPr>
          <w:color w:val="auto"/>
          <w:sz w:val="18"/>
          <w:szCs w:val="18"/>
          <w:highlight w:val="none"/>
        </w:rPr>
      </w:pPr>
    </w:p>
    <w:p w14:paraId="25046AE0">
      <w:pPr>
        <w:jc w:val="center"/>
        <w:rPr>
          <w:color w:val="auto"/>
          <w:sz w:val="18"/>
          <w:szCs w:val="18"/>
          <w:highlight w:val="none"/>
        </w:rPr>
      </w:pPr>
    </w:p>
    <w:p w14:paraId="3EDA470E">
      <w:pPr>
        <w:jc w:val="center"/>
        <w:rPr>
          <w:color w:val="auto"/>
          <w:sz w:val="18"/>
          <w:szCs w:val="18"/>
          <w:highlight w:val="none"/>
        </w:rPr>
      </w:pPr>
    </w:p>
    <w:p w14:paraId="5FEFAD04">
      <w:pPr>
        <w:jc w:val="center"/>
        <w:rPr>
          <w:color w:val="auto"/>
          <w:sz w:val="18"/>
          <w:szCs w:val="18"/>
          <w:highlight w:val="none"/>
        </w:rPr>
      </w:pPr>
    </w:p>
    <w:p w14:paraId="53D578FC">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14:paraId="45DE6E0F">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r>
        <w:rPr>
          <w:rFonts w:hint="eastAsia"/>
          <w:color w:val="auto"/>
          <w:sz w:val="28"/>
          <w:szCs w:val="28"/>
          <w:highlight w:val="none"/>
        </w:rPr>
        <w:cr/>
      </w:r>
      <w:r>
        <w:rPr>
          <w:color w:val="auto"/>
          <w:sz w:val="28"/>
          <w:szCs w:val="28"/>
          <w:highlight w:val="none"/>
        </w:rPr>
        <w:br w:type="page"/>
      </w:r>
    </w:p>
    <w:p w14:paraId="738A11B1">
      <w:pPr>
        <w:jc w:val="center"/>
        <w:rPr>
          <w:color w:val="auto"/>
          <w:sz w:val="28"/>
          <w:szCs w:val="28"/>
          <w:highlight w:val="none"/>
        </w:rPr>
      </w:pPr>
      <w:r>
        <w:rPr>
          <w:b/>
          <w:color w:val="auto"/>
          <w:sz w:val="32"/>
          <w:szCs w:val="32"/>
          <w:highlight w:val="none"/>
        </w:rPr>
        <w:t xml:space="preserve">目 </w:t>
      </w:r>
      <w:r>
        <w:rPr>
          <w:rFonts w:hint="eastAsia"/>
          <w:b/>
          <w:color w:val="auto"/>
          <w:sz w:val="32"/>
          <w:szCs w:val="32"/>
          <w:highlight w:val="none"/>
        </w:rPr>
        <w:t xml:space="preserve"> </w:t>
      </w:r>
      <w:r>
        <w:rPr>
          <w:b/>
          <w:color w:val="auto"/>
          <w:sz w:val="32"/>
          <w:szCs w:val="32"/>
          <w:highlight w:val="none"/>
        </w:rPr>
        <w:t xml:space="preserve">  录</w:t>
      </w:r>
      <w:r>
        <w:rPr>
          <w:b/>
          <w:color w:val="auto"/>
          <w:sz w:val="32"/>
          <w:szCs w:val="32"/>
          <w:highlight w:val="none"/>
        </w:rPr>
        <w:cr/>
      </w:r>
    </w:p>
    <w:p w14:paraId="14F4191A">
      <w:pPr>
        <w:spacing w:line="500" w:lineRule="exact"/>
        <w:ind w:firstLine="420" w:firstLineChars="200"/>
        <w:rPr>
          <w:color w:val="auto"/>
          <w:highlight w:val="none"/>
        </w:rPr>
      </w:pPr>
      <w:r>
        <w:rPr>
          <w:rFonts w:hint="eastAsia" w:eastAsia="宋体"/>
          <w:color w:val="auto"/>
          <w:highlight w:val="none"/>
          <w:lang w:eastAsia="zh-CN"/>
        </w:rPr>
        <w:t>技术标</w:t>
      </w:r>
      <w:r>
        <w:rPr>
          <w:rFonts w:hint="eastAsia"/>
          <w:color w:val="auto"/>
          <w:highlight w:val="none"/>
        </w:rPr>
        <w:t>内容：</w:t>
      </w:r>
    </w:p>
    <w:p w14:paraId="19CC2D39">
      <w:pPr>
        <w:numPr>
          <w:ilvl w:val="0"/>
          <w:numId w:val="7"/>
        </w:numPr>
        <w:spacing w:line="500" w:lineRule="exact"/>
        <w:ind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技术评分索引表(</w:t>
      </w:r>
      <w:r>
        <w:rPr>
          <w:rFonts w:hint="eastAsia" w:asciiTheme="minorEastAsia" w:hAnsiTheme="minorEastAsia" w:eastAsiaTheme="minorEastAsia" w:cstheme="minorEastAsia"/>
          <w:color w:val="auto"/>
          <w:highlight w:val="none"/>
          <w:lang w:val="en-US" w:eastAsia="zh-CN"/>
        </w:rPr>
        <w:t>附件八</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14:paraId="14166A24">
      <w:pPr>
        <w:numPr>
          <w:ilvl w:val="0"/>
          <w:numId w:val="7"/>
        </w:numPr>
        <w:spacing w:line="500" w:lineRule="exact"/>
        <w:ind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业绩汇总表（评分业绩的汇总）</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附件九</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14:paraId="04FB5793">
      <w:pPr>
        <w:numPr>
          <w:ilvl w:val="0"/>
          <w:numId w:val="7"/>
        </w:numPr>
        <w:spacing w:line="500" w:lineRule="exact"/>
        <w:ind w:left="0" w:leftChars="0"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资信、业绩评审所要求的内容</w:t>
      </w:r>
      <w:r>
        <w:rPr>
          <w:rFonts w:hint="eastAsia" w:asciiTheme="minorEastAsia" w:hAnsiTheme="minorEastAsia" w:eastAsiaTheme="minorEastAsia" w:cstheme="minorEastAsia"/>
          <w:color w:val="auto"/>
          <w:highlight w:val="none"/>
          <w:lang w:eastAsia="zh-CN"/>
        </w:rPr>
        <w:t>；</w:t>
      </w:r>
    </w:p>
    <w:p w14:paraId="29C552E5">
      <w:pPr>
        <w:numPr>
          <w:ilvl w:val="0"/>
          <w:numId w:val="7"/>
        </w:numPr>
        <w:spacing w:line="500" w:lineRule="exact"/>
        <w:ind w:left="0" w:leftChars="0"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技术评分标准所要求的内容</w:t>
      </w:r>
      <w:r>
        <w:rPr>
          <w:rFonts w:hint="eastAsia" w:asciiTheme="minorEastAsia" w:hAnsiTheme="minorEastAsia" w:eastAsiaTheme="minorEastAsia" w:cstheme="minorEastAsia"/>
          <w:color w:val="auto"/>
          <w:highlight w:val="none"/>
          <w:lang w:eastAsia="zh-CN"/>
        </w:rPr>
        <w:t>；</w:t>
      </w:r>
    </w:p>
    <w:p w14:paraId="652AD8A8">
      <w:pPr>
        <w:numPr>
          <w:ilvl w:val="0"/>
          <w:numId w:val="7"/>
        </w:numPr>
        <w:spacing w:line="500" w:lineRule="exact"/>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投标人需要说明的其他文件和说明(如有，格式自拟)</w:t>
      </w:r>
    </w:p>
    <w:p w14:paraId="2D94B059">
      <w:pPr>
        <w:jc w:val="center"/>
        <w:rPr>
          <w:rFonts w:hint="eastAsia" w:asciiTheme="minorEastAsia" w:hAnsiTheme="minorEastAsia" w:eastAsiaTheme="minorEastAsia" w:cstheme="minorEastAsia"/>
          <w:color w:val="auto"/>
          <w:sz w:val="32"/>
          <w:szCs w:val="32"/>
          <w:highlight w:val="none"/>
        </w:rPr>
      </w:pPr>
    </w:p>
    <w:p w14:paraId="26A608F7">
      <w:pPr>
        <w:jc w:val="center"/>
        <w:rPr>
          <w:rFonts w:ascii="黑体" w:eastAsia="黑体"/>
          <w:color w:val="auto"/>
          <w:sz w:val="32"/>
          <w:szCs w:val="32"/>
          <w:highlight w:val="none"/>
        </w:rPr>
      </w:pPr>
    </w:p>
    <w:p w14:paraId="351DD836">
      <w:pPr>
        <w:jc w:val="center"/>
        <w:rPr>
          <w:rFonts w:ascii="黑体" w:eastAsia="黑体"/>
          <w:color w:val="auto"/>
          <w:sz w:val="32"/>
          <w:szCs w:val="32"/>
          <w:highlight w:val="none"/>
        </w:rPr>
      </w:pPr>
    </w:p>
    <w:p w14:paraId="2317A635">
      <w:pPr>
        <w:jc w:val="center"/>
        <w:rPr>
          <w:rFonts w:ascii="黑体" w:eastAsia="黑体"/>
          <w:color w:val="auto"/>
          <w:sz w:val="32"/>
          <w:szCs w:val="32"/>
          <w:highlight w:val="none"/>
        </w:rPr>
      </w:pPr>
    </w:p>
    <w:p w14:paraId="7CC2757C">
      <w:pPr>
        <w:jc w:val="center"/>
        <w:rPr>
          <w:rFonts w:ascii="黑体" w:eastAsia="黑体"/>
          <w:color w:val="auto"/>
          <w:sz w:val="32"/>
          <w:szCs w:val="32"/>
          <w:highlight w:val="none"/>
        </w:rPr>
      </w:pPr>
    </w:p>
    <w:p w14:paraId="3CF93A6B">
      <w:pPr>
        <w:pStyle w:val="54"/>
        <w:rPr>
          <w:rFonts w:ascii="黑体" w:eastAsia="黑体"/>
          <w:color w:val="auto"/>
          <w:sz w:val="32"/>
          <w:szCs w:val="32"/>
          <w:highlight w:val="none"/>
        </w:rPr>
      </w:pPr>
    </w:p>
    <w:p w14:paraId="425B90D4">
      <w:pPr>
        <w:rPr>
          <w:rFonts w:ascii="黑体" w:eastAsia="黑体"/>
          <w:color w:val="auto"/>
          <w:sz w:val="32"/>
          <w:szCs w:val="32"/>
          <w:highlight w:val="none"/>
        </w:rPr>
      </w:pPr>
    </w:p>
    <w:p w14:paraId="05161FDC">
      <w:pPr>
        <w:pStyle w:val="54"/>
        <w:rPr>
          <w:rFonts w:ascii="黑体" w:eastAsia="黑体"/>
          <w:color w:val="auto"/>
          <w:sz w:val="32"/>
          <w:szCs w:val="32"/>
          <w:highlight w:val="none"/>
        </w:rPr>
      </w:pPr>
    </w:p>
    <w:p w14:paraId="30E70B74">
      <w:pPr>
        <w:rPr>
          <w:rFonts w:ascii="黑体" w:eastAsia="黑体"/>
          <w:color w:val="auto"/>
          <w:sz w:val="32"/>
          <w:szCs w:val="32"/>
          <w:highlight w:val="none"/>
        </w:rPr>
      </w:pPr>
    </w:p>
    <w:p w14:paraId="2B095CDB">
      <w:pPr>
        <w:pStyle w:val="54"/>
        <w:rPr>
          <w:rFonts w:ascii="黑体" w:eastAsia="黑体"/>
          <w:color w:val="auto"/>
          <w:sz w:val="32"/>
          <w:szCs w:val="32"/>
          <w:highlight w:val="none"/>
        </w:rPr>
      </w:pPr>
    </w:p>
    <w:p w14:paraId="29E7ED59">
      <w:pPr>
        <w:rPr>
          <w:rFonts w:ascii="黑体" w:eastAsia="黑体"/>
          <w:color w:val="auto"/>
          <w:sz w:val="32"/>
          <w:szCs w:val="32"/>
          <w:highlight w:val="none"/>
        </w:rPr>
      </w:pPr>
    </w:p>
    <w:p w14:paraId="24D8A85C">
      <w:pPr>
        <w:pStyle w:val="21"/>
        <w:rPr>
          <w:rFonts w:ascii="黑体" w:eastAsia="黑体"/>
          <w:color w:val="auto"/>
          <w:highlight w:val="none"/>
        </w:rPr>
      </w:pPr>
    </w:p>
    <w:p w14:paraId="390DA7EC">
      <w:pPr>
        <w:rPr>
          <w:color w:val="auto"/>
          <w:highlight w:val="none"/>
        </w:rPr>
      </w:pPr>
    </w:p>
    <w:p w14:paraId="341BDD23">
      <w:pPr>
        <w:rPr>
          <w:rFonts w:ascii="黑体" w:eastAsia="黑体"/>
          <w:color w:val="auto"/>
          <w:sz w:val="32"/>
          <w:szCs w:val="32"/>
          <w:highlight w:val="none"/>
        </w:rPr>
      </w:pPr>
    </w:p>
    <w:p w14:paraId="557E6A16">
      <w:pPr>
        <w:rPr>
          <w:rFonts w:hint="eastAsia" w:ascii="黑体" w:eastAsia="黑体"/>
          <w:color w:val="auto"/>
          <w:sz w:val="32"/>
          <w:szCs w:val="32"/>
          <w:highlight w:val="none"/>
        </w:rPr>
      </w:pPr>
      <w:r>
        <w:rPr>
          <w:rFonts w:hint="eastAsia" w:ascii="黑体" w:eastAsia="黑体"/>
          <w:color w:val="auto"/>
          <w:sz w:val="32"/>
          <w:szCs w:val="32"/>
          <w:highlight w:val="none"/>
        </w:rPr>
        <w:br w:type="page"/>
      </w:r>
    </w:p>
    <w:p w14:paraId="3F412939">
      <w:pPr>
        <w:pStyle w:val="54"/>
        <w:keepNext/>
        <w:keepLines/>
        <w:pageBreakBefore w:val="0"/>
        <w:widowControl/>
        <w:kinsoku w:val="0"/>
        <w:wordWrap/>
        <w:overflowPunct/>
        <w:topLinePunct w:val="0"/>
        <w:autoSpaceDE w:val="0"/>
        <w:autoSpaceDN w:val="0"/>
        <w:bidi w:val="0"/>
        <w:adjustRightInd w:val="0"/>
        <w:snapToGrid w:val="0"/>
        <w:spacing w:before="0" w:after="0" w:line="240" w:lineRule="auto"/>
        <w:jc w:val="left"/>
        <w:textAlignment w:val="baseline"/>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附件八</w:t>
      </w:r>
    </w:p>
    <w:p w14:paraId="6FD64D32">
      <w:pPr>
        <w:pStyle w:val="54"/>
        <w:keepNext/>
        <w:keepLines/>
        <w:pageBreakBefore w:val="0"/>
        <w:widowControl/>
        <w:kinsoku w:val="0"/>
        <w:wordWrap/>
        <w:overflowPunct/>
        <w:topLinePunct w:val="0"/>
        <w:autoSpaceDE w:val="0"/>
        <w:autoSpaceDN w:val="0"/>
        <w:bidi w:val="0"/>
        <w:adjustRightInd w:val="0"/>
        <w:snapToGrid w:val="0"/>
        <w:spacing w:before="0" w:after="0" w:line="240" w:lineRule="auto"/>
        <w:jc w:val="center"/>
        <w:textAlignment w:val="baseline"/>
        <w:rPr>
          <w:rFonts w:hint="eastAsia" w:ascii="黑体" w:eastAsia="黑体"/>
          <w:color w:val="auto"/>
          <w:sz w:val="32"/>
          <w:szCs w:val="32"/>
          <w:highlight w:val="none"/>
        </w:rPr>
      </w:pPr>
      <w:r>
        <w:rPr>
          <w:rFonts w:hint="eastAsia" w:ascii="黑体" w:eastAsia="黑体"/>
          <w:color w:val="auto"/>
          <w:sz w:val="32"/>
          <w:szCs w:val="32"/>
          <w:highlight w:val="none"/>
        </w:rPr>
        <w:t>技术评分索引表</w:t>
      </w:r>
    </w:p>
    <w:p w14:paraId="131648B9">
      <w:pPr>
        <w:rPr>
          <w:highlight w:val="none"/>
        </w:rPr>
      </w:pPr>
    </w:p>
    <w:tbl>
      <w:tblPr>
        <w:tblStyle w:val="30"/>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860"/>
        <w:gridCol w:w="2117"/>
        <w:gridCol w:w="2069"/>
      </w:tblGrid>
      <w:tr w14:paraId="71D9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8" w:hRule="atLeast"/>
        </w:trPr>
        <w:tc>
          <w:tcPr>
            <w:tcW w:w="648" w:type="dxa"/>
            <w:tcBorders>
              <w:top w:val="double" w:color="auto" w:sz="4" w:space="0"/>
              <w:left w:val="double" w:color="auto" w:sz="4" w:space="0"/>
              <w:right w:val="single" w:color="auto" w:sz="4" w:space="0"/>
            </w:tcBorders>
            <w:vAlign w:val="center"/>
          </w:tcPr>
          <w:p w14:paraId="118AD523">
            <w:pPr>
              <w:jc w:val="center"/>
              <w:rPr>
                <w:color w:val="auto"/>
                <w:highlight w:val="none"/>
              </w:rPr>
            </w:pPr>
            <w:r>
              <w:rPr>
                <w:rFonts w:hint="eastAsia"/>
                <w:color w:val="auto"/>
                <w:highlight w:val="none"/>
              </w:rPr>
              <w:t>序号</w:t>
            </w:r>
          </w:p>
        </w:tc>
        <w:tc>
          <w:tcPr>
            <w:tcW w:w="4860" w:type="dxa"/>
            <w:tcBorders>
              <w:top w:val="double" w:color="auto" w:sz="4" w:space="0"/>
              <w:left w:val="single" w:color="auto" w:sz="4" w:space="0"/>
              <w:right w:val="single" w:color="auto" w:sz="4" w:space="0"/>
            </w:tcBorders>
            <w:vAlign w:val="center"/>
          </w:tcPr>
          <w:p w14:paraId="070C37C9">
            <w:pPr>
              <w:jc w:val="center"/>
              <w:rPr>
                <w:color w:val="auto"/>
                <w:highlight w:val="none"/>
              </w:rPr>
            </w:pPr>
            <w:r>
              <w:rPr>
                <w:rFonts w:hint="eastAsia"/>
                <w:color w:val="auto"/>
                <w:highlight w:val="none"/>
              </w:rPr>
              <w:t>技术评分项</w:t>
            </w:r>
          </w:p>
        </w:tc>
        <w:tc>
          <w:tcPr>
            <w:tcW w:w="2117" w:type="dxa"/>
            <w:tcBorders>
              <w:top w:val="double" w:color="auto" w:sz="4" w:space="0"/>
              <w:left w:val="single" w:color="auto" w:sz="4" w:space="0"/>
              <w:right w:val="single" w:color="auto" w:sz="4" w:space="0"/>
            </w:tcBorders>
            <w:vAlign w:val="center"/>
          </w:tcPr>
          <w:p w14:paraId="49295C16">
            <w:pPr>
              <w:jc w:val="center"/>
              <w:rPr>
                <w:rFonts w:ascii="宋体" w:hAnsi="宋体"/>
                <w:bCs/>
                <w:color w:val="auto"/>
                <w:highlight w:val="none"/>
              </w:rPr>
            </w:pPr>
            <w:r>
              <w:rPr>
                <w:rFonts w:hint="eastAsia" w:ascii="宋体" w:hAnsi="宋体"/>
                <w:bCs/>
                <w:color w:val="auto"/>
                <w:highlight w:val="none"/>
              </w:rPr>
              <w:t>投标文件</w:t>
            </w:r>
            <w:r>
              <w:rPr>
                <w:rFonts w:hint="eastAsia" w:ascii="宋体" w:hAnsi="宋体" w:eastAsia="宋体" w:cs="宋体"/>
                <w:sz w:val="21"/>
                <w:szCs w:val="21"/>
                <w:highlight w:val="none"/>
                <w:lang w:eastAsia="zh-CN"/>
              </w:rPr>
              <w:t>技术标</w:t>
            </w:r>
            <w:r>
              <w:rPr>
                <w:rFonts w:hint="eastAsia" w:ascii="宋体" w:hAnsi="宋体"/>
                <w:bCs/>
                <w:color w:val="auto"/>
                <w:highlight w:val="none"/>
              </w:rPr>
              <w:t>对应内容页码</w:t>
            </w:r>
          </w:p>
        </w:tc>
        <w:tc>
          <w:tcPr>
            <w:tcW w:w="2069" w:type="dxa"/>
            <w:tcBorders>
              <w:top w:val="double" w:color="auto" w:sz="4" w:space="0"/>
              <w:left w:val="single" w:color="auto" w:sz="4" w:space="0"/>
              <w:right w:val="single" w:color="auto" w:sz="4" w:space="0"/>
            </w:tcBorders>
            <w:vAlign w:val="center"/>
          </w:tcPr>
          <w:p w14:paraId="79D1ECAB">
            <w:pPr>
              <w:jc w:val="center"/>
              <w:rPr>
                <w:color w:val="auto"/>
                <w:highlight w:val="none"/>
              </w:rPr>
            </w:pPr>
            <w:r>
              <w:rPr>
                <w:rFonts w:hint="eastAsia"/>
                <w:color w:val="auto"/>
                <w:highlight w:val="none"/>
              </w:rPr>
              <w:t>其他说明</w:t>
            </w:r>
          </w:p>
        </w:tc>
      </w:tr>
      <w:tr w14:paraId="0705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14:paraId="3FB0932D">
            <w:pPr>
              <w:jc w:val="center"/>
              <w:rPr>
                <w:color w:val="auto"/>
                <w:highlight w:val="none"/>
              </w:rPr>
            </w:pPr>
            <w:r>
              <w:rPr>
                <w:rFonts w:hint="eastAsia" w:ascii="宋体" w:hAnsi="宋体"/>
                <w:color w:val="auto"/>
                <w:highlight w:val="none"/>
              </w:rPr>
              <w:t>1</w:t>
            </w:r>
          </w:p>
        </w:tc>
        <w:tc>
          <w:tcPr>
            <w:tcW w:w="4860" w:type="dxa"/>
            <w:tcBorders>
              <w:top w:val="single" w:color="auto" w:sz="4" w:space="0"/>
              <w:left w:val="single" w:color="auto" w:sz="4" w:space="0"/>
              <w:right w:val="single" w:color="auto" w:sz="4" w:space="0"/>
            </w:tcBorders>
          </w:tcPr>
          <w:p w14:paraId="4BCF479F">
            <w:pPr>
              <w:rPr>
                <w:color w:val="auto"/>
                <w:highlight w:val="none"/>
              </w:rPr>
            </w:pPr>
          </w:p>
        </w:tc>
        <w:tc>
          <w:tcPr>
            <w:tcW w:w="2117" w:type="dxa"/>
            <w:tcBorders>
              <w:top w:val="single" w:color="auto" w:sz="4" w:space="0"/>
              <w:left w:val="single" w:color="auto" w:sz="4" w:space="0"/>
              <w:right w:val="single" w:color="auto" w:sz="4" w:space="0"/>
            </w:tcBorders>
            <w:vAlign w:val="center"/>
          </w:tcPr>
          <w:p w14:paraId="2959941B">
            <w:pPr>
              <w:rPr>
                <w:rFonts w:ascii="宋体" w:hAnsi="宋体"/>
                <w:color w:val="auto"/>
                <w:highlight w:val="none"/>
                <w:u w:val="single"/>
              </w:rPr>
            </w:pPr>
            <w:r>
              <w:rPr>
                <w:rFonts w:hint="eastAsia" w:ascii="宋体" w:hAnsi="宋体"/>
                <w:color w:val="auto"/>
                <w:highlight w:val="none"/>
              </w:rPr>
              <w:t>在</w:t>
            </w:r>
            <w:r>
              <w:rPr>
                <w:rFonts w:hint="eastAsia" w:ascii="宋体" w:hAnsi="宋体"/>
                <w:color w:val="auto"/>
                <w:highlight w:val="none"/>
                <w:u w:val="single"/>
              </w:rPr>
              <w:t xml:space="preserve">          </w:t>
            </w:r>
            <w:r>
              <w:rPr>
                <w:rFonts w:hint="eastAsia" w:ascii="宋体" w:hAnsi="宋体"/>
                <w:color w:val="auto"/>
                <w:highlight w:val="none"/>
              </w:rPr>
              <w:t>页提供</w:t>
            </w:r>
          </w:p>
        </w:tc>
        <w:tc>
          <w:tcPr>
            <w:tcW w:w="2069" w:type="dxa"/>
            <w:tcBorders>
              <w:top w:val="single" w:color="auto" w:sz="4" w:space="0"/>
              <w:left w:val="single" w:color="auto" w:sz="4" w:space="0"/>
              <w:right w:val="single" w:color="auto" w:sz="4" w:space="0"/>
            </w:tcBorders>
          </w:tcPr>
          <w:p w14:paraId="1F0B29D0">
            <w:pPr>
              <w:jc w:val="center"/>
              <w:rPr>
                <w:color w:val="auto"/>
                <w:highlight w:val="none"/>
              </w:rPr>
            </w:pPr>
          </w:p>
        </w:tc>
      </w:tr>
      <w:tr w14:paraId="17BF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14:paraId="68197DF2">
            <w:pPr>
              <w:jc w:val="center"/>
              <w:rPr>
                <w:color w:val="auto"/>
                <w:highlight w:val="none"/>
              </w:rPr>
            </w:pPr>
            <w:r>
              <w:rPr>
                <w:rFonts w:hint="eastAsia" w:ascii="宋体" w:hAnsi="宋体"/>
                <w:color w:val="auto"/>
                <w:highlight w:val="none"/>
              </w:rPr>
              <w:t>2</w:t>
            </w:r>
          </w:p>
        </w:tc>
        <w:tc>
          <w:tcPr>
            <w:tcW w:w="4860" w:type="dxa"/>
            <w:tcBorders>
              <w:top w:val="single" w:color="auto" w:sz="4" w:space="0"/>
              <w:left w:val="single" w:color="auto" w:sz="4" w:space="0"/>
              <w:right w:val="single" w:color="auto" w:sz="4" w:space="0"/>
            </w:tcBorders>
          </w:tcPr>
          <w:p w14:paraId="4C669280">
            <w:pPr>
              <w:rPr>
                <w:color w:val="auto"/>
                <w:highlight w:val="none"/>
              </w:rPr>
            </w:pPr>
          </w:p>
        </w:tc>
        <w:tc>
          <w:tcPr>
            <w:tcW w:w="2117" w:type="dxa"/>
            <w:tcBorders>
              <w:top w:val="single" w:color="auto" w:sz="4" w:space="0"/>
              <w:left w:val="single" w:color="auto" w:sz="4" w:space="0"/>
              <w:right w:val="single" w:color="auto" w:sz="4" w:space="0"/>
            </w:tcBorders>
            <w:vAlign w:val="center"/>
          </w:tcPr>
          <w:p w14:paraId="120AF570">
            <w:pPr>
              <w:rPr>
                <w:rFonts w:ascii="宋体" w:hAnsi="宋体"/>
                <w:color w:val="auto"/>
                <w:highlight w:val="none"/>
              </w:rPr>
            </w:pPr>
          </w:p>
        </w:tc>
        <w:tc>
          <w:tcPr>
            <w:tcW w:w="2069" w:type="dxa"/>
            <w:tcBorders>
              <w:top w:val="single" w:color="auto" w:sz="4" w:space="0"/>
              <w:left w:val="single" w:color="auto" w:sz="4" w:space="0"/>
              <w:right w:val="single" w:color="auto" w:sz="4" w:space="0"/>
            </w:tcBorders>
          </w:tcPr>
          <w:p w14:paraId="4186B654">
            <w:pPr>
              <w:jc w:val="center"/>
              <w:rPr>
                <w:color w:val="auto"/>
                <w:highlight w:val="none"/>
              </w:rPr>
            </w:pPr>
          </w:p>
        </w:tc>
      </w:tr>
      <w:tr w14:paraId="1814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9C048D4">
            <w:pPr>
              <w:jc w:val="center"/>
              <w:rPr>
                <w:color w:val="auto"/>
                <w:highlight w:val="none"/>
              </w:rPr>
            </w:pPr>
            <w:r>
              <w:rPr>
                <w:rFonts w:hint="eastAsia" w:ascii="宋体" w:hAnsi="宋体"/>
                <w:color w:val="auto"/>
                <w:highlight w:val="none"/>
              </w:rPr>
              <w:t>3</w:t>
            </w:r>
          </w:p>
        </w:tc>
        <w:tc>
          <w:tcPr>
            <w:tcW w:w="4860" w:type="dxa"/>
            <w:tcBorders>
              <w:left w:val="single" w:color="auto" w:sz="4" w:space="0"/>
              <w:right w:val="single" w:color="auto" w:sz="4" w:space="0"/>
            </w:tcBorders>
          </w:tcPr>
          <w:p w14:paraId="25205AA8">
            <w:pPr>
              <w:rPr>
                <w:color w:val="auto"/>
                <w:highlight w:val="none"/>
              </w:rPr>
            </w:pPr>
          </w:p>
        </w:tc>
        <w:tc>
          <w:tcPr>
            <w:tcW w:w="2117" w:type="dxa"/>
            <w:tcBorders>
              <w:left w:val="single" w:color="auto" w:sz="4" w:space="0"/>
              <w:right w:val="single" w:color="auto" w:sz="4" w:space="0"/>
            </w:tcBorders>
            <w:vAlign w:val="center"/>
          </w:tcPr>
          <w:p w14:paraId="54800ED1">
            <w:pPr>
              <w:rPr>
                <w:rFonts w:ascii="宋体" w:hAnsi="宋体"/>
                <w:color w:val="auto"/>
                <w:highlight w:val="none"/>
                <w:u w:val="single"/>
              </w:rPr>
            </w:pPr>
          </w:p>
        </w:tc>
        <w:tc>
          <w:tcPr>
            <w:tcW w:w="2069" w:type="dxa"/>
            <w:tcBorders>
              <w:left w:val="single" w:color="auto" w:sz="4" w:space="0"/>
              <w:right w:val="single" w:color="auto" w:sz="4" w:space="0"/>
            </w:tcBorders>
          </w:tcPr>
          <w:p w14:paraId="57AC8A1F">
            <w:pPr>
              <w:jc w:val="center"/>
              <w:rPr>
                <w:color w:val="auto"/>
                <w:highlight w:val="none"/>
              </w:rPr>
            </w:pPr>
          </w:p>
        </w:tc>
      </w:tr>
      <w:tr w14:paraId="173F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A0D2AA7">
            <w:pPr>
              <w:jc w:val="center"/>
              <w:rPr>
                <w:color w:val="auto"/>
                <w:highlight w:val="none"/>
              </w:rPr>
            </w:pPr>
            <w:r>
              <w:rPr>
                <w:rFonts w:hint="eastAsia" w:ascii="宋体" w:hAnsi="宋体"/>
                <w:color w:val="auto"/>
                <w:highlight w:val="none"/>
              </w:rPr>
              <w:t>4</w:t>
            </w:r>
          </w:p>
        </w:tc>
        <w:tc>
          <w:tcPr>
            <w:tcW w:w="4860" w:type="dxa"/>
            <w:tcBorders>
              <w:left w:val="single" w:color="auto" w:sz="4" w:space="0"/>
              <w:right w:val="single" w:color="auto" w:sz="4" w:space="0"/>
            </w:tcBorders>
            <w:vAlign w:val="center"/>
          </w:tcPr>
          <w:p w14:paraId="7625C66E">
            <w:pPr>
              <w:rPr>
                <w:color w:val="auto"/>
                <w:highlight w:val="none"/>
              </w:rPr>
            </w:pPr>
          </w:p>
        </w:tc>
        <w:tc>
          <w:tcPr>
            <w:tcW w:w="2117" w:type="dxa"/>
            <w:tcBorders>
              <w:left w:val="single" w:color="auto" w:sz="4" w:space="0"/>
              <w:right w:val="single" w:color="auto" w:sz="4" w:space="0"/>
            </w:tcBorders>
            <w:vAlign w:val="center"/>
          </w:tcPr>
          <w:p w14:paraId="3CA37521">
            <w:pPr>
              <w:rPr>
                <w:rFonts w:ascii="宋体" w:hAnsi="宋体"/>
                <w:color w:val="auto"/>
                <w:highlight w:val="none"/>
              </w:rPr>
            </w:pPr>
          </w:p>
        </w:tc>
        <w:tc>
          <w:tcPr>
            <w:tcW w:w="2069" w:type="dxa"/>
            <w:tcBorders>
              <w:left w:val="single" w:color="auto" w:sz="4" w:space="0"/>
              <w:right w:val="single" w:color="auto" w:sz="4" w:space="0"/>
            </w:tcBorders>
          </w:tcPr>
          <w:p w14:paraId="0BDCDE08">
            <w:pPr>
              <w:jc w:val="center"/>
              <w:rPr>
                <w:color w:val="auto"/>
                <w:highlight w:val="none"/>
              </w:rPr>
            </w:pPr>
          </w:p>
        </w:tc>
      </w:tr>
      <w:tr w14:paraId="4166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6C7418CB">
            <w:pPr>
              <w:jc w:val="center"/>
              <w:rPr>
                <w:rFonts w:ascii="宋体" w:hAnsi="宋体"/>
                <w:color w:val="auto"/>
                <w:highlight w:val="none"/>
              </w:rPr>
            </w:pPr>
            <w:r>
              <w:rPr>
                <w:rFonts w:hint="eastAsia" w:ascii="宋体" w:hAnsi="宋体"/>
                <w:color w:val="auto"/>
                <w:highlight w:val="none"/>
              </w:rPr>
              <w:t>5</w:t>
            </w:r>
          </w:p>
        </w:tc>
        <w:tc>
          <w:tcPr>
            <w:tcW w:w="4860" w:type="dxa"/>
            <w:tcBorders>
              <w:left w:val="single" w:color="auto" w:sz="4" w:space="0"/>
              <w:right w:val="single" w:color="auto" w:sz="4" w:space="0"/>
            </w:tcBorders>
            <w:vAlign w:val="center"/>
          </w:tcPr>
          <w:p w14:paraId="178AF588">
            <w:pPr>
              <w:rPr>
                <w:rFonts w:ascii="宋体" w:hAnsi="宋体"/>
                <w:color w:val="auto"/>
                <w:highlight w:val="none"/>
              </w:rPr>
            </w:pPr>
          </w:p>
        </w:tc>
        <w:tc>
          <w:tcPr>
            <w:tcW w:w="2117" w:type="dxa"/>
            <w:tcBorders>
              <w:left w:val="single" w:color="auto" w:sz="4" w:space="0"/>
              <w:right w:val="single" w:color="auto" w:sz="4" w:space="0"/>
            </w:tcBorders>
            <w:vAlign w:val="center"/>
          </w:tcPr>
          <w:p w14:paraId="69E182B4">
            <w:pPr>
              <w:rPr>
                <w:rFonts w:ascii="宋体" w:hAnsi="宋体"/>
                <w:color w:val="auto"/>
                <w:highlight w:val="none"/>
                <w:u w:val="single"/>
              </w:rPr>
            </w:pPr>
          </w:p>
        </w:tc>
        <w:tc>
          <w:tcPr>
            <w:tcW w:w="2069" w:type="dxa"/>
            <w:tcBorders>
              <w:left w:val="single" w:color="auto" w:sz="4" w:space="0"/>
              <w:right w:val="single" w:color="auto" w:sz="4" w:space="0"/>
            </w:tcBorders>
          </w:tcPr>
          <w:p w14:paraId="597FBA3C">
            <w:pPr>
              <w:jc w:val="center"/>
              <w:rPr>
                <w:color w:val="auto"/>
                <w:highlight w:val="none"/>
              </w:rPr>
            </w:pPr>
          </w:p>
        </w:tc>
      </w:tr>
      <w:tr w14:paraId="127C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03784A3">
            <w:pPr>
              <w:jc w:val="center"/>
              <w:rPr>
                <w:rFonts w:ascii="宋体" w:hAnsi="宋体"/>
                <w:color w:val="auto"/>
                <w:highlight w:val="none"/>
              </w:rPr>
            </w:pPr>
            <w:r>
              <w:rPr>
                <w:rFonts w:hint="eastAsia" w:ascii="宋体" w:hAnsi="宋体"/>
                <w:color w:val="auto"/>
                <w:highlight w:val="none"/>
              </w:rPr>
              <w:t>6</w:t>
            </w:r>
          </w:p>
        </w:tc>
        <w:tc>
          <w:tcPr>
            <w:tcW w:w="4860" w:type="dxa"/>
            <w:tcBorders>
              <w:left w:val="single" w:color="auto" w:sz="4" w:space="0"/>
              <w:right w:val="single" w:color="auto" w:sz="4" w:space="0"/>
            </w:tcBorders>
            <w:vAlign w:val="center"/>
          </w:tcPr>
          <w:p w14:paraId="2CD20EAF">
            <w:pPr>
              <w:rPr>
                <w:rFonts w:ascii="宋体" w:hAnsi="宋体"/>
                <w:color w:val="auto"/>
                <w:highlight w:val="none"/>
              </w:rPr>
            </w:pPr>
          </w:p>
        </w:tc>
        <w:tc>
          <w:tcPr>
            <w:tcW w:w="2117" w:type="dxa"/>
            <w:tcBorders>
              <w:left w:val="single" w:color="auto" w:sz="4" w:space="0"/>
              <w:right w:val="single" w:color="auto" w:sz="4" w:space="0"/>
            </w:tcBorders>
            <w:vAlign w:val="center"/>
          </w:tcPr>
          <w:p w14:paraId="1159D1B6">
            <w:pPr>
              <w:rPr>
                <w:rFonts w:ascii="宋体" w:hAnsi="宋体"/>
                <w:color w:val="auto"/>
                <w:highlight w:val="none"/>
              </w:rPr>
            </w:pPr>
          </w:p>
        </w:tc>
        <w:tc>
          <w:tcPr>
            <w:tcW w:w="2069" w:type="dxa"/>
            <w:tcBorders>
              <w:left w:val="single" w:color="auto" w:sz="4" w:space="0"/>
              <w:right w:val="single" w:color="auto" w:sz="4" w:space="0"/>
            </w:tcBorders>
          </w:tcPr>
          <w:p w14:paraId="09207989">
            <w:pPr>
              <w:jc w:val="center"/>
              <w:rPr>
                <w:color w:val="auto"/>
                <w:highlight w:val="none"/>
              </w:rPr>
            </w:pPr>
          </w:p>
        </w:tc>
      </w:tr>
      <w:tr w14:paraId="5680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F96B306">
            <w:pPr>
              <w:jc w:val="center"/>
              <w:rPr>
                <w:rFonts w:ascii="宋体" w:hAnsi="宋体"/>
                <w:color w:val="auto"/>
                <w:highlight w:val="none"/>
              </w:rPr>
            </w:pPr>
            <w:r>
              <w:rPr>
                <w:rFonts w:hint="eastAsia" w:ascii="宋体" w:hAnsi="宋体"/>
                <w:color w:val="auto"/>
                <w:highlight w:val="none"/>
              </w:rPr>
              <w:t>7</w:t>
            </w:r>
          </w:p>
        </w:tc>
        <w:tc>
          <w:tcPr>
            <w:tcW w:w="4860" w:type="dxa"/>
            <w:tcBorders>
              <w:left w:val="single" w:color="auto" w:sz="4" w:space="0"/>
              <w:right w:val="single" w:color="auto" w:sz="4" w:space="0"/>
            </w:tcBorders>
          </w:tcPr>
          <w:p w14:paraId="7D6415F0">
            <w:pPr>
              <w:rPr>
                <w:rFonts w:ascii="宋体" w:hAnsi="宋体"/>
                <w:color w:val="auto"/>
                <w:highlight w:val="none"/>
              </w:rPr>
            </w:pPr>
          </w:p>
        </w:tc>
        <w:tc>
          <w:tcPr>
            <w:tcW w:w="2117" w:type="dxa"/>
            <w:tcBorders>
              <w:left w:val="single" w:color="auto" w:sz="4" w:space="0"/>
              <w:right w:val="single" w:color="auto" w:sz="4" w:space="0"/>
            </w:tcBorders>
            <w:vAlign w:val="center"/>
          </w:tcPr>
          <w:p w14:paraId="495C2458">
            <w:pPr>
              <w:rPr>
                <w:rFonts w:ascii="宋体" w:hAnsi="宋体"/>
                <w:color w:val="auto"/>
                <w:highlight w:val="none"/>
                <w:u w:val="single"/>
              </w:rPr>
            </w:pPr>
          </w:p>
        </w:tc>
        <w:tc>
          <w:tcPr>
            <w:tcW w:w="2069" w:type="dxa"/>
            <w:tcBorders>
              <w:left w:val="single" w:color="auto" w:sz="4" w:space="0"/>
              <w:right w:val="single" w:color="auto" w:sz="4" w:space="0"/>
            </w:tcBorders>
          </w:tcPr>
          <w:p w14:paraId="36549CDF">
            <w:pPr>
              <w:jc w:val="center"/>
              <w:rPr>
                <w:color w:val="auto"/>
                <w:highlight w:val="none"/>
              </w:rPr>
            </w:pPr>
          </w:p>
        </w:tc>
      </w:tr>
      <w:tr w14:paraId="16CC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bottom w:val="single" w:color="auto" w:sz="4" w:space="0"/>
              <w:right w:val="single" w:color="auto" w:sz="4" w:space="0"/>
            </w:tcBorders>
            <w:vAlign w:val="center"/>
          </w:tcPr>
          <w:p w14:paraId="49E918A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bottom w:val="single" w:color="auto" w:sz="4" w:space="0"/>
              <w:right w:val="single" w:color="auto" w:sz="4" w:space="0"/>
            </w:tcBorders>
          </w:tcPr>
          <w:p w14:paraId="3555683C">
            <w:pPr>
              <w:rPr>
                <w:rFonts w:ascii="宋体" w:hAnsi="宋体"/>
                <w:color w:val="auto"/>
                <w:highlight w:val="none"/>
              </w:rPr>
            </w:pPr>
          </w:p>
        </w:tc>
        <w:tc>
          <w:tcPr>
            <w:tcW w:w="2117" w:type="dxa"/>
            <w:tcBorders>
              <w:left w:val="single" w:color="auto" w:sz="4" w:space="0"/>
              <w:bottom w:val="single" w:color="auto" w:sz="4" w:space="0"/>
              <w:right w:val="single" w:color="auto" w:sz="4" w:space="0"/>
            </w:tcBorders>
            <w:vAlign w:val="center"/>
          </w:tcPr>
          <w:p w14:paraId="68BCA475">
            <w:pPr>
              <w:rPr>
                <w:rFonts w:ascii="宋体" w:hAnsi="宋体"/>
                <w:color w:val="auto"/>
                <w:highlight w:val="none"/>
              </w:rPr>
            </w:pPr>
          </w:p>
        </w:tc>
        <w:tc>
          <w:tcPr>
            <w:tcW w:w="2069" w:type="dxa"/>
            <w:tcBorders>
              <w:left w:val="single" w:color="auto" w:sz="4" w:space="0"/>
              <w:bottom w:val="single" w:color="auto" w:sz="4" w:space="0"/>
              <w:right w:val="single" w:color="auto" w:sz="4" w:space="0"/>
            </w:tcBorders>
          </w:tcPr>
          <w:p w14:paraId="115180E9">
            <w:pPr>
              <w:jc w:val="center"/>
              <w:rPr>
                <w:color w:val="auto"/>
                <w:highlight w:val="none"/>
              </w:rPr>
            </w:pPr>
          </w:p>
        </w:tc>
      </w:tr>
      <w:tr w14:paraId="22FC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D9CB5A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94C9B23">
            <w:pPr>
              <w:rPr>
                <w:rFonts w:ascii="宋体" w:hAnsi="宋体"/>
                <w:color w:val="auto"/>
                <w:highlight w:val="none"/>
              </w:rPr>
            </w:pPr>
          </w:p>
        </w:tc>
        <w:tc>
          <w:tcPr>
            <w:tcW w:w="2117" w:type="dxa"/>
            <w:tcBorders>
              <w:left w:val="single" w:color="auto" w:sz="4" w:space="0"/>
              <w:right w:val="single" w:color="auto" w:sz="4" w:space="0"/>
            </w:tcBorders>
            <w:vAlign w:val="center"/>
          </w:tcPr>
          <w:p w14:paraId="6015C3EA">
            <w:pPr>
              <w:rPr>
                <w:rFonts w:ascii="宋体" w:hAnsi="宋体"/>
                <w:color w:val="auto"/>
                <w:highlight w:val="none"/>
              </w:rPr>
            </w:pPr>
          </w:p>
        </w:tc>
        <w:tc>
          <w:tcPr>
            <w:tcW w:w="2069" w:type="dxa"/>
            <w:tcBorders>
              <w:left w:val="single" w:color="auto" w:sz="4" w:space="0"/>
              <w:right w:val="single" w:color="auto" w:sz="4" w:space="0"/>
            </w:tcBorders>
          </w:tcPr>
          <w:p w14:paraId="45A4E505">
            <w:pPr>
              <w:jc w:val="center"/>
              <w:rPr>
                <w:color w:val="auto"/>
                <w:highlight w:val="none"/>
              </w:rPr>
            </w:pPr>
          </w:p>
        </w:tc>
      </w:tr>
      <w:tr w14:paraId="7033F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23787CDB">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04AFC6FD">
            <w:pPr>
              <w:rPr>
                <w:rFonts w:ascii="宋体" w:hAnsi="宋体"/>
                <w:color w:val="auto"/>
                <w:highlight w:val="none"/>
              </w:rPr>
            </w:pPr>
          </w:p>
        </w:tc>
        <w:tc>
          <w:tcPr>
            <w:tcW w:w="2117" w:type="dxa"/>
            <w:tcBorders>
              <w:left w:val="single" w:color="auto" w:sz="4" w:space="0"/>
              <w:right w:val="single" w:color="auto" w:sz="4" w:space="0"/>
            </w:tcBorders>
            <w:vAlign w:val="center"/>
          </w:tcPr>
          <w:p w14:paraId="4F681BA6">
            <w:pPr>
              <w:jc w:val="center"/>
              <w:rPr>
                <w:rFonts w:ascii="宋体" w:hAnsi="宋体"/>
                <w:color w:val="auto"/>
                <w:highlight w:val="none"/>
              </w:rPr>
            </w:pPr>
          </w:p>
        </w:tc>
        <w:tc>
          <w:tcPr>
            <w:tcW w:w="2069" w:type="dxa"/>
            <w:tcBorders>
              <w:left w:val="single" w:color="auto" w:sz="4" w:space="0"/>
              <w:right w:val="single" w:color="auto" w:sz="4" w:space="0"/>
            </w:tcBorders>
          </w:tcPr>
          <w:p w14:paraId="65303B9E">
            <w:pPr>
              <w:jc w:val="center"/>
              <w:rPr>
                <w:color w:val="auto"/>
                <w:highlight w:val="none"/>
              </w:rPr>
            </w:pPr>
          </w:p>
        </w:tc>
      </w:tr>
      <w:tr w14:paraId="58714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315B53B5">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39DFF070">
            <w:pPr>
              <w:rPr>
                <w:rFonts w:ascii="宋体" w:hAnsi="宋体"/>
                <w:color w:val="auto"/>
                <w:highlight w:val="none"/>
              </w:rPr>
            </w:pPr>
          </w:p>
        </w:tc>
        <w:tc>
          <w:tcPr>
            <w:tcW w:w="2117" w:type="dxa"/>
            <w:tcBorders>
              <w:left w:val="single" w:color="auto" w:sz="4" w:space="0"/>
              <w:right w:val="single" w:color="auto" w:sz="4" w:space="0"/>
            </w:tcBorders>
            <w:vAlign w:val="center"/>
          </w:tcPr>
          <w:p w14:paraId="2E5312E5">
            <w:pPr>
              <w:jc w:val="center"/>
              <w:rPr>
                <w:rFonts w:ascii="宋体" w:hAnsi="宋体"/>
                <w:color w:val="auto"/>
                <w:highlight w:val="none"/>
              </w:rPr>
            </w:pPr>
          </w:p>
        </w:tc>
        <w:tc>
          <w:tcPr>
            <w:tcW w:w="2069" w:type="dxa"/>
            <w:tcBorders>
              <w:left w:val="single" w:color="auto" w:sz="4" w:space="0"/>
              <w:right w:val="single" w:color="auto" w:sz="4" w:space="0"/>
            </w:tcBorders>
          </w:tcPr>
          <w:p w14:paraId="46307F5B">
            <w:pPr>
              <w:jc w:val="center"/>
              <w:rPr>
                <w:color w:val="auto"/>
                <w:highlight w:val="none"/>
              </w:rPr>
            </w:pPr>
          </w:p>
        </w:tc>
      </w:tr>
      <w:tr w14:paraId="2567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5797433C">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7045A559">
            <w:pPr>
              <w:rPr>
                <w:rFonts w:ascii="宋体" w:hAnsi="宋体"/>
                <w:color w:val="auto"/>
                <w:highlight w:val="none"/>
              </w:rPr>
            </w:pPr>
          </w:p>
        </w:tc>
        <w:tc>
          <w:tcPr>
            <w:tcW w:w="2117" w:type="dxa"/>
            <w:tcBorders>
              <w:left w:val="single" w:color="auto" w:sz="4" w:space="0"/>
              <w:right w:val="single" w:color="auto" w:sz="4" w:space="0"/>
            </w:tcBorders>
            <w:vAlign w:val="center"/>
          </w:tcPr>
          <w:p w14:paraId="215CCB60">
            <w:pPr>
              <w:jc w:val="center"/>
              <w:rPr>
                <w:rFonts w:ascii="宋体" w:hAnsi="宋体"/>
                <w:color w:val="auto"/>
                <w:highlight w:val="none"/>
              </w:rPr>
            </w:pPr>
          </w:p>
        </w:tc>
        <w:tc>
          <w:tcPr>
            <w:tcW w:w="2069" w:type="dxa"/>
            <w:tcBorders>
              <w:left w:val="single" w:color="auto" w:sz="4" w:space="0"/>
              <w:right w:val="single" w:color="auto" w:sz="4" w:space="0"/>
            </w:tcBorders>
          </w:tcPr>
          <w:p w14:paraId="695C6ECF">
            <w:pPr>
              <w:jc w:val="center"/>
              <w:rPr>
                <w:color w:val="auto"/>
                <w:highlight w:val="none"/>
              </w:rPr>
            </w:pPr>
          </w:p>
        </w:tc>
      </w:tr>
      <w:tr w14:paraId="39EA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2870F8D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0C64D7B3">
            <w:pPr>
              <w:rPr>
                <w:rFonts w:ascii="宋体" w:hAnsi="宋体"/>
                <w:color w:val="auto"/>
                <w:highlight w:val="none"/>
              </w:rPr>
            </w:pPr>
          </w:p>
        </w:tc>
        <w:tc>
          <w:tcPr>
            <w:tcW w:w="2117" w:type="dxa"/>
            <w:tcBorders>
              <w:left w:val="single" w:color="auto" w:sz="4" w:space="0"/>
              <w:right w:val="single" w:color="auto" w:sz="4" w:space="0"/>
            </w:tcBorders>
            <w:vAlign w:val="center"/>
          </w:tcPr>
          <w:p w14:paraId="51B5833F">
            <w:pPr>
              <w:jc w:val="center"/>
              <w:rPr>
                <w:rFonts w:ascii="宋体" w:hAnsi="宋体"/>
                <w:color w:val="auto"/>
                <w:highlight w:val="none"/>
              </w:rPr>
            </w:pPr>
          </w:p>
        </w:tc>
        <w:tc>
          <w:tcPr>
            <w:tcW w:w="2069" w:type="dxa"/>
            <w:tcBorders>
              <w:left w:val="single" w:color="auto" w:sz="4" w:space="0"/>
              <w:right w:val="single" w:color="auto" w:sz="4" w:space="0"/>
            </w:tcBorders>
          </w:tcPr>
          <w:p w14:paraId="59D2264F">
            <w:pPr>
              <w:jc w:val="center"/>
              <w:rPr>
                <w:color w:val="auto"/>
                <w:highlight w:val="none"/>
              </w:rPr>
            </w:pPr>
          </w:p>
        </w:tc>
      </w:tr>
      <w:tr w14:paraId="02C8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FE51A07">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6E3926AF">
            <w:pPr>
              <w:rPr>
                <w:rFonts w:ascii="宋体" w:hAnsi="宋体"/>
                <w:color w:val="auto"/>
                <w:highlight w:val="none"/>
              </w:rPr>
            </w:pPr>
          </w:p>
        </w:tc>
        <w:tc>
          <w:tcPr>
            <w:tcW w:w="2117" w:type="dxa"/>
            <w:tcBorders>
              <w:left w:val="single" w:color="auto" w:sz="4" w:space="0"/>
              <w:right w:val="single" w:color="auto" w:sz="4" w:space="0"/>
            </w:tcBorders>
            <w:vAlign w:val="center"/>
          </w:tcPr>
          <w:p w14:paraId="7D8FEA10">
            <w:pPr>
              <w:jc w:val="center"/>
              <w:rPr>
                <w:rFonts w:ascii="宋体" w:hAnsi="宋体"/>
                <w:color w:val="auto"/>
                <w:highlight w:val="none"/>
              </w:rPr>
            </w:pPr>
          </w:p>
        </w:tc>
        <w:tc>
          <w:tcPr>
            <w:tcW w:w="2069" w:type="dxa"/>
            <w:tcBorders>
              <w:left w:val="single" w:color="auto" w:sz="4" w:space="0"/>
              <w:right w:val="single" w:color="auto" w:sz="4" w:space="0"/>
            </w:tcBorders>
          </w:tcPr>
          <w:p w14:paraId="6B21BF2F">
            <w:pPr>
              <w:jc w:val="center"/>
              <w:rPr>
                <w:color w:val="auto"/>
                <w:highlight w:val="none"/>
              </w:rPr>
            </w:pPr>
          </w:p>
        </w:tc>
      </w:tr>
      <w:tr w14:paraId="109A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724ABB2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E579410">
            <w:pPr>
              <w:rPr>
                <w:rFonts w:ascii="宋体" w:hAnsi="宋体"/>
                <w:color w:val="auto"/>
                <w:highlight w:val="none"/>
              </w:rPr>
            </w:pPr>
          </w:p>
        </w:tc>
        <w:tc>
          <w:tcPr>
            <w:tcW w:w="2117" w:type="dxa"/>
            <w:tcBorders>
              <w:left w:val="single" w:color="auto" w:sz="4" w:space="0"/>
              <w:right w:val="single" w:color="auto" w:sz="4" w:space="0"/>
            </w:tcBorders>
            <w:vAlign w:val="center"/>
          </w:tcPr>
          <w:p w14:paraId="3F62A741">
            <w:pPr>
              <w:jc w:val="center"/>
              <w:rPr>
                <w:rFonts w:ascii="宋体" w:hAnsi="宋体"/>
                <w:color w:val="auto"/>
                <w:highlight w:val="none"/>
              </w:rPr>
            </w:pPr>
          </w:p>
        </w:tc>
        <w:tc>
          <w:tcPr>
            <w:tcW w:w="2069" w:type="dxa"/>
            <w:tcBorders>
              <w:left w:val="single" w:color="auto" w:sz="4" w:space="0"/>
              <w:right w:val="single" w:color="auto" w:sz="4" w:space="0"/>
            </w:tcBorders>
          </w:tcPr>
          <w:p w14:paraId="7ECA7B1E">
            <w:pPr>
              <w:jc w:val="center"/>
              <w:rPr>
                <w:color w:val="auto"/>
                <w:highlight w:val="none"/>
              </w:rPr>
            </w:pPr>
          </w:p>
        </w:tc>
      </w:tr>
      <w:tr w14:paraId="3C75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0B3FD0C">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26FF10D6">
            <w:pPr>
              <w:rPr>
                <w:rFonts w:ascii="宋体" w:hAnsi="宋体"/>
                <w:color w:val="auto"/>
                <w:highlight w:val="none"/>
              </w:rPr>
            </w:pPr>
          </w:p>
        </w:tc>
        <w:tc>
          <w:tcPr>
            <w:tcW w:w="2117" w:type="dxa"/>
            <w:tcBorders>
              <w:left w:val="single" w:color="auto" w:sz="4" w:space="0"/>
              <w:right w:val="single" w:color="auto" w:sz="4" w:space="0"/>
            </w:tcBorders>
            <w:vAlign w:val="center"/>
          </w:tcPr>
          <w:p w14:paraId="57001B66">
            <w:pPr>
              <w:jc w:val="center"/>
              <w:rPr>
                <w:rFonts w:ascii="宋体" w:hAnsi="宋体"/>
                <w:color w:val="auto"/>
                <w:highlight w:val="none"/>
              </w:rPr>
            </w:pPr>
          </w:p>
        </w:tc>
        <w:tc>
          <w:tcPr>
            <w:tcW w:w="2069" w:type="dxa"/>
            <w:tcBorders>
              <w:left w:val="single" w:color="auto" w:sz="4" w:space="0"/>
              <w:right w:val="single" w:color="auto" w:sz="4" w:space="0"/>
            </w:tcBorders>
          </w:tcPr>
          <w:p w14:paraId="5A764A9D">
            <w:pPr>
              <w:jc w:val="center"/>
              <w:rPr>
                <w:color w:val="auto"/>
                <w:highlight w:val="none"/>
              </w:rPr>
            </w:pPr>
          </w:p>
        </w:tc>
      </w:tr>
      <w:tr w14:paraId="34F7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334A0C4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814989C">
            <w:pPr>
              <w:rPr>
                <w:rFonts w:ascii="宋体" w:hAnsi="宋体"/>
                <w:color w:val="auto"/>
                <w:highlight w:val="none"/>
              </w:rPr>
            </w:pPr>
          </w:p>
        </w:tc>
        <w:tc>
          <w:tcPr>
            <w:tcW w:w="2117" w:type="dxa"/>
            <w:tcBorders>
              <w:left w:val="single" w:color="auto" w:sz="4" w:space="0"/>
              <w:right w:val="single" w:color="auto" w:sz="4" w:space="0"/>
            </w:tcBorders>
            <w:vAlign w:val="center"/>
          </w:tcPr>
          <w:p w14:paraId="56AADD8F">
            <w:pPr>
              <w:jc w:val="center"/>
              <w:rPr>
                <w:rFonts w:ascii="宋体" w:hAnsi="宋体"/>
                <w:color w:val="auto"/>
                <w:highlight w:val="none"/>
              </w:rPr>
            </w:pPr>
          </w:p>
        </w:tc>
        <w:tc>
          <w:tcPr>
            <w:tcW w:w="2069" w:type="dxa"/>
            <w:tcBorders>
              <w:left w:val="single" w:color="auto" w:sz="4" w:space="0"/>
              <w:right w:val="single" w:color="auto" w:sz="4" w:space="0"/>
            </w:tcBorders>
          </w:tcPr>
          <w:p w14:paraId="1BC1AD88">
            <w:pPr>
              <w:jc w:val="center"/>
              <w:rPr>
                <w:color w:val="auto"/>
                <w:highlight w:val="none"/>
              </w:rPr>
            </w:pPr>
          </w:p>
        </w:tc>
      </w:tr>
      <w:tr w14:paraId="4A59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4CB8940">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160396C8">
            <w:pPr>
              <w:rPr>
                <w:rFonts w:ascii="宋体" w:hAnsi="宋体"/>
                <w:color w:val="auto"/>
                <w:highlight w:val="none"/>
              </w:rPr>
            </w:pPr>
          </w:p>
        </w:tc>
        <w:tc>
          <w:tcPr>
            <w:tcW w:w="2117" w:type="dxa"/>
            <w:tcBorders>
              <w:left w:val="single" w:color="auto" w:sz="4" w:space="0"/>
              <w:right w:val="single" w:color="auto" w:sz="4" w:space="0"/>
            </w:tcBorders>
            <w:vAlign w:val="center"/>
          </w:tcPr>
          <w:p w14:paraId="4FA5EE87">
            <w:pPr>
              <w:jc w:val="center"/>
              <w:rPr>
                <w:rFonts w:ascii="宋体" w:hAnsi="宋体"/>
                <w:color w:val="auto"/>
                <w:highlight w:val="none"/>
              </w:rPr>
            </w:pPr>
          </w:p>
        </w:tc>
        <w:tc>
          <w:tcPr>
            <w:tcW w:w="2069" w:type="dxa"/>
            <w:tcBorders>
              <w:left w:val="single" w:color="auto" w:sz="4" w:space="0"/>
              <w:right w:val="single" w:color="auto" w:sz="4" w:space="0"/>
            </w:tcBorders>
          </w:tcPr>
          <w:p w14:paraId="6F319950">
            <w:pPr>
              <w:jc w:val="center"/>
              <w:rPr>
                <w:color w:val="auto"/>
                <w:highlight w:val="none"/>
              </w:rPr>
            </w:pPr>
          </w:p>
        </w:tc>
      </w:tr>
      <w:tr w14:paraId="19DB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D8BB1D5">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189DFCAA">
            <w:pPr>
              <w:rPr>
                <w:rFonts w:ascii="宋体" w:hAnsi="宋体"/>
                <w:color w:val="auto"/>
                <w:highlight w:val="none"/>
              </w:rPr>
            </w:pPr>
          </w:p>
        </w:tc>
        <w:tc>
          <w:tcPr>
            <w:tcW w:w="2117" w:type="dxa"/>
            <w:tcBorders>
              <w:left w:val="single" w:color="auto" w:sz="4" w:space="0"/>
              <w:right w:val="single" w:color="auto" w:sz="4" w:space="0"/>
            </w:tcBorders>
            <w:vAlign w:val="center"/>
          </w:tcPr>
          <w:p w14:paraId="40E72166">
            <w:pPr>
              <w:jc w:val="center"/>
              <w:rPr>
                <w:rFonts w:ascii="宋体" w:hAnsi="宋体"/>
                <w:color w:val="auto"/>
                <w:highlight w:val="none"/>
              </w:rPr>
            </w:pPr>
          </w:p>
        </w:tc>
        <w:tc>
          <w:tcPr>
            <w:tcW w:w="2069" w:type="dxa"/>
            <w:tcBorders>
              <w:left w:val="single" w:color="auto" w:sz="4" w:space="0"/>
              <w:right w:val="single" w:color="auto" w:sz="4" w:space="0"/>
            </w:tcBorders>
          </w:tcPr>
          <w:p w14:paraId="6929016F">
            <w:pPr>
              <w:jc w:val="center"/>
              <w:rPr>
                <w:color w:val="auto"/>
                <w:highlight w:val="none"/>
              </w:rPr>
            </w:pPr>
          </w:p>
        </w:tc>
      </w:tr>
      <w:tr w14:paraId="18B4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750D4D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5F5D1AA9">
            <w:pPr>
              <w:rPr>
                <w:rFonts w:ascii="宋体" w:hAnsi="宋体"/>
                <w:color w:val="auto"/>
                <w:highlight w:val="none"/>
              </w:rPr>
            </w:pPr>
          </w:p>
        </w:tc>
        <w:tc>
          <w:tcPr>
            <w:tcW w:w="2117" w:type="dxa"/>
            <w:tcBorders>
              <w:left w:val="single" w:color="auto" w:sz="4" w:space="0"/>
              <w:right w:val="single" w:color="auto" w:sz="4" w:space="0"/>
            </w:tcBorders>
            <w:vAlign w:val="center"/>
          </w:tcPr>
          <w:p w14:paraId="278A4A8E">
            <w:pPr>
              <w:jc w:val="center"/>
              <w:rPr>
                <w:rFonts w:ascii="宋体" w:hAnsi="宋体"/>
                <w:color w:val="auto"/>
                <w:highlight w:val="none"/>
              </w:rPr>
            </w:pPr>
          </w:p>
        </w:tc>
        <w:tc>
          <w:tcPr>
            <w:tcW w:w="2069" w:type="dxa"/>
            <w:tcBorders>
              <w:left w:val="single" w:color="auto" w:sz="4" w:space="0"/>
              <w:right w:val="single" w:color="auto" w:sz="4" w:space="0"/>
            </w:tcBorders>
          </w:tcPr>
          <w:p w14:paraId="56B796A1">
            <w:pPr>
              <w:jc w:val="center"/>
              <w:rPr>
                <w:color w:val="auto"/>
                <w:highlight w:val="none"/>
              </w:rPr>
            </w:pPr>
          </w:p>
        </w:tc>
      </w:tr>
    </w:tbl>
    <w:p w14:paraId="27A3ECF8">
      <w:pPr>
        <w:rPr>
          <w:rFonts w:hint="eastAsia" w:eastAsia="宋体"/>
          <w:color w:val="auto"/>
          <w:highlight w:val="none"/>
          <w:lang w:val="en-US" w:eastAsia="zh-CN"/>
        </w:rPr>
      </w:pPr>
      <w:r>
        <w:rPr>
          <w:rFonts w:hint="eastAsia" w:eastAsia="宋体"/>
          <w:color w:val="auto"/>
          <w:highlight w:val="none"/>
          <w:lang w:val="en-US" w:eastAsia="zh-CN"/>
        </w:rPr>
        <w:br w:type="page"/>
      </w:r>
    </w:p>
    <w:p w14:paraId="4FAC0A37">
      <w:pPr>
        <w:numPr>
          <w:ins w:id="0" w:author="XH" w:date=""/>
        </w:numPr>
        <w:adjustRightInd/>
        <w:jc w:val="both"/>
        <w:rPr>
          <w:rFonts w:hint="eastAsia"/>
          <w:b/>
          <w:bCs/>
          <w:i w:val="0"/>
          <w:iCs w:val="0"/>
          <w:color w:val="auto"/>
          <w:szCs w:val="28"/>
          <w:highlight w:val="none"/>
        </w:rPr>
      </w:pPr>
      <w:r>
        <w:rPr>
          <w:rFonts w:hint="eastAsia" w:asciiTheme="minorEastAsia" w:hAnsiTheme="minorEastAsia" w:eastAsiaTheme="minorEastAsia" w:cstheme="minorEastAsia"/>
          <w:b w:val="0"/>
          <w:bCs w:val="0"/>
          <w:color w:val="auto"/>
          <w:sz w:val="21"/>
          <w:szCs w:val="21"/>
          <w:highlight w:val="none"/>
          <w:lang w:val="en-US" w:eastAsia="zh-CN"/>
        </w:rPr>
        <w:t>附件九</w:t>
      </w:r>
    </w:p>
    <w:p w14:paraId="0A395FDE">
      <w:pPr>
        <w:numPr>
          <w:ins w:id="1" w:author="XH" w:date=""/>
        </w:numPr>
        <w:adjustRightInd/>
        <w:jc w:val="center"/>
        <w:rPr>
          <w:rFonts w:hint="eastAsia"/>
          <w:b/>
          <w:bCs/>
          <w:i w:val="0"/>
          <w:iCs w:val="0"/>
          <w:color w:val="auto"/>
          <w:szCs w:val="28"/>
          <w:highlight w:val="none"/>
        </w:rPr>
      </w:pPr>
    </w:p>
    <w:p w14:paraId="7DEB67D6">
      <w:pPr>
        <w:numPr>
          <w:ins w:id="2" w:author="XH" w:date=""/>
        </w:numPr>
        <w:adjustRightInd/>
        <w:jc w:val="center"/>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业绩汇总表（评分业绩的汇总）</w:t>
      </w:r>
    </w:p>
    <w:tbl>
      <w:tblPr>
        <w:tblStyle w:val="3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3379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11" w:hRule="atLeast"/>
          <w:jc w:val="center"/>
        </w:trPr>
        <w:tc>
          <w:tcPr>
            <w:tcW w:w="684" w:type="dxa"/>
            <w:noWrap w:val="0"/>
            <w:vAlign w:val="center"/>
          </w:tcPr>
          <w:p w14:paraId="406C6DEC">
            <w:pPr>
              <w:keepNext w:val="0"/>
              <w:keepLines w:val="0"/>
              <w:numPr>
                <w:ins w:id="3"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序号</w:t>
            </w:r>
          </w:p>
        </w:tc>
        <w:tc>
          <w:tcPr>
            <w:tcW w:w="1486" w:type="dxa"/>
            <w:noWrap w:val="0"/>
            <w:vAlign w:val="center"/>
          </w:tcPr>
          <w:p w14:paraId="672543E0">
            <w:pPr>
              <w:keepNext w:val="0"/>
              <w:keepLines w:val="0"/>
              <w:numPr>
                <w:ins w:id="4"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该业绩证明</w:t>
            </w:r>
          </w:p>
          <w:p w14:paraId="33193522">
            <w:pPr>
              <w:keepNext w:val="0"/>
              <w:keepLines w:val="0"/>
              <w:numPr>
                <w:ins w:id="5"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对象</w:t>
            </w:r>
          </w:p>
        </w:tc>
        <w:tc>
          <w:tcPr>
            <w:tcW w:w="1218" w:type="dxa"/>
            <w:noWrap w:val="0"/>
            <w:vAlign w:val="center"/>
          </w:tcPr>
          <w:p w14:paraId="070E4AE2">
            <w:pPr>
              <w:keepNext w:val="0"/>
              <w:keepLines w:val="0"/>
              <w:numPr>
                <w:ins w:id="6"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cs="Times New Roman"/>
                <w:b/>
                <w:bCs/>
                <w:i w:val="0"/>
                <w:iCs w:val="0"/>
                <w:color w:val="auto"/>
                <w:highlight w:val="none"/>
              </w:rPr>
              <w:t>工程</w:t>
            </w:r>
            <w:r>
              <w:rPr>
                <w:rFonts w:hint="default" w:ascii="Times New Roman" w:hAnsi="Times New Roman" w:cs="Times New Roman"/>
                <w:b/>
                <w:bCs/>
                <w:i w:val="0"/>
                <w:iCs w:val="0"/>
                <w:color w:val="auto"/>
                <w:highlight w:val="none"/>
              </w:rPr>
              <w:t>名称</w:t>
            </w:r>
          </w:p>
        </w:tc>
        <w:tc>
          <w:tcPr>
            <w:tcW w:w="1537" w:type="dxa"/>
            <w:noWrap w:val="0"/>
            <w:vAlign w:val="center"/>
          </w:tcPr>
          <w:p w14:paraId="4491461A">
            <w:pPr>
              <w:keepNext w:val="0"/>
              <w:keepLines w:val="0"/>
              <w:numPr>
                <w:ins w:id="7"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eastAsia="宋体" w:cs="Times New Roman"/>
                <w:b/>
                <w:bCs/>
                <w:i w:val="0"/>
                <w:iCs w:val="0"/>
                <w:color w:val="auto"/>
                <w:highlight w:val="none"/>
                <w:lang w:val="en-US" w:eastAsia="zh-CN"/>
              </w:rPr>
              <w:t>采购</w:t>
            </w:r>
            <w:r>
              <w:rPr>
                <w:rFonts w:hint="default" w:ascii="Times New Roman" w:hAnsi="Times New Roman" w:cs="Times New Roman"/>
                <w:b/>
                <w:bCs/>
                <w:i w:val="0"/>
                <w:iCs w:val="0"/>
                <w:color w:val="auto"/>
                <w:highlight w:val="none"/>
              </w:rPr>
              <w:t>单位</w:t>
            </w:r>
          </w:p>
        </w:tc>
        <w:tc>
          <w:tcPr>
            <w:tcW w:w="1631" w:type="dxa"/>
            <w:noWrap w:val="0"/>
            <w:vAlign w:val="center"/>
          </w:tcPr>
          <w:p w14:paraId="6F04380E">
            <w:pPr>
              <w:keepNext w:val="0"/>
              <w:keepLines w:val="0"/>
              <w:numPr>
                <w:ins w:id="8"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与评审有关的时间、规模、技术指标及其他要求</w:t>
            </w:r>
          </w:p>
        </w:tc>
        <w:tc>
          <w:tcPr>
            <w:tcW w:w="1175" w:type="dxa"/>
            <w:noWrap w:val="0"/>
            <w:vAlign w:val="center"/>
          </w:tcPr>
          <w:p w14:paraId="5BA363D1">
            <w:pPr>
              <w:keepNext w:val="0"/>
              <w:keepLines w:val="0"/>
              <w:numPr>
                <w:ins w:id="9"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提交证明材料内容</w:t>
            </w:r>
          </w:p>
        </w:tc>
        <w:tc>
          <w:tcPr>
            <w:tcW w:w="1114" w:type="dxa"/>
            <w:noWrap w:val="0"/>
            <w:vAlign w:val="center"/>
          </w:tcPr>
          <w:p w14:paraId="1E22B42E">
            <w:pPr>
              <w:keepNext w:val="0"/>
              <w:keepLines w:val="0"/>
              <w:numPr>
                <w:ins w:id="10"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在投标文件的位置</w:t>
            </w:r>
          </w:p>
        </w:tc>
      </w:tr>
      <w:tr w14:paraId="2E13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397" w:hRule="atLeast"/>
          <w:jc w:val="center"/>
        </w:trPr>
        <w:tc>
          <w:tcPr>
            <w:tcW w:w="684" w:type="dxa"/>
            <w:noWrap w:val="0"/>
            <w:vAlign w:val="center"/>
          </w:tcPr>
          <w:p w14:paraId="53C430FB">
            <w:pPr>
              <w:keepNext w:val="0"/>
              <w:keepLines w:val="0"/>
              <w:numPr>
                <w:ins w:id="1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p>
        </w:tc>
        <w:tc>
          <w:tcPr>
            <w:tcW w:w="1486" w:type="dxa"/>
            <w:noWrap w:val="0"/>
            <w:vAlign w:val="center"/>
          </w:tcPr>
          <w:p w14:paraId="7F2ABD53">
            <w:pPr>
              <w:keepNext w:val="0"/>
              <w:keepLines w:val="0"/>
              <w:numPr>
                <w:ins w:id="12"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例如：企业名称或</w:t>
            </w:r>
            <w:r>
              <w:rPr>
                <w:rFonts w:hint="default" w:ascii="Times New Roman" w:hAnsi="宋体" w:cs="Times New Roman"/>
                <w:i w:val="0"/>
                <w:iCs w:val="0"/>
                <w:color w:val="auto"/>
                <w:highlight w:val="none"/>
              </w:rPr>
              <w:t>项目负责人</w:t>
            </w:r>
            <w:r>
              <w:rPr>
                <w:rFonts w:hint="default" w:ascii="Times New Roman" w:hAnsi="Times New Roman" w:cs="Times New Roman"/>
                <w:i w:val="0"/>
                <w:iCs w:val="0"/>
                <w:color w:val="auto"/>
                <w:highlight w:val="none"/>
              </w:rPr>
              <w:t>或技术负责人名字等</w:t>
            </w:r>
          </w:p>
        </w:tc>
        <w:tc>
          <w:tcPr>
            <w:tcW w:w="1218" w:type="dxa"/>
            <w:noWrap w:val="0"/>
            <w:vAlign w:val="center"/>
          </w:tcPr>
          <w:p w14:paraId="594C20BB">
            <w:pPr>
              <w:keepNext w:val="0"/>
              <w:keepLines w:val="0"/>
              <w:numPr>
                <w:ins w:id="13"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例如：XX工程等</w:t>
            </w:r>
          </w:p>
        </w:tc>
        <w:tc>
          <w:tcPr>
            <w:tcW w:w="1537" w:type="dxa"/>
            <w:noWrap w:val="0"/>
            <w:vAlign w:val="center"/>
          </w:tcPr>
          <w:p w14:paraId="2A5E5530">
            <w:pPr>
              <w:keepNext w:val="0"/>
              <w:keepLines w:val="0"/>
              <w:numPr>
                <w:ins w:id="14"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例如：XX公司或指挥部等</w:t>
            </w:r>
          </w:p>
        </w:tc>
        <w:tc>
          <w:tcPr>
            <w:tcW w:w="1631" w:type="dxa"/>
            <w:noWrap w:val="0"/>
            <w:vAlign w:val="center"/>
          </w:tcPr>
          <w:p w14:paraId="59AB0C26">
            <w:pPr>
              <w:keepNext w:val="0"/>
              <w:keepLines w:val="0"/>
              <w:numPr>
                <w:ins w:id="15"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例如：X年X月X日完成，长度或深度X米等</w:t>
            </w:r>
          </w:p>
        </w:tc>
        <w:tc>
          <w:tcPr>
            <w:tcW w:w="1175" w:type="dxa"/>
            <w:noWrap w:val="0"/>
            <w:vAlign w:val="center"/>
          </w:tcPr>
          <w:p w14:paraId="7C0959D2">
            <w:pPr>
              <w:keepNext w:val="0"/>
              <w:keepLines w:val="0"/>
              <w:numPr>
                <w:ins w:id="16"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例如：施工合同或中标通知书等</w:t>
            </w:r>
          </w:p>
        </w:tc>
        <w:tc>
          <w:tcPr>
            <w:tcW w:w="1114" w:type="dxa"/>
            <w:noWrap w:val="0"/>
            <w:vAlign w:val="center"/>
          </w:tcPr>
          <w:p w14:paraId="532C1D39">
            <w:pPr>
              <w:keepNext w:val="0"/>
              <w:keepLines w:val="0"/>
              <w:numPr>
                <w:ins w:id="17"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例如：投标文件第X页</w:t>
            </w:r>
          </w:p>
        </w:tc>
      </w:tr>
      <w:tr w14:paraId="3796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4C7A9AC3">
            <w:pPr>
              <w:keepNext w:val="0"/>
              <w:keepLines w:val="0"/>
              <w:numPr>
                <w:ins w:id="18"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2</w:t>
            </w:r>
          </w:p>
        </w:tc>
        <w:tc>
          <w:tcPr>
            <w:tcW w:w="1486" w:type="dxa"/>
            <w:noWrap w:val="0"/>
            <w:vAlign w:val="center"/>
          </w:tcPr>
          <w:p w14:paraId="517F4983">
            <w:pPr>
              <w:keepNext w:val="0"/>
              <w:keepLines w:val="0"/>
              <w:numPr>
                <w:ins w:id="19"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w:t>
            </w:r>
          </w:p>
        </w:tc>
        <w:tc>
          <w:tcPr>
            <w:tcW w:w="1218" w:type="dxa"/>
            <w:noWrap w:val="0"/>
            <w:vAlign w:val="center"/>
          </w:tcPr>
          <w:p w14:paraId="49797CB4">
            <w:pPr>
              <w:keepNext w:val="0"/>
              <w:keepLines w:val="0"/>
              <w:numPr>
                <w:ins w:id="20"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14:paraId="378993D8">
            <w:pPr>
              <w:keepNext w:val="0"/>
              <w:keepLines w:val="0"/>
              <w:numPr>
                <w:ins w:id="2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14:paraId="1FFC6CC5">
            <w:pPr>
              <w:keepNext w:val="0"/>
              <w:keepLines w:val="0"/>
              <w:numPr>
                <w:ins w:id="22"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14:paraId="47706397">
            <w:pPr>
              <w:keepNext w:val="0"/>
              <w:keepLines w:val="0"/>
              <w:numPr>
                <w:ins w:id="23"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14:paraId="47BCB2E3">
            <w:pPr>
              <w:keepNext w:val="0"/>
              <w:keepLines w:val="0"/>
              <w:numPr>
                <w:ins w:id="24"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r w14:paraId="44F2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7B9BF1F0">
            <w:pPr>
              <w:keepNext w:val="0"/>
              <w:keepLines w:val="0"/>
              <w:numPr>
                <w:ins w:id="25"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486" w:type="dxa"/>
            <w:noWrap w:val="0"/>
            <w:vAlign w:val="center"/>
          </w:tcPr>
          <w:p w14:paraId="1C56B8D3">
            <w:pPr>
              <w:keepNext w:val="0"/>
              <w:keepLines w:val="0"/>
              <w:numPr>
                <w:ins w:id="26"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218" w:type="dxa"/>
            <w:noWrap w:val="0"/>
            <w:vAlign w:val="center"/>
          </w:tcPr>
          <w:p w14:paraId="4C2FCA68">
            <w:pPr>
              <w:keepNext w:val="0"/>
              <w:keepLines w:val="0"/>
              <w:numPr>
                <w:ins w:id="27"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14:paraId="594407B5">
            <w:pPr>
              <w:keepNext w:val="0"/>
              <w:keepLines w:val="0"/>
              <w:numPr>
                <w:ins w:id="28"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14:paraId="68FA64B5">
            <w:pPr>
              <w:keepNext w:val="0"/>
              <w:keepLines w:val="0"/>
              <w:numPr>
                <w:ins w:id="29"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14:paraId="75D96437">
            <w:pPr>
              <w:keepNext w:val="0"/>
              <w:keepLines w:val="0"/>
              <w:numPr>
                <w:ins w:id="30"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14:paraId="15294CCA">
            <w:pPr>
              <w:keepNext w:val="0"/>
              <w:keepLines w:val="0"/>
              <w:numPr>
                <w:ins w:id="31"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bl>
    <w:p w14:paraId="04AF775A">
      <w:pPr>
        <w:numPr>
          <w:ins w:id="32" w:author="XH" w:date=""/>
        </w:numPr>
        <w:adjustRightInd/>
        <w:rPr>
          <w:rFonts w:hint="eastAsia" w:ascii="宋体" w:hAnsi="宋体"/>
          <w:i w:val="0"/>
          <w:iCs w:val="0"/>
          <w:color w:val="auto"/>
          <w:highlight w:val="none"/>
        </w:rPr>
      </w:pPr>
      <w:r>
        <w:rPr>
          <w:rFonts w:hAnsi="宋体"/>
          <w:i w:val="0"/>
          <w:iCs w:val="0"/>
          <w:color w:val="auto"/>
          <w:szCs w:val="21"/>
          <w:highlight w:val="none"/>
        </w:rPr>
        <w:t xml:space="preserve"> </w:t>
      </w:r>
      <w:r>
        <w:rPr>
          <w:rFonts w:ascii="宋体" w:hAnsi="宋体"/>
          <w:i w:val="0"/>
          <w:iCs w:val="0"/>
          <w:color w:val="auto"/>
          <w:highlight w:val="none"/>
        </w:rPr>
        <w:t xml:space="preserve"> </w:t>
      </w:r>
    </w:p>
    <w:p w14:paraId="50CB260B">
      <w:pPr>
        <w:spacing w:line="400" w:lineRule="exact"/>
        <w:rPr>
          <w:rFonts w:hint="eastAsia" w:eastAsia="宋体"/>
          <w:color w:val="auto"/>
          <w:highlight w:val="none"/>
          <w:lang w:val="en-US" w:eastAsia="zh-CN"/>
        </w:rPr>
      </w:pPr>
      <w:r>
        <w:rPr>
          <w:rFonts w:hint="eastAsia" w:eastAsia="宋体"/>
          <w:color w:val="auto"/>
          <w:highlight w:val="none"/>
          <w:lang w:val="en-US" w:eastAsia="zh-CN"/>
        </w:rPr>
        <w:t>备注：（1）业绩汇总表须按所附证明材料如实填写，</w:t>
      </w:r>
      <w:r>
        <w:rPr>
          <w:rFonts w:hint="eastAsia" w:eastAsia="宋体"/>
          <w:b/>
          <w:bCs/>
          <w:color w:val="auto"/>
          <w:highlight w:val="none"/>
          <w:lang w:val="en-US" w:eastAsia="zh-CN"/>
        </w:rPr>
        <w:t>未录入此表的不作为评审依据；</w:t>
      </w:r>
    </w:p>
    <w:p w14:paraId="1CEB9EFC">
      <w:pPr>
        <w:spacing w:line="400" w:lineRule="exact"/>
        <w:rPr>
          <w:rFonts w:hint="default" w:eastAsia="宋体"/>
          <w:color w:val="auto"/>
          <w:highlight w:val="none"/>
          <w:lang w:val="en-US" w:eastAsia="zh-CN"/>
        </w:rPr>
      </w:pPr>
      <w:r>
        <w:rPr>
          <w:rFonts w:hint="eastAsia" w:eastAsia="宋体"/>
          <w:color w:val="auto"/>
          <w:highlight w:val="none"/>
          <w:lang w:val="en-US" w:eastAsia="zh-CN"/>
        </w:rPr>
        <w:t>（2）本项目投标人最多可填报2个评分业绩，填报数量超过要求的，</w:t>
      </w:r>
      <w:r>
        <w:rPr>
          <w:rFonts w:hint="eastAsia" w:eastAsia="宋体"/>
          <w:b/>
          <w:bCs/>
          <w:color w:val="auto"/>
          <w:highlight w:val="none"/>
          <w:lang w:val="en-US" w:eastAsia="zh-CN"/>
        </w:rPr>
        <w:t>超过的业绩不再评审</w:t>
      </w:r>
      <w:r>
        <w:rPr>
          <w:rFonts w:hint="eastAsia" w:eastAsia="宋体"/>
          <w:color w:val="auto"/>
          <w:highlight w:val="none"/>
          <w:lang w:val="en-US" w:eastAsia="zh-CN"/>
        </w:rPr>
        <w:t>。</w:t>
      </w:r>
    </w:p>
    <w:p w14:paraId="4735EFBF">
      <w:pPr>
        <w:wordWrap w:val="0"/>
        <w:jc w:val="both"/>
        <w:rPr>
          <w:rFonts w:ascii="宋体" w:hAnsi="宋体" w:cs="宋体"/>
          <w:color w:val="auto"/>
          <w:sz w:val="28"/>
          <w:szCs w:val="28"/>
          <w:highlight w:val="none"/>
        </w:rPr>
      </w:pPr>
      <w:r>
        <w:rPr>
          <w:color w:val="auto"/>
          <w:highlight w:val="none"/>
        </w:rPr>
        <w:br w:type="page"/>
      </w:r>
    </w:p>
    <w:p w14:paraId="421440F0">
      <w:pPr>
        <w:pStyle w:val="54"/>
        <w:rPr>
          <w:color w:val="auto"/>
          <w:highlight w:val="none"/>
        </w:rPr>
        <w:sectPr>
          <w:headerReference r:id="rId17" w:type="default"/>
          <w:footerReference r:id="rId18" w:type="default"/>
          <w:footerReference r:id="rId19" w:type="even"/>
          <w:pgSz w:w="11906" w:h="16838"/>
          <w:pgMar w:top="1418" w:right="1418" w:bottom="1418" w:left="1418" w:header="851" w:footer="992" w:gutter="0"/>
          <w:pgNumType w:fmt="decimal"/>
          <w:cols w:space="720" w:num="1"/>
          <w:titlePg/>
          <w:docGrid w:type="lines" w:linePitch="312" w:charSpace="0"/>
        </w:sectPr>
      </w:pPr>
    </w:p>
    <w:p w14:paraId="1E0C12D4">
      <w:pPr>
        <w:jc w:val="center"/>
        <w:rPr>
          <w:color w:val="auto"/>
          <w:sz w:val="30"/>
          <w:szCs w:val="30"/>
          <w:highlight w:val="none"/>
          <w:u w:val="single"/>
        </w:rPr>
      </w:pPr>
    </w:p>
    <w:p w14:paraId="503B081C">
      <w:pPr>
        <w:jc w:val="center"/>
        <w:rPr>
          <w:color w:val="auto"/>
          <w:sz w:val="30"/>
          <w:szCs w:val="30"/>
          <w:highlight w:val="none"/>
        </w:rPr>
      </w:pPr>
      <w:r>
        <w:rPr>
          <w:rFonts w:hint="eastAsia"/>
          <w:color w:val="auto"/>
          <w:sz w:val="30"/>
          <w:szCs w:val="30"/>
          <w:highlight w:val="none"/>
          <w:u w:val="single"/>
        </w:rPr>
        <w:t xml:space="preserve">                      </w:t>
      </w:r>
      <w:r>
        <w:rPr>
          <w:rFonts w:hint="eastAsia"/>
          <w:color w:val="auto"/>
          <w:sz w:val="30"/>
          <w:szCs w:val="30"/>
          <w:highlight w:val="none"/>
        </w:rPr>
        <w:t>（项目名称）招标</w:t>
      </w:r>
      <w:r>
        <w:rPr>
          <w:rFonts w:hint="eastAsia"/>
          <w:color w:val="auto"/>
          <w:sz w:val="30"/>
          <w:szCs w:val="30"/>
          <w:highlight w:val="none"/>
        </w:rPr>
        <w:cr/>
      </w:r>
    </w:p>
    <w:p w14:paraId="03B303C0">
      <w:pPr>
        <w:jc w:val="center"/>
        <w:rPr>
          <w:color w:val="auto"/>
          <w:sz w:val="44"/>
          <w:szCs w:val="44"/>
          <w:highlight w:val="none"/>
        </w:rPr>
      </w:pPr>
    </w:p>
    <w:p w14:paraId="05A38D9B">
      <w:pPr>
        <w:jc w:val="center"/>
        <w:rPr>
          <w:color w:val="auto"/>
          <w:sz w:val="44"/>
          <w:szCs w:val="44"/>
          <w:highlight w:val="none"/>
        </w:rPr>
      </w:pPr>
    </w:p>
    <w:p w14:paraId="6E7C3744">
      <w:pPr>
        <w:jc w:val="center"/>
        <w:rPr>
          <w:color w:val="auto"/>
          <w:sz w:val="44"/>
          <w:szCs w:val="44"/>
          <w:highlight w:val="none"/>
        </w:rPr>
      </w:pPr>
    </w:p>
    <w:p w14:paraId="2E61223E">
      <w:pPr>
        <w:jc w:val="center"/>
        <w:rPr>
          <w:color w:val="auto"/>
          <w:sz w:val="44"/>
          <w:szCs w:val="44"/>
          <w:highlight w:val="none"/>
        </w:rPr>
      </w:pPr>
      <w:r>
        <w:rPr>
          <w:rFonts w:hint="eastAsia"/>
          <w:color w:val="auto"/>
          <w:sz w:val="44"/>
          <w:szCs w:val="44"/>
          <w:highlight w:val="none"/>
        </w:rPr>
        <w:t>资格审查资料</w:t>
      </w:r>
    </w:p>
    <w:p w14:paraId="5F6B65C9">
      <w:pPr>
        <w:jc w:val="center"/>
        <w:rPr>
          <w:color w:val="auto"/>
          <w:sz w:val="18"/>
          <w:szCs w:val="18"/>
          <w:highlight w:val="none"/>
        </w:rPr>
      </w:pPr>
    </w:p>
    <w:p w14:paraId="362CB1E0">
      <w:pPr>
        <w:jc w:val="center"/>
        <w:rPr>
          <w:color w:val="auto"/>
          <w:sz w:val="18"/>
          <w:szCs w:val="18"/>
          <w:highlight w:val="none"/>
        </w:rPr>
      </w:pPr>
    </w:p>
    <w:p w14:paraId="6BB0C0C1">
      <w:pPr>
        <w:jc w:val="center"/>
        <w:rPr>
          <w:color w:val="auto"/>
          <w:sz w:val="18"/>
          <w:szCs w:val="18"/>
          <w:highlight w:val="none"/>
        </w:rPr>
      </w:pPr>
    </w:p>
    <w:p w14:paraId="76DF98E8">
      <w:pPr>
        <w:jc w:val="center"/>
        <w:rPr>
          <w:color w:val="auto"/>
          <w:sz w:val="18"/>
          <w:szCs w:val="18"/>
          <w:highlight w:val="none"/>
        </w:rPr>
      </w:pPr>
    </w:p>
    <w:p w14:paraId="7AF9F297">
      <w:pPr>
        <w:jc w:val="center"/>
        <w:rPr>
          <w:color w:val="auto"/>
          <w:sz w:val="18"/>
          <w:szCs w:val="18"/>
          <w:highlight w:val="none"/>
        </w:rPr>
      </w:pPr>
    </w:p>
    <w:p w14:paraId="61DC83DD">
      <w:pPr>
        <w:jc w:val="center"/>
        <w:rPr>
          <w:color w:val="auto"/>
          <w:sz w:val="18"/>
          <w:szCs w:val="18"/>
          <w:highlight w:val="none"/>
        </w:rPr>
      </w:pPr>
    </w:p>
    <w:p w14:paraId="63BB9C9C">
      <w:pPr>
        <w:jc w:val="center"/>
        <w:rPr>
          <w:color w:val="auto"/>
          <w:sz w:val="18"/>
          <w:szCs w:val="18"/>
          <w:highlight w:val="none"/>
        </w:rPr>
      </w:pPr>
    </w:p>
    <w:p w14:paraId="2F73F905">
      <w:pPr>
        <w:jc w:val="center"/>
        <w:rPr>
          <w:color w:val="auto"/>
          <w:sz w:val="18"/>
          <w:szCs w:val="18"/>
          <w:highlight w:val="none"/>
        </w:rPr>
      </w:pPr>
    </w:p>
    <w:p w14:paraId="0F250152">
      <w:pPr>
        <w:jc w:val="center"/>
        <w:rPr>
          <w:color w:val="auto"/>
          <w:sz w:val="18"/>
          <w:szCs w:val="18"/>
          <w:highlight w:val="none"/>
        </w:rPr>
      </w:pPr>
    </w:p>
    <w:p w14:paraId="19B06BBA">
      <w:pPr>
        <w:jc w:val="center"/>
        <w:rPr>
          <w:color w:val="auto"/>
          <w:sz w:val="18"/>
          <w:szCs w:val="18"/>
          <w:highlight w:val="none"/>
        </w:rPr>
      </w:pPr>
    </w:p>
    <w:p w14:paraId="2021763F">
      <w:pPr>
        <w:jc w:val="center"/>
        <w:rPr>
          <w:color w:val="auto"/>
          <w:sz w:val="18"/>
          <w:szCs w:val="18"/>
          <w:highlight w:val="none"/>
        </w:rPr>
      </w:pPr>
    </w:p>
    <w:p w14:paraId="3EC200CA">
      <w:pPr>
        <w:jc w:val="center"/>
        <w:rPr>
          <w:color w:val="auto"/>
          <w:sz w:val="18"/>
          <w:szCs w:val="18"/>
          <w:highlight w:val="none"/>
        </w:rPr>
      </w:pPr>
    </w:p>
    <w:p w14:paraId="33A51E2D">
      <w:pPr>
        <w:jc w:val="center"/>
        <w:rPr>
          <w:color w:val="auto"/>
          <w:sz w:val="18"/>
          <w:szCs w:val="18"/>
          <w:highlight w:val="none"/>
        </w:rPr>
      </w:pPr>
    </w:p>
    <w:p w14:paraId="60836130">
      <w:pPr>
        <w:jc w:val="center"/>
        <w:rPr>
          <w:color w:val="auto"/>
          <w:sz w:val="18"/>
          <w:szCs w:val="18"/>
          <w:highlight w:val="none"/>
        </w:rPr>
      </w:pPr>
    </w:p>
    <w:p w14:paraId="2B345B29">
      <w:pPr>
        <w:jc w:val="center"/>
        <w:rPr>
          <w:color w:val="auto"/>
          <w:sz w:val="18"/>
          <w:szCs w:val="18"/>
          <w:highlight w:val="none"/>
        </w:rPr>
      </w:pPr>
    </w:p>
    <w:p w14:paraId="1299FCE1">
      <w:pPr>
        <w:jc w:val="center"/>
        <w:rPr>
          <w:color w:val="auto"/>
          <w:sz w:val="18"/>
          <w:szCs w:val="18"/>
          <w:highlight w:val="none"/>
        </w:rPr>
      </w:pPr>
    </w:p>
    <w:p w14:paraId="3886F411">
      <w:pPr>
        <w:jc w:val="center"/>
        <w:rPr>
          <w:color w:val="auto"/>
          <w:sz w:val="18"/>
          <w:szCs w:val="18"/>
          <w:highlight w:val="none"/>
        </w:rPr>
      </w:pPr>
    </w:p>
    <w:p w14:paraId="2C4E1016">
      <w:pPr>
        <w:jc w:val="center"/>
        <w:rPr>
          <w:color w:val="auto"/>
          <w:sz w:val="18"/>
          <w:szCs w:val="18"/>
          <w:highlight w:val="none"/>
        </w:rPr>
      </w:pPr>
    </w:p>
    <w:p w14:paraId="49CBE2A6">
      <w:pPr>
        <w:jc w:val="center"/>
        <w:rPr>
          <w:color w:val="auto"/>
          <w:sz w:val="18"/>
          <w:szCs w:val="18"/>
          <w:highlight w:val="none"/>
        </w:rPr>
      </w:pPr>
    </w:p>
    <w:p w14:paraId="2DC2DF29">
      <w:pPr>
        <w:jc w:val="center"/>
        <w:rPr>
          <w:color w:val="auto"/>
          <w:sz w:val="18"/>
          <w:szCs w:val="18"/>
          <w:highlight w:val="none"/>
        </w:rPr>
      </w:pPr>
    </w:p>
    <w:p w14:paraId="27F7EE1B">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14:paraId="6D763CDA">
      <w:pPr>
        <w:spacing w:line="560" w:lineRule="exact"/>
        <w:ind w:firstLine="2240" w:firstLineChars="800"/>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p>
    <w:p w14:paraId="6C095621">
      <w:pPr>
        <w:spacing w:line="360" w:lineRule="auto"/>
        <w:rPr>
          <w:color w:val="auto"/>
          <w:sz w:val="28"/>
          <w:szCs w:val="28"/>
          <w:highlight w:val="none"/>
        </w:rPr>
      </w:pPr>
      <w:r>
        <w:rPr>
          <w:color w:val="auto"/>
          <w:sz w:val="28"/>
          <w:szCs w:val="28"/>
          <w:highlight w:val="none"/>
        </w:rPr>
        <w:br w:type="page"/>
      </w:r>
    </w:p>
    <w:p w14:paraId="7766D273">
      <w:pPr>
        <w:spacing w:line="360" w:lineRule="auto"/>
        <w:rPr>
          <w:b/>
          <w:color w:val="auto"/>
          <w:sz w:val="28"/>
          <w:szCs w:val="28"/>
          <w:highlight w:val="none"/>
        </w:rPr>
      </w:pPr>
      <w:r>
        <w:rPr>
          <w:rFonts w:hint="eastAsia"/>
          <w:b/>
          <w:color w:val="auto"/>
          <w:sz w:val="28"/>
          <w:szCs w:val="28"/>
          <w:highlight w:val="none"/>
        </w:rPr>
        <w:t>资格后审投标人必须提交的资料（</w:t>
      </w:r>
      <w:r>
        <w:rPr>
          <w:rFonts w:hint="eastAsia" w:eastAsia="宋体"/>
          <w:b/>
          <w:color w:val="auto"/>
          <w:sz w:val="28"/>
          <w:szCs w:val="28"/>
          <w:highlight w:val="none"/>
        </w:rPr>
        <w:t>复制件</w:t>
      </w:r>
      <w:r>
        <w:rPr>
          <w:rFonts w:hint="eastAsia"/>
          <w:b/>
          <w:color w:val="auto"/>
          <w:sz w:val="28"/>
          <w:szCs w:val="28"/>
          <w:highlight w:val="none"/>
        </w:rPr>
        <w:t>加盖公章）：</w:t>
      </w:r>
    </w:p>
    <w:p w14:paraId="55595D2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(1)企业法人营业执照</w:t>
      </w:r>
      <w:r>
        <w:rPr>
          <w:rFonts w:hint="eastAsia" w:ascii="宋体" w:hAnsi="宋体" w:eastAsia="宋体" w:cs="宋体"/>
          <w:color w:val="auto"/>
          <w:highlight w:val="none"/>
          <w:lang w:eastAsia="zh-CN"/>
        </w:rPr>
        <w:t>；</w:t>
      </w:r>
    </w:p>
    <w:p w14:paraId="709850EE">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(2)特种设备制造许可证或特种设备生产许可证</w:t>
      </w:r>
      <w:r>
        <w:rPr>
          <w:rFonts w:hint="eastAsia" w:ascii="宋体" w:hAnsi="宋体" w:eastAsia="宋体" w:cs="宋体"/>
          <w:color w:val="auto"/>
          <w:highlight w:val="none"/>
          <w:lang w:eastAsia="zh-CN"/>
        </w:rPr>
        <w:t>；</w:t>
      </w:r>
    </w:p>
    <w:p w14:paraId="3EEE6DD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(3)制造商授权书(</w:t>
      </w:r>
      <w:r>
        <w:rPr>
          <w:rFonts w:hint="eastAsia" w:ascii="宋体" w:hAnsi="宋体" w:eastAsia="宋体" w:cs="宋体"/>
          <w:color w:val="auto"/>
          <w:highlight w:val="none"/>
          <w:lang w:val="en-US" w:eastAsia="zh-CN"/>
        </w:rPr>
        <w:t>附件九</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14:paraId="6CC88A6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(4)法定代表人身份证明(</w:t>
      </w:r>
      <w:r>
        <w:rPr>
          <w:rFonts w:hint="eastAsia" w:ascii="宋体" w:hAnsi="宋体" w:eastAsia="宋体" w:cs="宋体"/>
          <w:color w:val="auto"/>
          <w:highlight w:val="none"/>
          <w:lang w:val="en-US" w:eastAsia="zh-CN"/>
        </w:rPr>
        <w:t>附件十</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14:paraId="20D10F4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(5)法定代表人授权委托书(若有)(</w:t>
      </w:r>
      <w:r>
        <w:rPr>
          <w:rFonts w:hint="eastAsia" w:ascii="宋体" w:hAnsi="宋体" w:eastAsia="宋体" w:cs="宋体"/>
          <w:color w:val="auto"/>
          <w:highlight w:val="none"/>
          <w:lang w:val="en-US" w:eastAsia="zh-CN"/>
        </w:rPr>
        <w:t>附件十一</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14:paraId="188DAD6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(6)投标承诺书(</w:t>
      </w:r>
      <w:r>
        <w:rPr>
          <w:rFonts w:hint="eastAsia" w:ascii="宋体" w:hAnsi="宋体" w:eastAsia="宋体" w:cs="宋体"/>
          <w:color w:val="auto"/>
          <w:highlight w:val="none"/>
          <w:lang w:val="en-US" w:eastAsia="zh-CN"/>
        </w:rPr>
        <w:t>附件十二</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14:paraId="35A80FC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(7)投标保证金缴纳证明资料</w:t>
      </w:r>
      <w:r>
        <w:rPr>
          <w:rFonts w:hint="eastAsia" w:ascii="宋体" w:hAnsi="宋体" w:eastAsia="宋体" w:cs="宋体"/>
          <w:color w:val="auto"/>
          <w:highlight w:val="none"/>
          <w:lang w:eastAsia="zh-CN"/>
        </w:rPr>
        <w:t>；</w:t>
      </w:r>
    </w:p>
    <w:p w14:paraId="26B0F21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(8)其他资料:提供满足前附表3.5.7实质性响应招标文件要求的其他资料包括业绩证明材料等。</w:t>
      </w:r>
    </w:p>
    <w:p w14:paraId="3311BD8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AA1BE70">
      <w:pPr>
        <w:rPr>
          <w:color w:val="auto"/>
          <w:highlight w:val="none"/>
        </w:rPr>
      </w:pPr>
    </w:p>
    <w:p w14:paraId="161C1CD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p>
    <w:p w14:paraId="173D2254">
      <w:pPr>
        <w:pStyle w:val="3"/>
        <w:spacing w:before="120" w:after="12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附件</w:t>
      </w:r>
      <w:r>
        <w:rPr>
          <w:rFonts w:hint="eastAsia" w:ascii="宋体" w:hAnsi="宋体" w:eastAsia="宋体" w:cs="宋体"/>
          <w:b w:val="0"/>
          <w:bCs w:val="0"/>
          <w:color w:val="auto"/>
          <w:sz w:val="21"/>
          <w:szCs w:val="21"/>
          <w:highlight w:val="none"/>
          <w:lang w:val="en-US" w:eastAsia="zh-CN"/>
        </w:rPr>
        <w:t>九</w:t>
      </w:r>
    </w:p>
    <w:p w14:paraId="26C37D5A">
      <w:pPr>
        <w:pStyle w:val="3"/>
        <w:spacing w:before="120" w:after="120"/>
        <w:jc w:val="center"/>
        <w:rPr>
          <w:rFonts w:hint="eastAsia" w:ascii="宋体" w:hAnsi="宋体" w:eastAsia="宋体" w:cs="宋体"/>
          <w:color w:val="auto"/>
          <w:highlight w:val="none"/>
        </w:rPr>
      </w:pPr>
      <w:r>
        <w:rPr>
          <w:rFonts w:hint="eastAsia" w:ascii="宋体" w:hAnsi="宋体" w:eastAsia="宋体" w:cs="宋体"/>
          <w:color w:val="auto"/>
          <w:highlight w:val="none"/>
        </w:rPr>
        <w:t>制造商授权书</w:t>
      </w:r>
    </w:p>
    <w:p w14:paraId="1D0EFDE4">
      <w:pPr>
        <w:jc w:val="center"/>
        <w:rPr>
          <w:color w:val="auto"/>
          <w:highlight w:val="none"/>
        </w:rPr>
      </w:pPr>
      <w:r>
        <w:rPr>
          <w:color w:val="auto"/>
          <w:highlight w:val="none"/>
        </w:rPr>
        <w:t>（参考格式，</w:t>
      </w:r>
      <w:r>
        <w:rPr>
          <w:rFonts w:hint="eastAsia"/>
          <w:b/>
          <w:bCs/>
          <w:color w:val="auto"/>
          <w:highlight w:val="none"/>
        </w:rPr>
        <w:t>仅</w:t>
      </w:r>
      <w:r>
        <w:rPr>
          <w:b/>
          <w:bCs/>
          <w:color w:val="auto"/>
          <w:highlight w:val="none"/>
        </w:rPr>
        <w:t>适用于代理商投标</w:t>
      </w:r>
      <w:r>
        <w:rPr>
          <w:color w:val="auto"/>
          <w:highlight w:val="none"/>
        </w:rPr>
        <w:t>）</w:t>
      </w:r>
    </w:p>
    <w:p w14:paraId="0C7EDBE2">
      <w:pPr>
        <w:spacing w:line="400" w:lineRule="exact"/>
        <w:rPr>
          <w:color w:val="auto"/>
          <w:highlight w:val="none"/>
        </w:rPr>
      </w:pPr>
    </w:p>
    <w:p w14:paraId="04E91C45">
      <w:pPr>
        <w:spacing w:line="400" w:lineRule="exact"/>
        <w:rPr>
          <w:color w:val="auto"/>
          <w:highlight w:val="none"/>
        </w:rPr>
      </w:pPr>
      <w:r>
        <w:rPr>
          <w:color w:val="auto"/>
          <w:highlight w:val="none"/>
        </w:rPr>
        <w:t>致：</w:t>
      </w:r>
      <w:r>
        <w:rPr>
          <w:rFonts w:hint="eastAsia" w:eastAsia="宋体"/>
          <w:b w:val="0"/>
          <w:bCs w:val="0"/>
          <w:color w:val="auto"/>
          <w:highlight w:val="none"/>
          <w:u w:val="single"/>
        </w:rPr>
        <w:t xml:space="preserve">                               </w:t>
      </w:r>
      <w:r>
        <w:rPr>
          <w:b w:val="0"/>
          <w:bCs w:val="0"/>
          <w:color w:val="auto"/>
          <w:highlight w:val="none"/>
        </w:rPr>
        <w:t>（</w:t>
      </w:r>
      <w:r>
        <w:rPr>
          <w:color w:val="auto"/>
          <w:highlight w:val="none"/>
        </w:rPr>
        <w:t>招标人名称）</w:t>
      </w:r>
    </w:p>
    <w:p w14:paraId="7A379117">
      <w:pPr>
        <w:spacing w:line="400" w:lineRule="exact"/>
        <w:ind w:firstLine="420" w:firstLineChars="200"/>
        <w:rPr>
          <w:color w:val="auto"/>
          <w:highlight w:val="none"/>
        </w:rPr>
      </w:pPr>
      <w:r>
        <w:rPr>
          <w:color w:val="auto"/>
          <w:highlight w:val="none"/>
          <w:u w:val="single"/>
        </w:rPr>
        <w:t xml:space="preserve">                  </w:t>
      </w:r>
      <w:r>
        <w:rPr>
          <w:color w:val="auto"/>
          <w:highlight w:val="none"/>
        </w:rPr>
        <w:t>（制造厂家名称）是根据所在地国家法律正式成立的，</w:t>
      </w:r>
      <w:r>
        <w:rPr>
          <w:rFonts w:hint="eastAsia"/>
          <w:color w:val="auto"/>
          <w:highlight w:val="none"/>
        </w:rPr>
        <w:t>电梯</w:t>
      </w:r>
      <w:r>
        <w:rPr>
          <w:color w:val="auto"/>
          <w:highlight w:val="none"/>
        </w:rPr>
        <w:t>品牌为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，主要营业地点在</w:t>
      </w:r>
      <w:r>
        <w:rPr>
          <w:color w:val="auto"/>
          <w:highlight w:val="none"/>
          <w:u w:val="single"/>
        </w:rPr>
        <w:t xml:space="preserve">               </w:t>
      </w:r>
      <w:r>
        <w:rPr>
          <w:color w:val="auto"/>
          <w:highlight w:val="none"/>
        </w:rPr>
        <w:t>（制造厂家地址）。兹授予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（代理商名称）</w:t>
      </w:r>
      <w:r>
        <w:rPr>
          <w:rFonts w:hint="eastAsia"/>
          <w:color w:val="auto"/>
          <w:highlight w:val="none"/>
        </w:rPr>
        <w:t>进行该项目投标</w:t>
      </w:r>
      <w:r>
        <w:rPr>
          <w:color w:val="auto"/>
          <w:highlight w:val="none"/>
        </w:rPr>
        <w:t>，全权办理</w:t>
      </w:r>
      <w:r>
        <w:rPr>
          <w:rFonts w:hint="eastAsia" w:eastAsia="宋体"/>
          <w:b w:val="0"/>
          <w:bCs w:val="0"/>
          <w:color w:val="auto"/>
          <w:highlight w:val="none"/>
          <w:u w:val="single"/>
        </w:rPr>
        <w:t xml:space="preserve">                                    </w:t>
      </w:r>
      <w:r>
        <w:rPr>
          <w:color w:val="auto"/>
          <w:highlight w:val="none"/>
        </w:rPr>
        <w:t>招标文件要求提供</w:t>
      </w:r>
      <w:r>
        <w:rPr>
          <w:rFonts w:hint="eastAsia"/>
          <w:color w:val="auto"/>
          <w:highlight w:val="none"/>
        </w:rPr>
        <w:t>的，</w:t>
      </w:r>
      <w:r>
        <w:rPr>
          <w:color w:val="auto"/>
          <w:highlight w:val="none"/>
        </w:rPr>
        <w:t>由我</w:t>
      </w:r>
      <w:r>
        <w:rPr>
          <w:rFonts w:hint="eastAsia"/>
          <w:color w:val="auto"/>
          <w:highlight w:val="none"/>
        </w:rPr>
        <w:t>方</w:t>
      </w:r>
      <w:r>
        <w:rPr>
          <w:color w:val="auto"/>
          <w:highlight w:val="none"/>
        </w:rPr>
        <w:t>生产或制造的货物有关事宜</w:t>
      </w:r>
      <w:r>
        <w:rPr>
          <w:rFonts w:hint="eastAsia"/>
          <w:color w:val="auto"/>
          <w:highlight w:val="none"/>
        </w:rPr>
        <w:t>予以认可。</w:t>
      </w:r>
    </w:p>
    <w:p w14:paraId="4129BF9C">
      <w:pPr>
        <w:pStyle w:val="29"/>
        <w:spacing w:line="360" w:lineRule="auto"/>
        <w:ind w:firstLine="0" w:firstLineChars="0"/>
        <w:rPr>
          <w:color w:val="auto"/>
          <w:sz w:val="21"/>
          <w:highlight w:val="none"/>
        </w:rPr>
      </w:pPr>
      <w:r>
        <w:rPr>
          <w:rFonts w:hint="eastAsia"/>
          <w:color w:val="auto"/>
          <w:highlight w:val="none"/>
        </w:rPr>
        <w:t xml:space="preserve"> </w:t>
      </w:r>
      <w:r>
        <w:rPr>
          <w:color w:val="auto"/>
          <w:highlight w:val="none"/>
        </w:rPr>
        <w:t xml:space="preserve"> </w:t>
      </w:r>
      <w:r>
        <w:rPr>
          <w:color w:val="auto"/>
          <w:sz w:val="21"/>
          <w:highlight w:val="none"/>
        </w:rPr>
        <w:t xml:space="preserve">  </w:t>
      </w:r>
      <w:r>
        <w:rPr>
          <w:rFonts w:hint="eastAsia"/>
          <w:color w:val="auto"/>
          <w:sz w:val="21"/>
          <w:highlight w:val="none"/>
        </w:rPr>
        <w:t>本品牌电梯仅委托</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w:t>
      </w:r>
      <w:r>
        <w:rPr>
          <w:rFonts w:hint="eastAsia"/>
          <w:color w:val="auto"/>
          <w:sz w:val="21"/>
          <w:highlight w:val="none"/>
        </w:rPr>
        <w:t>代理商名称）作为我方唯一代理商参加投标，若出现我方委托两家及以上代理商参加该项目投标的，同意全部作废标处理。</w:t>
      </w:r>
    </w:p>
    <w:p w14:paraId="7D59C7FC">
      <w:pPr>
        <w:spacing w:line="400" w:lineRule="exact"/>
        <w:rPr>
          <w:color w:val="auto"/>
          <w:highlight w:val="none"/>
        </w:rPr>
      </w:pPr>
    </w:p>
    <w:p w14:paraId="3081F1C0">
      <w:pPr>
        <w:spacing w:line="400" w:lineRule="exact"/>
        <w:ind w:firstLine="480"/>
        <w:rPr>
          <w:color w:val="auto"/>
          <w:highlight w:val="none"/>
        </w:rPr>
      </w:pPr>
      <w:r>
        <w:rPr>
          <w:color w:val="auto"/>
          <w:highlight w:val="none"/>
        </w:rPr>
        <w:t>我方于      年</w:t>
      </w:r>
      <w:r>
        <w:rPr>
          <w:rFonts w:hint="eastAsia"/>
          <w:color w:val="auto"/>
          <w:highlight w:val="none"/>
        </w:rPr>
        <w:t xml:space="preserve"> </w:t>
      </w:r>
      <w:r>
        <w:rPr>
          <w:color w:val="auto"/>
          <w:highlight w:val="none"/>
        </w:rPr>
        <w:t xml:space="preserve">   月    日签署本文，</w:t>
      </w:r>
      <w:r>
        <w:rPr>
          <w:rFonts w:hint="eastAsia"/>
          <w:color w:val="auto"/>
          <w:highlight w:val="none"/>
        </w:rPr>
        <w:t>授权有效期同本次投标有效期，正本有效，复印无效</w:t>
      </w:r>
      <w:r>
        <w:rPr>
          <w:color w:val="auto"/>
          <w:highlight w:val="none"/>
        </w:rPr>
        <w:t>。</w:t>
      </w:r>
    </w:p>
    <w:p w14:paraId="65ED8D94">
      <w:pPr>
        <w:spacing w:line="400" w:lineRule="exact"/>
        <w:ind w:firstLine="480"/>
        <w:rPr>
          <w:color w:val="auto"/>
          <w:highlight w:val="none"/>
        </w:rPr>
      </w:pPr>
      <w:r>
        <w:rPr>
          <w:color w:val="auto"/>
          <w:highlight w:val="none"/>
        </w:rPr>
        <w:t xml:space="preserve">         </w:t>
      </w:r>
    </w:p>
    <w:p w14:paraId="23BD743E">
      <w:pPr>
        <w:pStyle w:val="13"/>
        <w:spacing w:line="400" w:lineRule="exact"/>
        <w:ind w:left="146" w:leftChars="23" w:hanging="98" w:hangingChars="47"/>
        <w:rPr>
          <w:color w:val="auto"/>
          <w:highlight w:val="none"/>
        </w:rPr>
      </w:pPr>
    </w:p>
    <w:p w14:paraId="467A9304">
      <w:pPr>
        <w:pStyle w:val="13"/>
        <w:spacing w:line="400" w:lineRule="exact"/>
        <w:ind w:left="146" w:leftChars="23" w:hanging="98" w:hangingChars="47"/>
        <w:rPr>
          <w:color w:val="auto"/>
          <w:highlight w:val="none"/>
        </w:rPr>
      </w:pPr>
    </w:p>
    <w:p w14:paraId="2A2BC2AB">
      <w:pPr>
        <w:pStyle w:val="13"/>
        <w:spacing w:line="400" w:lineRule="exact"/>
        <w:ind w:left="840" w:hanging="420"/>
        <w:rPr>
          <w:color w:val="auto"/>
          <w:highlight w:val="none"/>
        </w:rPr>
      </w:pPr>
      <w:r>
        <w:rPr>
          <w:color w:val="auto"/>
          <w:highlight w:val="none"/>
        </w:rPr>
        <w:t>制造商（盖章）：</w:t>
      </w:r>
    </w:p>
    <w:p w14:paraId="1ECF762C">
      <w:pPr>
        <w:pStyle w:val="13"/>
        <w:spacing w:line="400" w:lineRule="exact"/>
        <w:ind w:left="840" w:hanging="420"/>
        <w:rPr>
          <w:color w:val="auto"/>
          <w:highlight w:val="none"/>
        </w:rPr>
      </w:pPr>
      <w:r>
        <w:rPr>
          <w:rFonts w:hint="eastAsia"/>
          <w:color w:val="auto"/>
          <w:highlight w:val="none"/>
        </w:rPr>
        <w:t>盖章日期：</w:t>
      </w:r>
    </w:p>
    <w:p w14:paraId="6E19A44D">
      <w:pPr>
        <w:pStyle w:val="13"/>
        <w:spacing w:line="400" w:lineRule="exact"/>
        <w:ind w:left="840" w:hanging="420"/>
        <w:rPr>
          <w:color w:val="auto"/>
          <w:highlight w:val="none"/>
        </w:rPr>
      </w:pPr>
    </w:p>
    <w:p w14:paraId="66D68571">
      <w:pPr>
        <w:pStyle w:val="13"/>
        <w:spacing w:line="400" w:lineRule="exact"/>
        <w:ind w:left="840" w:hanging="420"/>
        <w:rPr>
          <w:color w:val="auto"/>
          <w:highlight w:val="none"/>
        </w:rPr>
      </w:pPr>
    </w:p>
    <w:p w14:paraId="2BA36E11">
      <w:pPr>
        <w:pStyle w:val="13"/>
        <w:spacing w:line="400" w:lineRule="exact"/>
        <w:ind w:left="840" w:hanging="420"/>
        <w:rPr>
          <w:color w:val="auto"/>
          <w:highlight w:val="none"/>
        </w:rPr>
      </w:pPr>
    </w:p>
    <w:p w14:paraId="3C093752">
      <w:pPr>
        <w:pStyle w:val="13"/>
        <w:spacing w:line="400" w:lineRule="exact"/>
        <w:ind w:left="840" w:hanging="420"/>
        <w:rPr>
          <w:color w:val="auto"/>
          <w:highlight w:val="none"/>
        </w:rPr>
      </w:pPr>
      <w:r>
        <w:rPr>
          <w:rFonts w:hint="eastAsia"/>
          <w:color w:val="auto"/>
          <w:highlight w:val="none"/>
        </w:rPr>
        <w:t>代理</w:t>
      </w:r>
      <w:r>
        <w:rPr>
          <w:color w:val="auto"/>
          <w:highlight w:val="none"/>
        </w:rPr>
        <w:t>商（盖章）：</w:t>
      </w:r>
    </w:p>
    <w:p w14:paraId="72FADB47">
      <w:pPr>
        <w:pStyle w:val="13"/>
        <w:spacing w:line="400" w:lineRule="exact"/>
        <w:ind w:left="840" w:hanging="420"/>
        <w:rPr>
          <w:color w:val="auto"/>
          <w:highlight w:val="none"/>
        </w:rPr>
      </w:pPr>
      <w:r>
        <w:rPr>
          <w:rFonts w:hint="eastAsia"/>
          <w:color w:val="auto"/>
          <w:highlight w:val="none"/>
        </w:rPr>
        <w:t>盖章日期：</w:t>
      </w:r>
    </w:p>
    <w:p w14:paraId="4EBB3C9C">
      <w:pPr>
        <w:pStyle w:val="20"/>
        <w:rPr>
          <w:rFonts w:hint="eastAsia"/>
          <w:color w:val="000000"/>
          <w:highlight w:val="none"/>
        </w:rPr>
      </w:pPr>
    </w:p>
    <w:p w14:paraId="0CAB06B9">
      <w:pPr>
        <w:rPr>
          <w:rFonts w:hint="eastAsia"/>
          <w:color w:val="000000"/>
          <w:highlight w:val="none"/>
        </w:rPr>
      </w:pPr>
    </w:p>
    <w:p w14:paraId="4B058862">
      <w:pPr>
        <w:rPr>
          <w:rFonts w:hint="eastAsia" w:hAnsi="宋体"/>
          <w:bCs/>
          <w:color w:val="auto"/>
          <w:sz w:val="21"/>
          <w:szCs w:val="21"/>
          <w:highlight w:val="none"/>
        </w:rPr>
      </w:pPr>
      <w:r>
        <w:rPr>
          <w:rFonts w:hint="eastAsia" w:hAnsi="宋体"/>
          <w:bCs/>
          <w:color w:val="auto"/>
          <w:sz w:val="21"/>
          <w:szCs w:val="21"/>
          <w:highlight w:val="none"/>
        </w:rPr>
        <w:br w:type="page"/>
      </w:r>
    </w:p>
    <w:p w14:paraId="61F41D4D">
      <w:pPr>
        <w:pStyle w:val="22"/>
        <w:ind w:left="0" w:leftChars="0" w:firstLine="0" w:firstLineChars="0"/>
        <w:jc w:val="both"/>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附件十</w:t>
      </w:r>
    </w:p>
    <w:p w14:paraId="03715BE3">
      <w:pPr>
        <w:pStyle w:val="22"/>
        <w:jc w:val="center"/>
        <w:rPr>
          <w:rFonts w:hint="eastAsia" w:hAnsi="宋体"/>
          <w:b/>
          <w:color w:val="auto"/>
          <w:sz w:val="32"/>
          <w:szCs w:val="32"/>
          <w:highlight w:val="none"/>
        </w:rPr>
      </w:pPr>
      <w:r>
        <w:rPr>
          <w:rFonts w:hint="eastAsia" w:hAnsi="宋体"/>
          <w:b/>
          <w:color w:val="auto"/>
          <w:sz w:val="32"/>
          <w:szCs w:val="32"/>
          <w:highlight w:val="none"/>
        </w:rPr>
        <w:t>法定代表人身份证明</w:t>
      </w:r>
    </w:p>
    <w:p w14:paraId="6FBE33B7">
      <w:pPr>
        <w:spacing w:line="290" w:lineRule="auto"/>
        <w:jc w:val="both"/>
        <w:rPr>
          <w:color w:val="000000"/>
          <w:highlight w:val="none"/>
        </w:rPr>
      </w:pPr>
    </w:p>
    <w:p w14:paraId="619D7660">
      <w:pPr>
        <w:spacing w:line="290" w:lineRule="auto"/>
        <w:jc w:val="both"/>
        <w:rPr>
          <w:color w:val="000000"/>
          <w:highlight w:val="none"/>
        </w:rPr>
      </w:pPr>
    </w:p>
    <w:p w14:paraId="1CEE5B94">
      <w:pPr>
        <w:spacing w:line="291" w:lineRule="auto"/>
        <w:jc w:val="both"/>
        <w:rPr>
          <w:color w:val="000000"/>
          <w:highlight w:val="none"/>
        </w:rPr>
      </w:pPr>
    </w:p>
    <w:p w14:paraId="2E906155">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投标人名称：</w:t>
      </w:r>
      <w:r>
        <w:rPr>
          <w:rFonts w:ascii="宋体" w:hAnsi="宋体" w:eastAsia="宋体" w:cs="宋体"/>
          <w:color w:val="000000"/>
          <w:sz w:val="23"/>
          <w:szCs w:val="23"/>
          <w:highlight w:val="none"/>
          <w:u w:val="single"/>
        </w:rPr>
        <w:t xml:space="preserve">                                         </w:t>
      </w:r>
    </w:p>
    <w:p w14:paraId="76869037">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单位性质：</w:t>
      </w:r>
      <w:r>
        <w:rPr>
          <w:rFonts w:ascii="宋体" w:hAnsi="宋体" w:eastAsia="宋体" w:cs="宋体"/>
          <w:color w:val="000000"/>
          <w:sz w:val="23"/>
          <w:szCs w:val="23"/>
          <w:highlight w:val="none"/>
          <w:u w:val="single"/>
        </w:rPr>
        <w:t xml:space="preserve">                                         </w:t>
      </w:r>
    </w:p>
    <w:p w14:paraId="0F3FAEE4">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地址：</w:t>
      </w:r>
      <w:r>
        <w:rPr>
          <w:rFonts w:ascii="宋体" w:hAnsi="宋体" w:eastAsia="宋体" w:cs="宋体"/>
          <w:color w:val="000000"/>
          <w:sz w:val="23"/>
          <w:szCs w:val="23"/>
          <w:highlight w:val="none"/>
          <w:u w:val="single"/>
        </w:rPr>
        <w:t xml:space="preserve">                                         </w:t>
      </w:r>
    </w:p>
    <w:p w14:paraId="73CF401E">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成立时间：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1C064CFA">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经营期限：</w:t>
      </w:r>
      <w:r>
        <w:rPr>
          <w:rFonts w:ascii="宋体" w:hAnsi="宋体" w:eastAsia="宋体" w:cs="宋体"/>
          <w:color w:val="000000"/>
          <w:sz w:val="23"/>
          <w:szCs w:val="23"/>
          <w:highlight w:val="none"/>
          <w:u w:val="single"/>
        </w:rPr>
        <w:t xml:space="preserve">                                         </w:t>
      </w:r>
    </w:p>
    <w:p w14:paraId="186274A6">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姓名：</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性别：</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年龄：</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职务：</w:t>
      </w:r>
      <w:r>
        <w:rPr>
          <w:rFonts w:ascii="宋体" w:hAnsi="宋体" w:eastAsia="宋体" w:cs="宋体"/>
          <w:color w:val="000000"/>
          <w:sz w:val="23"/>
          <w:szCs w:val="23"/>
          <w:highlight w:val="none"/>
          <w:u w:val="single"/>
        </w:rPr>
        <w:t xml:space="preserve">   </w:t>
      </w:r>
    </w:p>
    <w:p w14:paraId="3B1B8FC8">
      <w:pPr>
        <w:spacing w:line="440" w:lineRule="exact"/>
        <w:ind w:left="105" w:leftChars="5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系(投标人名称)的法定代表人。特此证明。</w:t>
      </w:r>
    </w:p>
    <w:p w14:paraId="5E2F02DE">
      <w:pPr>
        <w:spacing w:line="259" w:lineRule="auto"/>
        <w:jc w:val="both"/>
        <w:rPr>
          <w:color w:val="000000"/>
          <w:highlight w:val="none"/>
        </w:rPr>
      </w:pPr>
    </w:p>
    <w:p w14:paraId="3E517078">
      <w:pPr>
        <w:spacing w:line="259" w:lineRule="auto"/>
        <w:jc w:val="both"/>
        <w:rPr>
          <w:color w:val="000000"/>
          <w:highlight w:val="none"/>
        </w:rPr>
      </w:pPr>
    </w:p>
    <w:p w14:paraId="4F4959F2">
      <w:pPr>
        <w:spacing w:line="260" w:lineRule="auto"/>
        <w:jc w:val="both"/>
        <w:rPr>
          <w:color w:val="000000"/>
          <w:highlight w:val="none"/>
        </w:rPr>
      </w:pPr>
    </w:p>
    <w:p w14:paraId="4BBAB115">
      <w:pPr>
        <w:tabs>
          <w:tab w:val="left" w:pos="7132"/>
        </w:tabs>
        <w:spacing w:before="75" w:line="384" w:lineRule="auto"/>
        <w:ind w:left="6162" w:right="203" w:hanging="118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 xml:space="preserve"> (盖章)</w:t>
      </w:r>
    </w:p>
    <w:p w14:paraId="09BC6F56">
      <w:pPr>
        <w:tabs>
          <w:tab w:val="left" w:pos="7132"/>
        </w:tabs>
        <w:spacing w:before="75" w:line="384" w:lineRule="auto"/>
        <w:ind w:left="6162" w:right="203" w:hanging="118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2DB4B810">
      <w:pPr>
        <w:tabs>
          <w:tab w:val="left" w:pos="6144"/>
        </w:tabs>
        <w:spacing w:before="75" w:line="384" w:lineRule="auto"/>
        <w:ind w:left="5053" w:hanging="467"/>
        <w:jc w:val="both"/>
        <w:rPr>
          <w:rFonts w:ascii="宋体" w:hAnsi="宋体" w:eastAsia="宋体" w:cs="宋体"/>
          <w:color w:val="000000"/>
          <w:sz w:val="23"/>
          <w:szCs w:val="23"/>
          <w:highlight w:val="none"/>
        </w:rPr>
      </w:pPr>
    </w:p>
    <w:p w14:paraId="5E5E26C9">
      <w:pPr>
        <w:jc w:val="both"/>
        <w:rPr>
          <w:color w:val="000000"/>
          <w:highlight w:val="none"/>
        </w:rPr>
      </w:pPr>
    </w:p>
    <w:p w14:paraId="2E674400">
      <w:pPr>
        <w:spacing w:line="140" w:lineRule="exact"/>
        <w:jc w:val="both"/>
        <w:rPr>
          <w:color w:val="000000"/>
          <w:highlight w:val="none"/>
        </w:rPr>
      </w:pPr>
    </w:p>
    <w:tbl>
      <w:tblPr>
        <w:tblStyle w:val="55"/>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767D1A5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7E1BA565">
            <w:pPr>
              <w:spacing w:line="257" w:lineRule="auto"/>
              <w:jc w:val="both"/>
              <w:rPr>
                <w:color w:val="000000"/>
                <w:highlight w:val="none"/>
              </w:rPr>
            </w:pPr>
          </w:p>
          <w:p w14:paraId="49786166">
            <w:pPr>
              <w:spacing w:line="258" w:lineRule="auto"/>
              <w:jc w:val="both"/>
              <w:rPr>
                <w:color w:val="000000"/>
                <w:highlight w:val="none"/>
              </w:rPr>
            </w:pPr>
          </w:p>
          <w:p w14:paraId="09B15722">
            <w:pPr>
              <w:spacing w:before="74" w:line="228" w:lineRule="auto"/>
              <w:ind w:left="2458"/>
              <w:jc w:val="both"/>
              <w:outlineLvl w:val="1"/>
              <w:rPr>
                <w:rFonts w:ascii="宋体" w:hAnsi="宋体" w:eastAsia="宋体" w:cs="宋体"/>
                <w:color w:val="000000"/>
                <w:sz w:val="23"/>
                <w:szCs w:val="23"/>
                <w:highlight w:val="none"/>
              </w:rPr>
            </w:pPr>
            <w:r>
              <w:rPr>
                <w:rFonts w:ascii="宋体" w:hAnsi="宋体" w:eastAsia="宋体" w:cs="宋体"/>
                <w:color w:val="000000"/>
                <w:sz w:val="23"/>
                <w:szCs w:val="23"/>
                <w:highlight w:val="none"/>
              </w:rPr>
              <w:t>法定代表人身份证复制件</w:t>
            </w:r>
          </w:p>
        </w:tc>
      </w:tr>
    </w:tbl>
    <w:p w14:paraId="1D4DC862">
      <w:pPr>
        <w:pStyle w:val="22"/>
        <w:ind w:left="0" w:leftChars="0" w:firstLine="0" w:firstLineChars="0"/>
        <w:rPr>
          <w:rFonts w:hint="eastAsia" w:hAnsi="宋体"/>
          <w:bCs/>
          <w:color w:val="auto"/>
          <w:sz w:val="21"/>
          <w:szCs w:val="21"/>
          <w:highlight w:val="none"/>
        </w:rPr>
      </w:pPr>
    </w:p>
    <w:p w14:paraId="6364F83F">
      <w:pPr>
        <w:rPr>
          <w:rFonts w:hint="eastAsia" w:hAnsi="宋体"/>
          <w:bCs/>
          <w:color w:val="auto"/>
          <w:sz w:val="21"/>
          <w:szCs w:val="21"/>
          <w:highlight w:val="none"/>
        </w:rPr>
      </w:pPr>
      <w:r>
        <w:rPr>
          <w:rFonts w:hint="eastAsia" w:hAnsi="宋体"/>
          <w:bCs/>
          <w:color w:val="auto"/>
          <w:sz w:val="21"/>
          <w:szCs w:val="21"/>
          <w:highlight w:val="none"/>
        </w:rPr>
        <w:br w:type="page"/>
      </w:r>
    </w:p>
    <w:p w14:paraId="7B017ABA">
      <w:pPr>
        <w:pStyle w:val="22"/>
        <w:ind w:left="0" w:leftChars="0" w:firstLine="0" w:firstLineChars="0"/>
        <w:rPr>
          <w:rFonts w:hint="eastAsia" w:hAnsi="宋体" w:eastAsia="宋体"/>
          <w:bCs/>
          <w:color w:val="auto"/>
          <w:szCs w:val="24"/>
          <w:highlight w:val="none"/>
          <w:lang w:eastAsia="zh-CN"/>
        </w:rPr>
      </w:pPr>
      <w:r>
        <w:rPr>
          <w:rFonts w:hint="eastAsia" w:hAnsi="宋体"/>
          <w:bCs/>
          <w:color w:val="auto"/>
          <w:sz w:val="21"/>
          <w:szCs w:val="21"/>
          <w:highlight w:val="none"/>
        </w:rPr>
        <w:t>附件</w:t>
      </w:r>
      <w:r>
        <w:rPr>
          <w:rFonts w:hint="eastAsia" w:hAnsi="宋体" w:eastAsia="宋体"/>
          <w:bCs/>
          <w:color w:val="auto"/>
          <w:sz w:val="21"/>
          <w:szCs w:val="21"/>
          <w:highlight w:val="none"/>
          <w:lang w:val="en-US" w:eastAsia="zh-CN"/>
        </w:rPr>
        <w:t>十一</w:t>
      </w:r>
    </w:p>
    <w:p w14:paraId="3549AC92">
      <w:pPr>
        <w:pStyle w:val="22"/>
        <w:rPr>
          <w:rFonts w:hAnsi="宋体"/>
          <w:b/>
          <w:color w:val="auto"/>
          <w:szCs w:val="24"/>
          <w:highlight w:val="none"/>
        </w:rPr>
      </w:pPr>
    </w:p>
    <w:p w14:paraId="4CAC15C3">
      <w:pPr>
        <w:pStyle w:val="22"/>
        <w:jc w:val="center"/>
        <w:rPr>
          <w:rFonts w:hAnsi="宋体"/>
          <w:b/>
          <w:color w:val="auto"/>
          <w:szCs w:val="24"/>
          <w:highlight w:val="none"/>
        </w:rPr>
      </w:pPr>
      <w:r>
        <w:rPr>
          <w:rFonts w:hint="eastAsia" w:hAnsi="宋体"/>
          <w:b/>
          <w:color w:val="auto"/>
          <w:sz w:val="32"/>
          <w:szCs w:val="32"/>
          <w:highlight w:val="none"/>
        </w:rPr>
        <w:t>法定代表人授权委托书</w:t>
      </w:r>
      <w:r>
        <w:rPr>
          <w:rFonts w:hint="eastAsia" w:hAnsi="宋体"/>
          <w:b/>
          <w:color w:val="auto"/>
          <w:sz w:val="32"/>
          <w:szCs w:val="32"/>
          <w:highlight w:val="none"/>
        </w:rPr>
        <w:cr/>
      </w:r>
    </w:p>
    <w:p w14:paraId="61033468">
      <w:pPr>
        <w:spacing w:line="500" w:lineRule="exact"/>
        <w:ind w:firstLine="420"/>
        <w:rPr>
          <w:color w:val="auto"/>
          <w:highlight w:val="none"/>
        </w:rPr>
      </w:pPr>
      <w:r>
        <w:rPr>
          <w:color w:val="auto"/>
          <w:highlight w:val="none"/>
        </w:rPr>
        <w:t>本人</w:t>
      </w:r>
      <w:r>
        <w:rPr>
          <w:rFonts w:hint="eastAsia"/>
          <w:color w:val="auto"/>
          <w:highlight w:val="none"/>
          <w:u w:val="single"/>
        </w:rPr>
        <w:t xml:space="preserve">        </w:t>
      </w:r>
      <w:r>
        <w:rPr>
          <w:color w:val="auto"/>
          <w:highlight w:val="none"/>
          <w:u w:val="single"/>
        </w:rPr>
        <w:t xml:space="preserve">  </w:t>
      </w:r>
      <w:r>
        <w:rPr>
          <w:color w:val="auto"/>
          <w:highlight w:val="none"/>
        </w:rPr>
        <w:t>（姓名）系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（投标人名称）的法定代表人，现委托</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（姓</w:t>
      </w:r>
      <w:r>
        <w:rPr>
          <w:rFonts w:hint="eastAsia"/>
          <w:color w:val="auto"/>
          <w:highlight w:val="none"/>
        </w:rPr>
        <w:t>名）为我方代理人。代理人根据授权，以我方名义签署、澄清、说明、补正、递交、撤回、修改</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（项目名称）投标文件、签订合同和处理有关事宜， </w:t>
      </w:r>
      <w:r>
        <w:rPr>
          <w:rFonts w:hint="eastAsia"/>
          <w:color w:val="auto"/>
          <w:highlight w:val="none"/>
        </w:rPr>
        <w:t>其法律后果由我方承担。</w:t>
      </w:r>
      <w:r>
        <w:rPr>
          <w:color w:val="auto"/>
          <w:highlight w:val="none"/>
        </w:rPr>
        <w:cr/>
      </w:r>
      <w:r>
        <w:rPr>
          <w:color w:val="auto"/>
          <w:highlight w:val="none"/>
        </w:rPr>
        <w:t xml:space="preserve">    委托期限：</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w:t>
      </w:r>
      <w:r>
        <w:rPr>
          <w:color w:val="auto"/>
          <w:highlight w:val="none"/>
        </w:rPr>
        <w:cr/>
      </w:r>
      <w:r>
        <w:rPr>
          <w:color w:val="auto"/>
          <w:highlight w:val="none"/>
        </w:rPr>
        <w:t xml:space="preserve">    代理人无转委托权。</w:t>
      </w:r>
      <w:r>
        <w:rPr>
          <w:color w:val="auto"/>
          <w:highlight w:val="none"/>
        </w:rPr>
        <w:cr/>
      </w:r>
    </w:p>
    <w:p w14:paraId="59C3DFE7">
      <w:pPr>
        <w:spacing w:line="500" w:lineRule="exact"/>
        <w:rPr>
          <w:color w:val="auto"/>
          <w:highlight w:val="none"/>
        </w:rPr>
      </w:pPr>
    </w:p>
    <w:p w14:paraId="40555F95">
      <w:pPr>
        <w:spacing w:line="500" w:lineRule="exact"/>
        <w:ind w:firstLine="420"/>
        <w:rPr>
          <w:color w:val="auto"/>
          <w:highlight w:val="none"/>
        </w:rPr>
      </w:pPr>
    </w:p>
    <w:p w14:paraId="49BEF529">
      <w:pPr>
        <w:spacing w:line="500" w:lineRule="exact"/>
        <w:ind w:left="2402" w:leftChars="1144"/>
        <w:rPr>
          <w:color w:val="auto"/>
          <w:highlight w:val="none"/>
        </w:rPr>
      </w:pPr>
      <w:r>
        <w:rPr>
          <w:rFonts w:hint="eastAsia"/>
          <w:color w:val="auto"/>
          <w:highlight w:val="none"/>
        </w:rPr>
        <w:t>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rFonts w:hint="eastAsia"/>
          <w:color w:val="auto"/>
          <w:highlight w:val="none"/>
        </w:rPr>
        <w:t>法定代表人：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rFonts w:hint="eastAsia"/>
          <w:color w:val="auto"/>
          <w:highlight w:val="none"/>
        </w:rPr>
        <w:t>身份证号码：</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color w:val="auto"/>
          <w:highlight w:val="none"/>
        </w:rPr>
        <w:cr/>
      </w:r>
      <w:r>
        <w:rPr>
          <w:rFonts w:hint="eastAsia"/>
          <w:color w:val="auto"/>
          <w:highlight w:val="none"/>
        </w:rPr>
        <w:t>身份证号码：</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 xml:space="preserve">                       </w:t>
      </w:r>
    </w:p>
    <w:p w14:paraId="387A8CD3">
      <w:pPr>
        <w:spacing w:line="500" w:lineRule="exact"/>
        <w:ind w:firstLine="4620" w:firstLineChars="2200"/>
        <w:rPr>
          <w:color w:val="auto"/>
          <w:highlight w:val="none"/>
        </w:rPr>
      </w:pPr>
      <w:r>
        <w:rPr>
          <w:rFonts w:hint="eastAsia"/>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 xml:space="preserve">日 </w:t>
      </w:r>
    </w:p>
    <w:tbl>
      <w:tblPr>
        <w:tblStyle w:val="55"/>
        <w:tblpPr w:leftFromText="180" w:rightFromText="180" w:vertAnchor="text" w:horzAnchor="page" w:tblpX="2283" w:tblpY="712"/>
        <w:tblOverlap w:val="never"/>
        <w:tblW w:w="723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34A175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E426065">
            <w:pPr>
              <w:spacing w:line="256" w:lineRule="auto"/>
              <w:jc w:val="both"/>
              <w:rPr>
                <w:color w:val="000000"/>
                <w:highlight w:val="none"/>
              </w:rPr>
            </w:pPr>
          </w:p>
          <w:p w14:paraId="2C9BC45F">
            <w:pPr>
              <w:spacing w:line="257" w:lineRule="auto"/>
              <w:jc w:val="both"/>
              <w:rPr>
                <w:color w:val="000000"/>
                <w:highlight w:val="none"/>
              </w:rPr>
            </w:pPr>
          </w:p>
          <w:p w14:paraId="60B69E21">
            <w:pPr>
              <w:spacing w:before="75" w:line="228" w:lineRule="auto"/>
              <w:ind w:left="242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委托代理人身份证复制件</w:t>
            </w:r>
          </w:p>
        </w:tc>
      </w:tr>
    </w:tbl>
    <w:p w14:paraId="59A45F03">
      <w:pPr>
        <w:spacing w:line="540" w:lineRule="exact"/>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十二</w:t>
      </w:r>
    </w:p>
    <w:p w14:paraId="0C181A37">
      <w:pPr>
        <w:numPr>
          <w:ins w:id="33" w:author="XH" w:date=""/>
        </w:numPr>
        <w:autoSpaceDE/>
        <w:autoSpaceDN/>
        <w:adjustRightInd/>
        <w:jc w:val="center"/>
        <w:outlineLvl w:val="0"/>
        <w:rPr>
          <w:rFonts w:ascii="小标宋" w:eastAsia="小标宋"/>
          <w:color w:val="000000"/>
          <w:sz w:val="32"/>
          <w:szCs w:val="32"/>
          <w:highlight w:val="none"/>
        </w:rPr>
      </w:pPr>
      <w:r>
        <w:rPr>
          <w:rFonts w:hint="eastAsia" w:ascii="Arial" w:hAnsi="宋体" w:eastAsia="Arial" w:cs="Arial"/>
          <w:b/>
          <w:snapToGrid w:val="0"/>
          <w:color w:val="auto"/>
          <w:sz w:val="32"/>
          <w:szCs w:val="32"/>
          <w:highlight w:val="none"/>
          <w:lang w:val="en-US" w:eastAsia="zh-CN" w:bidi="ar-SA"/>
        </w:rPr>
        <w:t>投标承诺书</w:t>
      </w:r>
    </w:p>
    <w:p w14:paraId="7D8BF374">
      <w:pPr>
        <w:pStyle w:val="15"/>
        <w:numPr>
          <w:ins w:id="34" w:author="XH" w:date=""/>
        </w:num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（招标人名称）                    </w:t>
      </w:r>
      <w:r>
        <w:rPr>
          <w:rFonts w:hint="eastAsia" w:ascii="宋体" w:hAnsi="宋体" w:eastAsia="宋体" w:cs="宋体"/>
          <w:color w:val="000000"/>
          <w:sz w:val="21"/>
          <w:szCs w:val="21"/>
          <w:highlight w:val="none"/>
        </w:rPr>
        <w:t>：</w:t>
      </w:r>
    </w:p>
    <w:p w14:paraId="3A4F22F6">
      <w:pPr>
        <w:pStyle w:val="15"/>
        <w:numPr>
          <w:ins w:id="35"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本公司已详细阅读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（名称及招标编号）   </w:t>
      </w:r>
      <w:r>
        <w:rPr>
          <w:rFonts w:hint="eastAsia" w:ascii="宋体" w:hAnsi="宋体" w:eastAsia="宋体" w:cs="宋体"/>
          <w:color w:val="000000"/>
          <w:sz w:val="21"/>
          <w:szCs w:val="21"/>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000000"/>
          <w:sz w:val="21"/>
          <w:szCs w:val="21"/>
          <w:highlight w:val="none"/>
          <w:lang w:val="en-US" w:eastAsia="zh-CN"/>
        </w:rPr>
        <w:t>本项目</w:t>
      </w:r>
      <w:r>
        <w:rPr>
          <w:rFonts w:hint="eastAsia" w:ascii="宋体" w:hAnsi="宋体" w:eastAsia="宋体" w:cs="宋体"/>
          <w:color w:val="000000"/>
          <w:sz w:val="21"/>
          <w:szCs w:val="21"/>
          <w:highlight w:val="none"/>
        </w:rPr>
        <w:t>投标有关事项郑重承诺如下：</w:t>
      </w:r>
    </w:p>
    <w:p w14:paraId="273D4C96">
      <w:pPr>
        <w:pStyle w:val="15"/>
        <w:numPr>
          <w:ins w:id="36"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1.承诺投标文件无虚假、伪造的内容。若投标文件中存在虚假、伪造的内容，同意作无效投标处理。</w:t>
      </w:r>
    </w:p>
    <w:p w14:paraId="50F05D2A">
      <w:pPr>
        <w:pStyle w:val="15"/>
        <w:numPr>
          <w:ins w:id="37"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2.承诺我单位法定代表人、授权代表等主要责任人诚信投标。</w:t>
      </w:r>
    </w:p>
    <w:p w14:paraId="503285C5">
      <w:pPr>
        <w:pStyle w:val="15"/>
        <w:numPr>
          <w:ins w:id="38" w:author="XH" w:date=""/>
        </w:numPr>
        <w:spacing w:line="440" w:lineRule="exact"/>
        <w:ind w:firstLine="420" w:firstLineChars="200"/>
        <w:rPr>
          <w:rFonts w:hint="eastAsia" w:ascii="宋体" w:hAnsi="宋体" w:eastAsia="宋体" w:cs="宋体"/>
          <w:color w:val="000000"/>
          <w:spacing w:val="-5"/>
          <w:sz w:val="21"/>
          <w:szCs w:val="21"/>
          <w:highlight w:val="none"/>
        </w:rPr>
      </w:pPr>
      <w:r>
        <w:rPr>
          <w:rFonts w:hint="eastAsia" w:ascii="宋体" w:hAnsi="宋体" w:eastAsia="宋体" w:cs="宋体"/>
          <w:color w:val="000000"/>
          <w:sz w:val="21"/>
          <w:szCs w:val="21"/>
          <w:highlight w:val="none"/>
        </w:rPr>
        <w:t>3.承诺按照投标文件派驻管理人员及投入机械设备，</w:t>
      </w:r>
      <w:r>
        <w:rPr>
          <w:rFonts w:hint="eastAsia" w:ascii="宋体" w:hAnsi="宋体" w:eastAsia="宋体" w:cs="宋体"/>
          <w:color w:val="000000"/>
          <w:spacing w:val="-5"/>
          <w:sz w:val="21"/>
          <w:szCs w:val="21"/>
          <w:highlight w:val="none"/>
        </w:rPr>
        <w:t>若存在不到位的情况，同意接受合同约定的处罚。</w:t>
      </w:r>
    </w:p>
    <w:p w14:paraId="6896D134">
      <w:pPr>
        <w:pStyle w:val="15"/>
        <w:numPr>
          <w:ins w:id="39"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.承诺本招标文件要求的人员和我单位至投标截止时间三年内没有行贿犯罪记录。</w:t>
      </w:r>
    </w:p>
    <w:p w14:paraId="152E1519">
      <w:pPr>
        <w:pStyle w:val="15"/>
        <w:numPr>
          <w:ins w:id="40"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.承诺</w:t>
      </w:r>
      <w:r>
        <w:rPr>
          <w:rFonts w:hint="eastAsia" w:hAnsi="宋体" w:eastAsia="宋体" w:cs="宋体"/>
          <w:color w:val="000000"/>
          <w:sz w:val="21"/>
          <w:szCs w:val="21"/>
          <w:highlight w:val="none"/>
          <w:lang w:val="en-US" w:eastAsia="zh-CN"/>
        </w:rPr>
        <w:t>我单位及拟派项目负责人</w:t>
      </w:r>
      <w:r>
        <w:rPr>
          <w:rFonts w:hint="eastAsia" w:ascii="宋体" w:hAnsi="宋体" w:eastAsia="宋体" w:cs="宋体"/>
          <w:color w:val="000000"/>
          <w:sz w:val="21"/>
          <w:szCs w:val="21"/>
          <w:highlight w:val="none"/>
        </w:rPr>
        <w:t>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或限制参加投标。</w:t>
      </w:r>
    </w:p>
    <w:p w14:paraId="41BF7D6E">
      <w:pPr>
        <w:pStyle w:val="24"/>
        <w:widowControl/>
        <w:spacing w:line="440" w:lineRule="exact"/>
        <w:ind w:right="15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shd w:val="clear" w:color="auto" w:fill="FFFFFF"/>
        </w:rPr>
        <w:t>我单位</w:t>
      </w:r>
      <w:r>
        <w:rPr>
          <w:rFonts w:hint="eastAsia" w:ascii="宋体" w:hAnsi="宋体" w:eastAsia="宋体" w:cs="宋体"/>
          <w:strike w:val="0"/>
          <w:dstrike w:val="0"/>
          <w:color w:val="000000"/>
          <w:sz w:val="21"/>
          <w:szCs w:val="21"/>
          <w:highlight w:val="none"/>
          <w:shd w:val="clear" w:color="auto" w:fill="FFFFFF"/>
        </w:rPr>
        <w:t>直接负责本项目投标的主管人</w:t>
      </w:r>
      <w:r>
        <w:rPr>
          <w:rFonts w:hint="eastAsia" w:ascii="宋体" w:hAnsi="宋体" w:eastAsia="宋体" w:cs="宋体"/>
          <w:strike w:val="0"/>
          <w:dstrike w:val="0"/>
          <w:color w:val="000000"/>
          <w:sz w:val="21"/>
          <w:szCs w:val="21"/>
          <w:highlight w:val="none"/>
        </w:rPr>
        <w:t>员为</w:t>
      </w:r>
      <w:r>
        <w:rPr>
          <w:rFonts w:hint="eastAsia" w:ascii="宋体" w:hAnsi="宋体" w:eastAsia="宋体" w:cs="宋体"/>
          <w:color w:val="000000"/>
          <w:sz w:val="21"/>
          <w:szCs w:val="21"/>
          <w:highlight w:val="none"/>
          <w:u w:val="single"/>
        </w:rPr>
        <w:t>法定代表人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（身份证号码：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  ，联系手机号码：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i/>
          <w:iCs/>
          <w:color w:val="000000"/>
          <w:sz w:val="21"/>
          <w:szCs w:val="21"/>
          <w:highlight w:val="none"/>
          <w:u w:val="single"/>
          <w:shd w:val="clear" w:color="auto" w:fill="FFFFFF"/>
        </w:rPr>
        <w:t xml:space="preserve">（必须为本人实名办理的手机号码） </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 ）；我单位与本项目投标相关的直接责任人员为</w:t>
      </w:r>
      <w:r>
        <w:rPr>
          <w:rFonts w:hint="eastAsia" w:ascii="宋体" w:hAnsi="宋体" w:eastAsia="宋体" w:cs="宋体"/>
          <w:color w:val="000000"/>
          <w:sz w:val="21"/>
          <w:szCs w:val="21"/>
          <w:highlight w:val="none"/>
          <w:u w:val="single"/>
          <w:shd w:val="clear" w:color="auto" w:fill="FFFFFF"/>
        </w:rPr>
        <w:t xml:space="preserve">本次投标委托授权代表           </w:t>
      </w:r>
      <w:r>
        <w:rPr>
          <w:rFonts w:hint="eastAsia" w:ascii="宋体" w:hAnsi="宋体" w:eastAsia="宋体" w:cs="宋体"/>
          <w:color w:val="000000"/>
          <w:sz w:val="21"/>
          <w:szCs w:val="21"/>
          <w:highlight w:val="none"/>
          <w:shd w:val="clear" w:color="auto" w:fill="FFFFFF"/>
        </w:rPr>
        <w:t>（身份证号码：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联系手机号码：</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i/>
          <w:iCs/>
          <w:color w:val="000000"/>
          <w:sz w:val="21"/>
          <w:szCs w:val="21"/>
          <w:highlight w:val="none"/>
          <w:u w:val="single"/>
          <w:shd w:val="clear" w:color="auto" w:fill="FFFFFF"/>
        </w:rPr>
        <w:t>（必须为本人实名办理的手机号码）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rPr>
        <w:t>，上述人员承诺承担相应的法律责任。</w:t>
      </w:r>
    </w:p>
    <w:p w14:paraId="75DECB13">
      <w:pPr>
        <w:pStyle w:val="15"/>
        <w:numPr>
          <w:ins w:id="41" w:author="XH" w:date=""/>
        </w:numPr>
        <w:spacing w:line="440" w:lineRule="exact"/>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73B4186">
      <w:pPr>
        <w:pStyle w:val="15"/>
        <w:numPr>
          <w:ins w:id="42" w:author="XH" w:date=""/>
        </w:numPr>
        <w:spacing w:line="440" w:lineRule="exact"/>
        <w:ind w:firstLine="420" w:firstLineChars="200"/>
        <w:rPr>
          <w:rFonts w:hint="eastAsia" w:ascii="宋体" w:hAnsi="宋体" w:eastAsia="宋体" w:cs="宋体"/>
          <w:color w:val="000000"/>
          <w:spacing w:val="-5"/>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.以上承诺如有虚假，</w:t>
      </w:r>
      <w:r>
        <w:rPr>
          <w:rFonts w:hint="eastAsia" w:ascii="宋体" w:hAnsi="宋体" w:eastAsia="宋体" w:cs="宋体"/>
          <w:color w:val="000000"/>
          <w:spacing w:val="-5"/>
          <w:sz w:val="21"/>
          <w:szCs w:val="21"/>
          <w:highlight w:val="none"/>
        </w:rPr>
        <w:t>愿意接受投标保证金不予退还的处理。给招标人造成损失的，愿意依法承担赔偿责任。如已中标，同意招标人取消我单位中标资格的处理。</w:t>
      </w:r>
    </w:p>
    <w:p w14:paraId="3228F275">
      <w:pPr>
        <w:pStyle w:val="15"/>
        <w:spacing w:line="440" w:lineRule="exact"/>
        <w:ind w:firstLine="400" w:firstLineChars="200"/>
        <w:rPr>
          <w:rFonts w:hint="eastAsia" w:ascii="宋体" w:hAnsi="宋体" w:eastAsia="宋体" w:cs="宋体"/>
          <w:color w:val="000000"/>
          <w:spacing w:val="-5"/>
          <w:sz w:val="21"/>
          <w:szCs w:val="21"/>
          <w:highlight w:val="none"/>
        </w:rPr>
      </w:pPr>
    </w:p>
    <w:p w14:paraId="0CE48003">
      <w:pPr>
        <w:pStyle w:val="15"/>
        <w:spacing w:line="440" w:lineRule="exact"/>
        <w:ind w:firstLine="2730" w:firstLineChars="1300"/>
        <w:rPr>
          <w:rFonts w:hint="eastAsia" w:ascii="宋体" w:hAnsi="宋体" w:eastAsia="宋体" w:cs="宋体"/>
          <w:color w:val="000000"/>
          <w:sz w:val="21"/>
          <w:szCs w:val="21"/>
          <w:highlight w:val="none"/>
        </w:rPr>
      </w:pPr>
    </w:p>
    <w:p w14:paraId="2973B5FD">
      <w:pPr>
        <w:pStyle w:val="15"/>
        <w:spacing w:line="440" w:lineRule="exact"/>
        <w:ind w:firstLine="2730" w:firstLineChars="1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法定代表人（签字或盖章）：</w:t>
      </w:r>
    </w:p>
    <w:p w14:paraId="59867305">
      <w:pPr>
        <w:pStyle w:val="15"/>
        <w:spacing w:line="440" w:lineRule="exact"/>
        <w:ind w:firstLine="2730" w:firstLineChars="1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投标人（单位盖章）：</w:t>
      </w:r>
    </w:p>
    <w:p w14:paraId="4C9E6566">
      <w:pPr>
        <w:pStyle w:val="20"/>
        <w:rPr>
          <w:rFonts w:hint="eastAsia" w:hAnsi="宋体"/>
          <w:color w:val="auto"/>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snapToGrid w:val="0"/>
          <w:color w:val="000000"/>
          <w:sz w:val="21"/>
          <w:szCs w:val="21"/>
          <w:highlight w:val="none"/>
          <w:lang w:val="en-US" w:eastAsia="zh-CN" w:bidi="ar-SA"/>
        </w:rPr>
        <w:t>年    月    日</w:t>
      </w:r>
    </w:p>
    <w:p w14:paraId="04AEBC35">
      <w:pPr>
        <w:rPr>
          <w:rFonts w:hint="eastAsia" w:hAnsi="宋体"/>
          <w:color w:val="auto"/>
          <w:sz w:val="21"/>
          <w:szCs w:val="21"/>
          <w:highlight w:val="none"/>
        </w:rPr>
      </w:pPr>
    </w:p>
    <w:p w14:paraId="3EEFBE4C">
      <w:pPr>
        <w:pStyle w:val="20"/>
        <w:rPr>
          <w:rFonts w:hint="eastAsia" w:hAnsi="宋体"/>
          <w:color w:val="auto"/>
          <w:sz w:val="21"/>
          <w:szCs w:val="21"/>
          <w:highlight w:val="none"/>
        </w:rPr>
      </w:pPr>
    </w:p>
    <w:p w14:paraId="45C3D878">
      <w:pPr>
        <w:rPr>
          <w:rFonts w:hint="eastAsia" w:hAnsi="宋体"/>
          <w:color w:val="auto"/>
          <w:sz w:val="21"/>
          <w:szCs w:val="21"/>
          <w:highlight w:val="none"/>
        </w:rPr>
      </w:pPr>
    </w:p>
    <w:p w14:paraId="7A590453">
      <w:pPr>
        <w:rPr>
          <w:rFonts w:hint="eastAsia"/>
          <w:highlight w:val="none"/>
        </w:rPr>
      </w:pPr>
      <w:r>
        <w:rPr>
          <w:rFonts w:hint="eastAsia"/>
          <w:highlight w:val="none"/>
        </w:rPr>
        <w:br w:type="page"/>
      </w:r>
    </w:p>
    <w:p w14:paraId="359DA35C">
      <w:pPr>
        <w:spacing w:line="480" w:lineRule="auto"/>
        <w:jc w:val="center"/>
        <w:outlineLvl w:val="0"/>
        <w:rPr>
          <w:rFonts w:hint="default" w:eastAsia="宋体"/>
          <w:color w:val="000000"/>
          <w:highlight w:val="none"/>
          <w:lang w:val="en-US" w:eastAsia="zh-CN"/>
        </w:rPr>
      </w:pPr>
      <w:r>
        <w:rPr>
          <w:rFonts w:hint="eastAsia" w:ascii="宋体" w:hAnsi="宋体"/>
          <w:b/>
          <w:bCs/>
          <w:color w:val="000000"/>
          <w:sz w:val="36"/>
          <w:szCs w:val="36"/>
          <w:highlight w:val="none"/>
        </w:rPr>
        <w:t>投标保证金</w:t>
      </w:r>
      <w:r>
        <w:rPr>
          <w:rFonts w:hint="eastAsia" w:ascii="宋体" w:hAnsi="宋体" w:eastAsia="宋体"/>
          <w:b/>
          <w:bCs/>
          <w:color w:val="000000"/>
          <w:sz w:val="36"/>
          <w:szCs w:val="36"/>
          <w:highlight w:val="none"/>
          <w:lang w:val="en-US" w:eastAsia="zh-CN"/>
        </w:rPr>
        <w:t>缴纳证明资料</w:t>
      </w:r>
    </w:p>
    <w:p w14:paraId="61F6CEF6">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1.采用转账形式缴纳的</w:t>
      </w:r>
      <w:r>
        <w:rPr>
          <w:rFonts w:hint="eastAsia" w:ascii="宋体" w:hAnsi="宋体" w:eastAsia="宋体" w:cs="宋体"/>
          <w:b/>
          <w:bCs w:val="0"/>
          <w:color w:val="000000"/>
          <w:highlight w:val="none"/>
          <w:lang w:eastAsia="zh-CN"/>
        </w:rPr>
        <w:t>：</w:t>
      </w:r>
      <w:r>
        <w:rPr>
          <w:rFonts w:hint="eastAsia" w:ascii="宋体" w:hAnsi="宋体" w:eastAsia="宋体" w:cs="宋体"/>
          <w:b/>
          <w:bCs w:val="0"/>
          <w:color w:val="000000"/>
          <w:highlight w:val="none"/>
          <w:lang w:val="en-US" w:eastAsia="zh-CN"/>
        </w:rPr>
        <w:t>须同时</w:t>
      </w:r>
      <w:r>
        <w:rPr>
          <w:rFonts w:hint="eastAsia" w:ascii="宋体" w:hAnsi="宋体" w:eastAsia="宋体" w:cs="宋体"/>
          <w:b/>
          <w:bCs w:val="0"/>
          <w:color w:val="000000"/>
          <w:highlight w:val="none"/>
        </w:rPr>
        <w:t>提供</w:t>
      </w:r>
      <w:r>
        <w:rPr>
          <w:rFonts w:hint="eastAsia" w:ascii="宋体" w:hAnsi="宋体" w:eastAsia="宋体" w:cs="宋体"/>
          <w:b/>
          <w:bCs w:val="0"/>
          <w:color w:val="000000"/>
          <w:highlight w:val="none"/>
          <w:lang w:val="en-US" w:eastAsia="zh-CN"/>
        </w:rPr>
        <w:t>①</w:t>
      </w:r>
      <w:r>
        <w:rPr>
          <w:rFonts w:hint="eastAsia" w:ascii="宋体" w:hAnsi="宋体" w:eastAsia="宋体" w:cs="宋体"/>
          <w:b/>
          <w:bCs w:val="0"/>
          <w:color w:val="000000"/>
          <w:highlight w:val="none"/>
        </w:rPr>
        <w:t>银行转账凭证（记录）</w:t>
      </w:r>
      <w:r>
        <w:rPr>
          <w:rFonts w:hint="eastAsia" w:ascii="宋体" w:hAnsi="宋体" w:eastAsia="宋体" w:cs="宋体"/>
          <w:b/>
          <w:bCs w:val="0"/>
          <w:color w:val="000000"/>
          <w:highlight w:val="none"/>
          <w:lang w:val="en-US" w:eastAsia="zh-CN"/>
        </w:rPr>
        <w:t>、②</w:t>
      </w:r>
      <w:r>
        <w:rPr>
          <w:rFonts w:hint="eastAsia" w:ascii="宋体" w:hAnsi="宋体" w:eastAsia="宋体" w:cs="宋体"/>
          <w:b/>
          <w:bCs w:val="0"/>
          <w:color w:val="000000"/>
          <w:highlight w:val="none"/>
        </w:rPr>
        <w:t>基本账户开户证明。</w:t>
      </w:r>
    </w:p>
    <w:p w14:paraId="1B295173">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2.采用银行保函或投标保险保单或担保保函的</w:t>
      </w:r>
      <w:r>
        <w:rPr>
          <w:rFonts w:hint="eastAsia" w:ascii="宋体" w:hAnsi="宋体" w:eastAsia="宋体" w:cs="宋体"/>
          <w:b/>
          <w:bCs w:val="0"/>
          <w:color w:val="000000"/>
          <w:highlight w:val="none"/>
          <w:lang w:eastAsia="zh-CN"/>
        </w:rPr>
        <w:t>：</w:t>
      </w:r>
      <w:r>
        <w:rPr>
          <w:rFonts w:hint="eastAsia" w:ascii="宋体" w:hAnsi="宋体" w:eastAsia="宋体" w:cs="宋体"/>
          <w:b/>
          <w:bCs w:val="0"/>
          <w:color w:val="000000"/>
          <w:highlight w:val="none"/>
          <w:lang w:val="en-US" w:eastAsia="zh-CN"/>
        </w:rPr>
        <w:t>须同时</w:t>
      </w:r>
      <w:r>
        <w:rPr>
          <w:rFonts w:hint="eastAsia" w:ascii="宋体" w:hAnsi="宋体" w:eastAsia="宋体" w:cs="宋体"/>
          <w:b/>
          <w:bCs w:val="0"/>
          <w:color w:val="000000"/>
          <w:highlight w:val="none"/>
        </w:rPr>
        <w:t>提供</w:t>
      </w:r>
      <w:r>
        <w:rPr>
          <w:rFonts w:hint="eastAsia" w:ascii="宋体" w:hAnsi="宋体" w:eastAsia="宋体" w:cs="宋体"/>
          <w:b/>
          <w:bCs w:val="0"/>
          <w:color w:val="000000"/>
          <w:highlight w:val="none"/>
          <w:lang w:val="en-US" w:eastAsia="zh-CN"/>
        </w:rPr>
        <w:t>①</w:t>
      </w:r>
      <w:r>
        <w:rPr>
          <w:rFonts w:hint="eastAsia" w:ascii="宋体" w:hAnsi="宋体" w:eastAsia="宋体" w:cs="宋体"/>
          <w:b/>
          <w:bCs w:val="0"/>
          <w:color w:val="000000"/>
          <w:highlight w:val="none"/>
        </w:rPr>
        <w:t>银行保函或投标保险保单或担保保函</w:t>
      </w:r>
      <w:r>
        <w:rPr>
          <w:rFonts w:hint="eastAsia" w:ascii="宋体" w:hAnsi="宋体" w:eastAsia="宋体" w:cs="宋体"/>
          <w:b/>
          <w:bCs w:val="0"/>
          <w:color w:val="000000"/>
          <w:highlight w:val="none"/>
          <w:lang w:val="en-US" w:eastAsia="zh-CN"/>
        </w:rPr>
        <w:t>、②</w:t>
      </w:r>
      <w:r>
        <w:rPr>
          <w:rFonts w:hint="eastAsia" w:ascii="宋体" w:hAnsi="宋体" w:eastAsia="宋体" w:cs="宋体"/>
          <w:b/>
          <w:bCs w:val="0"/>
          <w:color w:val="000000"/>
          <w:highlight w:val="none"/>
        </w:rPr>
        <w:t>购买保险或办理保函、担保等保证金相关费用从投标人基本账户转出的凭证</w:t>
      </w:r>
      <w:r>
        <w:rPr>
          <w:rFonts w:hint="eastAsia" w:ascii="宋体" w:hAnsi="宋体" w:eastAsia="宋体" w:cs="宋体"/>
          <w:b/>
          <w:bCs w:val="0"/>
          <w:color w:val="000000"/>
          <w:highlight w:val="none"/>
          <w:lang w:val="en-US" w:eastAsia="zh-CN"/>
        </w:rPr>
        <w:t>、③</w:t>
      </w:r>
      <w:r>
        <w:rPr>
          <w:rFonts w:hint="eastAsia" w:ascii="宋体" w:hAnsi="宋体" w:eastAsia="宋体" w:cs="宋体"/>
          <w:b/>
          <w:bCs w:val="0"/>
          <w:color w:val="000000"/>
          <w:highlight w:val="none"/>
        </w:rPr>
        <w:t>基本账户开户证明。</w:t>
      </w:r>
    </w:p>
    <w:p w14:paraId="7D555576">
      <w:pPr>
        <w:rPr>
          <w:color w:val="000000"/>
          <w:highlight w:val="none"/>
        </w:rPr>
      </w:pPr>
    </w:p>
    <w:p w14:paraId="7CEBBAEA">
      <w:pPr>
        <w:rPr>
          <w:rFonts w:hint="eastAsia"/>
        </w:rPr>
      </w:pPr>
    </w:p>
    <w:sectPr>
      <w:footerReference r:id="rId20" w:type="default"/>
      <w:pgSz w:w="11907" w:h="16840"/>
      <w:pgMar w:top="1418" w:right="1559" w:bottom="1418" w:left="1474" w:header="0" w:footer="723"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方正小标宋简体">
    <w:altName w:val="黑体"/>
    <w:panose1 w:val="03000509000000000000"/>
    <w:charset w:val="86"/>
    <w:family w:val="script"/>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小标宋">
    <w:altName w:val="微软雅黑"/>
    <w:panose1 w:val="03000509000000000000"/>
    <w:charset w:val="86"/>
    <w:family w:val="script"/>
    <w:pitch w:val="default"/>
    <w:sig w:usb0="00000000" w:usb1="00000000" w:usb2="0000001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97D8F">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42FA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4742FAC">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7387C">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41CA0">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841CA0">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71BDB">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351BA">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B351BA">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2A4E9">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71880F">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71880F">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25DAD">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5892E">
                          <w:pPr>
                            <w:pStyle w:val="1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F85892E">
                    <w:pPr>
                      <w:pStyle w:val="1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6C52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0C882">
                          <w:pPr>
                            <w:pStyle w:val="1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970C882">
                    <w:pPr>
                      <w:pStyle w:val="1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A93C7">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C680BF">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4C680BF">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3C9C4">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B4B09">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A5B4B09">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7CECE">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935B6">
                          <w:pPr>
                            <w:pStyle w:val="1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65935B6">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B8EA3">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9516D">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C59516D">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33C4F">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449BA">
                          <w:pPr>
                            <w:pStyle w:val="1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3449BA">
                    <w:pPr>
                      <w:pStyle w:val="1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5D1EE">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E36C6F">
                          <w:pPr>
                            <w:pStyle w:val="1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2E36C6F">
                    <w:pPr>
                      <w:pStyle w:val="1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11BEF">
    <w:pPr>
      <w:pStyle w:val="18"/>
      <w:framePr w:wrap="around" w:vAnchor="text" w:hAnchor="margin" w:xAlign="center" w:y="1"/>
      <w:rPr>
        <w:rStyle w:val="34"/>
      </w:rPr>
    </w:pPr>
    <w:r>
      <w:fldChar w:fldCharType="begin"/>
    </w:r>
    <w:r>
      <w:rPr>
        <w:rStyle w:val="34"/>
      </w:rPr>
      <w:instrText xml:space="preserve">PAGE  </w:instrText>
    </w:r>
    <w:r>
      <w:fldChar w:fldCharType="separate"/>
    </w:r>
    <w:r>
      <w:fldChar w:fldCharType="end"/>
    </w:r>
  </w:p>
  <w:p w14:paraId="7B99643B">
    <w:pPr>
      <w:pStyle w:val="1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E58D">
    <w:pPr>
      <w:pStyle w:val="18"/>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262A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B1262A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F6E6C">
    <w:pPr>
      <w:pStyle w:val="18"/>
      <w:framePr w:wrap="around" w:vAnchor="text" w:hAnchor="margin" w:xAlign="center" w:y="1"/>
      <w:rPr>
        <w:rStyle w:val="34"/>
      </w:rPr>
    </w:pPr>
    <w:r>
      <w:fldChar w:fldCharType="begin"/>
    </w:r>
    <w:r>
      <w:rPr>
        <w:rStyle w:val="34"/>
      </w:rPr>
      <w:instrText xml:space="preserve">PAGE  </w:instrText>
    </w:r>
    <w:r>
      <w:fldChar w:fldCharType="separate"/>
    </w:r>
    <w:r>
      <w:fldChar w:fldCharType="end"/>
    </w:r>
  </w:p>
  <w:p w14:paraId="528BDE07">
    <w:pPr>
      <w:pStyle w:val="18"/>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415">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173CC">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17173CC">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2811F">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7B024">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0D9EB0"/>
    <w:multiLevelType w:val="singleLevel"/>
    <w:tmpl w:val="C80D9EB0"/>
    <w:lvl w:ilvl="0" w:tentative="0">
      <w:start w:val="1"/>
      <w:numFmt w:val="decimal"/>
      <w:suff w:val="nothing"/>
      <w:lvlText w:val="（%1）"/>
      <w:lvlJc w:val="left"/>
    </w:lvl>
  </w:abstractNum>
  <w:abstractNum w:abstractNumId="1">
    <w:nsid w:val="FAC07E5A"/>
    <w:multiLevelType w:val="singleLevel"/>
    <w:tmpl w:val="FAC07E5A"/>
    <w:lvl w:ilvl="0" w:tentative="0">
      <w:start w:val="1"/>
      <w:numFmt w:val="decimal"/>
      <w:lvlText w:val="(%1)"/>
      <w:lvlJc w:val="left"/>
      <w:pPr>
        <w:tabs>
          <w:tab w:val="left" w:pos="312"/>
        </w:tabs>
      </w:pPr>
    </w:lvl>
  </w:abstractNum>
  <w:abstractNum w:abstractNumId="2">
    <w:nsid w:val="27D41BE9"/>
    <w:multiLevelType w:val="multilevel"/>
    <w:tmpl w:val="27D41BE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44D3CA5"/>
    <w:multiLevelType w:val="multilevel"/>
    <w:tmpl w:val="344D3CA5"/>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70B68F2"/>
    <w:multiLevelType w:val="multilevel"/>
    <w:tmpl w:val="370B68F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26975E8"/>
    <w:multiLevelType w:val="singleLevel"/>
    <w:tmpl w:val="426975E8"/>
    <w:lvl w:ilvl="0" w:tentative="0">
      <w:start w:val="1"/>
      <w:numFmt w:val="decimal"/>
      <w:pStyle w:val="7"/>
      <w:lvlText w:val="%1."/>
      <w:lvlJc w:val="left"/>
      <w:pPr>
        <w:tabs>
          <w:tab w:val="left" w:pos="780"/>
        </w:tabs>
        <w:ind w:left="780" w:hanging="360"/>
      </w:pPr>
    </w:lvl>
  </w:abstractNum>
  <w:abstractNum w:abstractNumId="6">
    <w:nsid w:val="57DD742E"/>
    <w:multiLevelType w:val="multilevel"/>
    <w:tmpl w:val="57DD742E"/>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0"/>
  </w:num>
  <w:num w:numId="3">
    <w:abstractNumId w:val="4"/>
  </w:num>
  <w:num w:numId="4">
    <w:abstractNumId w:val="6"/>
  </w:num>
  <w:num w:numId="5">
    <w:abstractNumId w:val="2"/>
  </w:num>
  <w:num w:numId="6">
    <w:abstractNumId w:val="3"/>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jA5ZjFmMTIzMDExYmU3OTJkYTIwZTcyZmIzM2EifQ=="/>
  </w:docVars>
  <w:rsids>
    <w:rsidRoot w:val="00702EC5"/>
    <w:rsid w:val="00055130"/>
    <w:rsid w:val="00060497"/>
    <w:rsid w:val="00064B23"/>
    <w:rsid w:val="00074692"/>
    <w:rsid w:val="000A6356"/>
    <w:rsid w:val="000B3A92"/>
    <w:rsid w:val="000C3DA7"/>
    <w:rsid w:val="000E44F2"/>
    <w:rsid w:val="000E4CB5"/>
    <w:rsid w:val="000F6453"/>
    <w:rsid w:val="00103897"/>
    <w:rsid w:val="00113FF6"/>
    <w:rsid w:val="00132CB8"/>
    <w:rsid w:val="00141809"/>
    <w:rsid w:val="00150EAD"/>
    <w:rsid w:val="00165366"/>
    <w:rsid w:val="00195915"/>
    <w:rsid w:val="001B77A0"/>
    <w:rsid w:val="001C2B10"/>
    <w:rsid w:val="001C3966"/>
    <w:rsid w:val="001E4522"/>
    <w:rsid w:val="001E675A"/>
    <w:rsid w:val="001E69D3"/>
    <w:rsid w:val="00207852"/>
    <w:rsid w:val="002117B2"/>
    <w:rsid w:val="00211E3B"/>
    <w:rsid w:val="00224277"/>
    <w:rsid w:val="0023617D"/>
    <w:rsid w:val="002363AC"/>
    <w:rsid w:val="002721BB"/>
    <w:rsid w:val="0027596A"/>
    <w:rsid w:val="00285085"/>
    <w:rsid w:val="00285F6C"/>
    <w:rsid w:val="00295364"/>
    <w:rsid w:val="002C3AC3"/>
    <w:rsid w:val="002F1197"/>
    <w:rsid w:val="002F16F5"/>
    <w:rsid w:val="002F1733"/>
    <w:rsid w:val="002F4D4C"/>
    <w:rsid w:val="00310156"/>
    <w:rsid w:val="0031567A"/>
    <w:rsid w:val="003340F8"/>
    <w:rsid w:val="00336164"/>
    <w:rsid w:val="00352B65"/>
    <w:rsid w:val="003532FE"/>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07F71"/>
    <w:rsid w:val="00517719"/>
    <w:rsid w:val="0052392E"/>
    <w:rsid w:val="00523EB0"/>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61DAB"/>
    <w:rsid w:val="00881540"/>
    <w:rsid w:val="008B5614"/>
    <w:rsid w:val="008B73C2"/>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9F4C1B"/>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44EA4"/>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1E2A"/>
    <w:rsid w:val="00ED3341"/>
    <w:rsid w:val="00EF0426"/>
    <w:rsid w:val="00F3189B"/>
    <w:rsid w:val="00F323A3"/>
    <w:rsid w:val="00F55E9F"/>
    <w:rsid w:val="00F565CB"/>
    <w:rsid w:val="00F705B3"/>
    <w:rsid w:val="00F83E99"/>
    <w:rsid w:val="00F97B09"/>
    <w:rsid w:val="00FD5E49"/>
    <w:rsid w:val="00FD6761"/>
    <w:rsid w:val="00FE00D0"/>
    <w:rsid w:val="00FE1A17"/>
    <w:rsid w:val="00FE4755"/>
    <w:rsid w:val="00FF4145"/>
    <w:rsid w:val="00FF4B2D"/>
    <w:rsid w:val="010448E5"/>
    <w:rsid w:val="01170C55"/>
    <w:rsid w:val="011C626C"/>
    <w:rsid w:val="01791910"/>
    <w:rsid w:val="01AF5332"/>
    <w:rsid w:val="01C50183"/>
    <w:rsid w:val="01D408F4"/>
    <w:rsid w:val="020531A4"/>
    <w:rsid w:val="02086349"/>
    <w:rsid w:val="020E3E06"/>
    <w:rsid w:val="0224362A"/>
    <w:rsid w:val="0257765C"/>
    <w:rsid w:val="02820350"/>
    <w:rsid w:val="0284056C"/>
    <w:rsid w:val="028440C8"/>
    <w:rsid w:val="02A93B2F"/>
    <w:rsid w:val="02AB78A7"/>
    <w:rsid w:val="02B80216"/>
    <w:rsid w:val="02C54883"/>
    <w:rsid w:val="02C73B61"/>
    <w:rsid w:val="02D908B8"/>
    <w:rsid w:val="02F70D3E"/>
    <w:rsid w:val="032A1114"/>
    <w:rsid w:val="03304250"/>
    <w:rsid w:val="035F44C3"/>
    <w:rsid w:val="037405E1"/>
    <w:rsid w:val="03795BF7"/>
    <w:rsid w:val="037B371D"/>
    <w:rsid w:val="03885E3A"/>
    <w:rsid w:val="0389734A"/>
    <w:rsid w:val="03903DE4"/>
    <w:rsid w:val="03932FCD"/>
    <w:rsid w:val="03960557"/>
    <w:rsid w:val="03AC1B29"/>
    <w:rsid w:val="03C80BF8"/>
    <w:rsid w:val="03D25B79"/>
    <w:rsid w:val="03D42E2E"/>
    <w:rsid w:val="041A2F36"/>
    <w:rsid w:val="0443792C"/>
    <w:rsid w:val="046B5540"/>
    <w:rsid w:val="04877EA0"/>
    <w:rsid w:val="049F168E"/>
    <w:rsid w:val="04A647CA"/>
    <w:rsid w:val="04C52EB3"/>
    <w:rsid w:val="04CB4231"/>
    <w:rsid w:val="04CE3D21"/>
    <w:rsid w:val="04E86441"/>
    <w:rsid w:val="04EA0F95"/>
    <w:rsid w:val="052B1173"/>
    <w:rsid w:val="05410997"/>
    <w:rsid w:val="054A784B"/>
    <w:rsid w:val="055F4E32"/>
    <w:rsid w:val="05737E86"/>
    <w:rsid w:val="057D6BA7"/>
    <w:rsid w:val="05B2719F"/>
    <w:rsid w:val="05C07B0D"/>
    <w:rsid w:val="05C50C80"/>
    <w:rsid w:val="05D37841"/>
    <w:rsid w:val="05FE0636"/>
    <w:rsid w:val="060914B4"/>
    <w:rsid w:val="060E6ACB"/>
    <w:rsid w:val="06150F68"/>
    <w:rsid w:val="061E65E2"/>
    <w:rsid w:val="06336531"/>
    <w:rsid w:val="06391410"/>
    <w:rsid w:val="06744454"/>
    <w:rsid w:val="06936FD0"/>
    <w:rsid w:val="06C23411"/>
    <w:rsid w:val="06D67D46"/>
    <w:rsid w:val="06E30A67"/>
    <w:rsid w:val="06E94E42"/>
    <w:rsid w:val="06FF01C2"/>
    <w:rsid w:val="07041C7C"/>
    <w:rsid w:val="070A64CF"/>
    <w:rsid w:val="070B300A"/>
    <w:rsid w:val="070C7656"/>
    <w:rsid w:val="072639A0"/>
    <w:rsid w:val="072E6CF9"/>
    <w:rsid w:val="0730481F"/>
    <w:rsid w:val="073360BD"/>
    <w:rsid w:val="074C16C1"/>
    <w:rsid w:val="07500A1D"/>
    <w:rsid w:val="0754675F"/>
    <w:rsid w:val="07577971"/>
    <w:rsid w:val="07603356"/>
    <w:rsid w:val="076B3AA9"/>
    <w:rsid w:val="076F17EB"/>
    <w:rsid w:val="077A1F3E"/>
    <w:rsid w:val="07866291"/>
    <w:rsid w:val="07A174CB"/>
    <w:rsid w:val="07C82CA9"/>
    <w:rsid w:val="07CD6512"/>
    <w:rsid w:val="081D52ED"/>
    <w:rsid w:val="082963B9"/>
    <w:rsid w:val="084A1910"/>
    <w:rsid w:val="08781FE5"/>
    <w:rsid w:val="087B7D1C"/>
    <w:rsid w:val="08851D90"/>
    <w:rsid w:val="089A1160"/>
    <w:rsid w:val="08B1373D"/>
    <w:rsid w:val="08C1776C"/>
    <w:rsid w:val="08CB0CA3"/>
    <w:rsid w:val="091066B6"/>
    <w:rsid w:val="0925299D"/>
    <w:rsid w:val="09277942"/>
    <w:rsid w:val="094871C7"/>
    <w:rsid w:val="09497E1A"/>
    <w:rsid w:val="09815806"/>
    <w:rsid w:val="09864BCA"/>
    <w:rsid w:val="098C0CE3"/>
    <w:rsid w:val="099512B1"/>
    <w:rsid w:val="099C263F"/>
    <w:rsid w:val="09BA2AC6"/>
    <w:rsid w:val="09D21BBD"/>
    <w:rsid w:val="09F00295"/>
    <w:rsid w:val="09F9539C"/>
    <w:rsid w:val="0A0855DF"/>
    <w:rsid w:val="0A252635"/>
    <w:rsid w:val="0A2A37A7"/>
    <w:rsid w:val="0A384978"/>
    <w:rsid w:val="0A5371A2"/>
    <w:rsid w:val="0A5627EE"/>
    <w:rsid w:val="0A650C83"/>
    <w:rsid w:val="0A762E91"/>
    <w:rsid w:val="0A7F6940"/>
    <w:rsid w:val="0AAC240E"/>
    <w:rsid w:val="0AB1211B"/>
    <w:rsid w:val="0AB80DB3"/>
    <w:rsid w:val="0ABC582D"/>
    <w:rsid w:val="0AC92FC0"/>
    <w:rsid w:val="0B1C57E6"/>
    <w:rsid w:val="0B226B74"/>
    <w:rsid w:val="0B4B60CB"/>
    <w:rsid w:val="0B4E34C6"/>
    <w:rsid w:val="0B8909A2"/>
    <w:rsid w:val="0B9E444D"/>
    <w:rsid w:val="0BA23811"/>
    <w:rsid w:val="0BC47C2C"/>
    <w:rsid w:val="0BCE5224"/>
    <w:rsid w:val="0BDF6813"/>
    <w:rsid w:val="0BEB731D"/>
    <w:rsid w:val="0C06291C"/>
    <w:rsid w:val="0C252031"/>
    <w:rsid w:val="0C2D757F"/>
    <w:rsid w:val="0C324B95"/>
    <w:rsid w:val="0C4274CE"/>
    <w:rsid w:val="0C5043AF"/>
    <w:rsid w:val="0C60081E"/>
    <w:rsid w:val="0C6D3B2B"/>
    <w:rsid w:val="0C6F5DE9"/>
    <w:rsid w:val="0C843ED8"/>
    <w:rsid w:val="0C946EC4"/>
    <w:rsid w:val="0C9615C8"/>
    <w:rsid w:val="0CA535B9"/>
    <w:rsid w:val="0CB3217A"/>
    <w:rsid w:val="0CD143AE"/>
    <w:rsid w:val="0CDF4D1D"/>
    <w:rsid w:val="0CF85DDF"/>
    <w:rsid w:val="0D171E03"/>
    <w:rsid w:val="0D374B59"/>
    <w:rsid w:val="0D5F203E"/>
    <w:rsid w:val="0D764ED8"/>
    <w:rsid w:val="0D841421"/>
    <w:rsid w:val="0D915FD8"/>
    <w:rsid w:val="0DBD2424"/>
    <w:rsid w:val="0DC21F49"/>
    <w:rsid w:val="0DC45E43"/>
    <w:rsid w:val="0DE93979"/>
    <w:rsid w:val="0E060087"/>
    <w:rsid w:val="0E083E00"/>
    <w:rsid w:val="0E12182B"/>
    <w:rsid w:val="0E15651D"/>
    <w:rsid w:val="0E364E11"/>
    <w:rsid w:val="0E3746E5"/>
    <w:rsid w:val="0E39045D"/>
    <w:rsid w:val="0E67321C"/>
    <w:rsid w:val="0E6B438E"/>
    <w:rsid w:val="0E715E49"/>
    <w:rsid w:val="0E8A0CB9"/>
    <w:rsid w:val="0EAA3109"/>
    <w:rsid w:val="0EBB3568"/>
    <w:rsid w:val="0EC71F0D"/>
    <w:rsid w:val="0EEC54CF"/>
    <w:rsid w:val="0F1A64E0"/>
    <w:rsid w:val="0F3D2F31"/>
    <w:rsid w:val="0F5512C6"/>
    <w:rsid w:val="0F563291"/>
    <w:rsid w:val="0F670FFA"/>
    <w:rsid w:val="0F6A2898"/>
    <w:rsid w:val="0F9242C9"/>
    <w:rsid w:val="0FAB538A"/>
    <w:rsid w:val="0FBC1346"/>
    <w:rsid w:val="0FBD0C1A"/>
    <w:rsid w:val="0FC95811"/>
    <w:rsid w:val="0FCB3337"/>
    <w:rsid w:val="0FE268D2"/>
    <w:rsid w:val="0FFD54BA"/>
    <w:rsid w:val="100B5E29"/>
    <w:rsid w:val="10190546"/>
    <w:rsid w:val="105517FE"/>
    <w:rsid w:val="105E41AB"/>
    <w:rsid w:val="10A06571"/>
    <w:rsid w:val="10F22B45"/>
    <w:rsid w:val="11085182"/>
    <w:rsid w:val="110D797F"/>
    <w:rsid w:val="111F7DDE"/>
    <w:rsid w:val="112F401A"/>
    <w:rsid w:val="113B44EC"/>
    <w:rsid w:val="114710E3"/>
    <w:rsid w:val="114A0BD3"/>
    <w:rsid w:val="114E421F"/>
    <w:rsid w:val="11625F1D"/>
    <w:rsid w:val="11643A43"/>
    <w:rsid w:val="116662EA"/>
    <w:rsid w:val="11902A8A"/>
    <w:rsid w:val="119D0D03"/>
    <w:rsid w:val="11BD3153"/>
    <w:rsid w:val="11BE2A3F"/>
    <w:rsid w:val="11C664AC"/>
    <w:rsid w:val="11C95F9C"/>
    <w:rsid w:val="11E76422"/>
    <w:rsid w:val="11F052D6"/>
    <w:rsid w:val="120E7E53"/>
    <w:rsid w:val="122136E2"/>
    <w:rsid w:val="12231B4E"/>
    <w:rsid w:val="12810624"/>
    <w:rsid w:val="12816876"/>
    <w:rsid w:val="129F1B30"/>
    <w:rsid w:val="12A165D1"/>
    <w:rsid w:val="12AC38F3"/>
    <w:rsid w:val="12B04A66"/>
    <w:rsid w:val="12F47048"/>
    <w:rsid w:val="12F62DC0"/>
    <w:rsid w:val="12FB03D7"/>
    <w:rsid w:val="132C67E2"/>
    <w:rsid w:val="13433B2C"/>
    <w:rsid w:val="134E6759"/>
    <w:rsid w:val="13525B1D"/>
    <w:rsid w:val="13623FB2"/>
    <w:rsid w:val="13675A6C"/>
    <w:rsid w:val="13AC7923"/>
    <w:rsid w:val="13B9721C"/>
    <w:rsid w:val="13D529D6"/>
    <w:rsid w:val="13D80718"/>
    <w:rsid w:val="13DA623E"/>
    <w:rsid w:val="13EC5F71"/>
    <w:rsid w:val="13FF3EF7"/>
    <w:rsid w:val="140212F1"/>
    <w:rsid w:val="141F6347"/>
    <w:rsid w:val="14524026"/>
    <w:rsid w:val="1462365C"/>
    <w:rsid w:val="14635A03"/>
    <w:rsid w:val="146D2C0E"/>
    <w:rsid w:val="146E1BC1"/>
    <w:rsid w:val="14755F67"/>
    <w:rsid w:val="14952165"/>
    <w:rsid w:val="14DE3B0C"/>
    <w:rsid w:val="14E54E1F"/>
    <w:rsid w:val="15205ED3"/>
    <w:rsid w:val="15396F94"/>
    <w:rsid w:val="158A3C94"/>
    <w:rsid w:val="15932B49"/>
    <w:rsid w:val="159E329B"/>
    <w:rsid w:val="15A664CD"/>
    <w:rsid w:val="16111CBF"/>
    <w:rsid w:val="1615442F"/>
    <w:rsid w:val="16322361"/>
    <w:rsid w:val="165322D8"/>
    <w:rsid w:val="165F6ECF"/>
    <w:rsid w:val="1683496B"/>
    <w:rsid w:val="16A9014A"/>
    <w:rsid w:val="16BE1E47"/>
    <w:rsid w:val="16DC22CD"/>
    <w:rsid w:val="17045380"/>
    <w:rsid w:val="17263548"/>
    <w:rsid w:val="17384188"/>
    <w:rsid w:val="17463BEB"/>
    <w:rsid w:val="174A5489"/>
    <w:rsid w:val="175E7BAD"/>
    <w:rsid w:val="17A2005D"/>
    <w:rsid w:val="17A728DB"/>
    <w:rsid w:val="17C50FB3"/>
    <w:rsid w:val="17E53404"/>
    <w:rsid w:val="17EE74E0"/>
    <w:rsid w:val="17F378CF"/>
    <w:rsid w:val="18063278"/>
    <w:rsid w:val="180A2E6A"/>
    <w:rsid w:val="18100480"/>
    <w:rsid w:val="18167EF5"/>
    <w:rsid w:val="181810E3"/>
    <w:rsid w:val="181B5077"/>
    <w:rsid w:val="18273A1C"/>
    <w:rsid w:val="185365BF"/>
    <w:rsid w:val="1858727D"/>
    <w:rsid w:val="185B5474"/>
    <w:rsid w:val="18876269"/>
    <w:rsid w:val="1888270D"/>
    <w:rsid w:val="188B3FAB"/>
    <w:rsid w:val="18950986"/>
    <w:rsid w:val="18A1557C"/>
    <w:rsid w:val="18AA2E4C"/>
    <w:rsid w:val="18BA663E"/>
    <w:rsid w:val="18DC65B5"/>
    <w:rsid w:val="18E67433"/>
    <w:rsid w:val="18FC27B3"/>
    <w:rsid w:val="18FF22A3"/>
    <w:rsid w:val="190B0C48"/>
    <w:rsid w:val="1934019F"/>
    <w:rsid w:val="195919B3"/>
    <w:rsid w:val="196A1E12"/>
    <w:rsid w:val="197668F5"/>
    <w:rsid w:val="197E1AC5"/>
    <w:rsid w:val="19805192"/>
    <w:rsid w:val="19AD7F51"/>
    <w:rsid w:val="19C43406"/>
    <w:rsid w:val="1A1B4EBB"/>
    <w:rsid w:val="1A404921"/>
    <w:rsid w:val="1A606D71"/>
    <w:rsid w:val="1A9218A4"/>
    <w:rsid w:val="1ABC669E"/>
    <w:rsid w:val="1AD11A1D"/>
    <w:rsid w:val="1ADA4D76"/>
    <w:rsid w:val="1B120509"/>
    <w:rsid w:val="1B267FBB"/>
    <w:rsid w:val="1B3501FE"/>
    <w:rsid w:val="1B416BA3"/>
    <w:rsid w:val="1B6D7998"/>
    <w:rsid w:val="1B7C5E2D"/>
    <w:rsid w:val="1BA23AE5"/>
    <w:rsid w:val="1BAC6712"/>
    <w:rsid w:val="1BDD5652"/>
    <w:rsid w:val="1BEC1C02"/>
    <w:rsid w:val="1C0876C1"/>
    <w:rsid w:val="1C1B61AE"/>
    <w:rsid w:val="1C2C1601"/>
    <w:rsid w:val="1C395ACC"/>
    <w:rsid w:val="1C492974"/>
    <w:rsid w:val="1C556DAA"/>
    <w:rsid w:val="1C7865F4"/>
    <w:rsid w:val="1C9D42AD"/>
    <w:rsid w:val="1CB313A5"/>
    <w:rsid w:val="1CB515F6"/>
    <w:rsid w:val="1CC23D13"/>
    <w:rsid w:val="1CD9073D"/>
    <w:rsid w:val="1CE1063D"/>
    <w:rsid w:val="1CE343B6"/>
    <w:rsid w:val="1CEB326A"/>
    <w:rsid w:val="1D33076D"/>
    <w:rsid w:val="1D381D32"/>
    <w:rsid w:val="1D3F5364"/>
    <w:rsid w:val="1D440BCC"/>
    <w:rsid w:val="1D4604A0"/>
    <w:rsid w:val="1D5C4168"/>
    <w:rsid w:val="1D90796E"/>
    <w:rsid w:val="1DC51D0D"/>
    <w:rsid w:val="1DCA10D2"/>
    <w:rsid w:val="1DE06B47"/>
    <w:rsid w:val="1DED6B6E"/>
    <w:rsid w:val="1DFB572F"/>
    <w:rsid w:val="1E036392"/>
    <w:rsid w:val="1E0565AE"/>
    <w:rsid w:val="1E1773AB"/>
    <w:rsid w:val="1E200CF1"/>
    <w:rsid w:val="1E2754DF"/>
    <w:rsid w:val="1E2D1660"/>
    <w:rsid w:val="1E430E84"/>
    <w:rsid w:val="1E556CA9"/>
    <w:rsid w:val="1E592455"/>
    <w:rsid w:val="1E9049CE"/>
    <w:rsid w:val="1E95623E"/>
    <w:rsid w:val="1E9B0CC0"/>
    <w:rsid w:val="1E9C2E7C"/>
    <w:rsid w:val="1EA00D50"/>
    <w:rsid w:val="1EAC6A29"/>
    <w:rsid w:val="1EB853CE"/>
    <w:rsid w:val="1EF04B68"/>
    <w:rsid w:val="1EFA7794"/>
    <w:rsid w:val="1F26058A"/>
    <w:rsid w:val="1F3F164B"/>
    <w:rsid w:val="1F483424"/>
    <w:rsid w:val="1F572E39"/>
    <w:rsid w:val="1F6E1F30"/>
    <w:rsid w:val="1F813A12"/>
    <w:rsid w:val="1F843502"/>
    <w:rsid w:val="1F941997"/>
    <w:rsid w:val="1F974FE3"/>
    <w:rsid w:val="1FDA58EA"/>
    <w:rsid w:val="2012618B"/>
    <w:rsid w:val="201E74B3"/>
    <w:rsid w:val="20427645"/>
    <w:rsid w:val="2043516B"/>
    <w:rsid w:val="204607B7"/>
    <w:rsid w:val="204C2272"/>
    <w:rsid w:val="208319DB"/>
    <w:rsid w:val="209E05F3"/>
    <w:rsid w:val="20A756FA"/>
    <w:rsid w:val="20AE6248"/>
    <w:rsid w:val="20AE6A88"/>
    <w:rsid w:val="20E701EC"/>
    <w:rsid w:val="20EB5EB9"/>
    <w:rsid w:val="210466A8"/>
    <w:rsid w:val="210E39CB"/>
    <w:rsid w:val="211D3C0E"/>
    <w:rsid w:val="214178FD"/>
    <w:rsid w:val="214B077B"/>
    <w:rsid w:val="21645399"/>
    <w:rsid w:val="21867A05"/>
    <w:rsid w:val="219A525F"/>
    <w:rsid w:val="219B1DC8"/>
    <w:rsid w:val="21A25092"/>
    <w:rsid w:val="21A954A2"/>
    <w:rsid w:val="21B225A8"/>
    <w:rsid w:val="21B55BF5"/>
    <w:rsid w:val="21BA40FB"/>
    <w:rsid w:val="21CB1B55"/>
    <w:rsid w:val="21CB366A"/>
    <w:rsid w:val="21D06ED2"/>
    <w:rsid w:val="21D73DBD"/>
    <w:rsid w:val="21EA1DCF"/>
    <w:rsid w:val="21EB5ABA"/>
    <w:rsid w:val="220A23E4"/>
    <w:rsid w:val="222608A0"/>
    <w:rsid w:val="22764A0A"/>
    <w:rsid w:val="227B299A"/>
    <w:rsid w:val="227D2BB6"/>
    <w:rsid w:val="228F4698"/>
    <w:rsid w:val="22E5075C"/>
    <w:rsid w:val="22EE7610"/>
    <w:rsid w:val="22F664C5"/>
    <w:rsid w:val="230B3170"/>
    <w:rsid w:val="23356FED"/>
    <w:rsid w:val="233F1C1A"/>
    <w:rsid w:val="23474F72"/>
    <w:rsid w:val="23531B69"/>
    <w:rsid w:val="23A10B26"/>
    <w:rsid w:val="23A777BF"/>
    <w:rsid w:val="23A979DB"/>
    <w:rsid w:val="23AD74CB"/>
    <w:rsid w:val="23C16AD3"/>
    <w:rsid w:val="23C30A9D"/>
    <w:rsid w:val="23C91E2B"/>
    <w:rsid w:val="23CA60B4"/>
    <w:rsid w:val="23DF4C0F"/>
    <w:rsid w:val="23E46C65"/>
    <w:rsid w:val="23E5465A"/>
    <w:rsid w:val="24003A9F"/>
    <w:rsid w:val="24447509"/>
    <w:rsid w:val="245C67FB"/>
    <w:rsid w:val="245E2574"/>
    <w:rsid w:val="247753E3"/>
    <w:rsid w:val="24783253"/>
    <w:rsid w:val="249661B1"/>
    <w:rsid w:val="24AC26EA"/>
    <w:rsid w:val="24DC16EA"/>
    <w:rsid w:val="24ED3D67"/>
    <w:rsid w:val="25237319"/>
    <w:rsid w:val="2540611D"/>
    <w:rsid w:val="25EF3DCB"/>
    <w:rsid w:val="25F5515A"/>
    <w:rsid w:val="25FF1B34"/>
    <w:rsid w:val="26103D41"/>
    <w:rsid w:val="26143832"/>
    <w:rsid w:val="26404627"/>
    <w:rsid w:val="26526108"/>
    <w:rsid w:val="26571970"/>
    <w:rsid w:val="265A320F"/>
    <w:rsid w:val="26687ABC"/>
    <w:rsid w:val="268169ED"/>
    <w:rsid w:val="268A0EAE"/>
    <w:rsid w:val="26AD333E"/>
    <w:rsid w:val="26AD77E2"/>
    <w:rsid w:val="26B3348B"/>
    <w:rsid w:val="26B741BD"/>
    <w:rsid w:val="26B74F7E"/>
    <w:rsid w:val="26E1123A"/>
    <w:rsid w:val="26FC6074"/>
    <w:rsid w:val="26FD42C6"/>
    <w:rsid w:val="26FF0060"/>
    <w:rsid w:val="27054F28"/>
    <w:rsid w:val="27182EAE"/>
    <w:rsid w:val="27201D62"/>
    <w:rsid w:val="27335F39"/>
    <w:rsid w:val="276500BD"/>
    <w:rsid w:val="277E586A"/>
    <w:rsid w:val="277F117F"/>
    <w:rsid w:val="27A42993"/>
    <w:rsid w:val="27B506FD"/>
    <w:rsid w:val="27B64475"/>
    <w:rsid w:val="27C923FA"/>
    <w:rsid w:val="27D50D9F"/>
    <w:rsid w:val="27E15995"/>
    <w:rsid w:val="27E21464"/>
    <w:rsid w:val="27F51441"/>
    <w:rsid w:val="27FC6420"/>
    <w:rsid w:val="27FD302F"/>
    <w:rsid w:val="28011B94"/>
    <w:rsid w:val="282B09BF"/>
    <w:rsid w:val="2852419D"/>
    <w:rsid w:val="28771E56"/>
    <w:rsid w:val="287D680A"/>
    <w:rsid w:val="28B46C06"/>
    <w:rsid w:val="28C332ED"/>
    <w:rsid w:val="28C72DDD"/>
    <w:rsid w:val="28D252DE"/>
    <w:rsid w:val="28EA49FD"/>
    <w:rsid w:val="28EC2844"/>
    <w:rsid w:val="28F11C08"/>
    <w:rsid w:val="28F25980"/>
    <w:rsid w:val="291D2772"/>
    <w:rsid w:val="29477A7A"/>
    <w:rsid w:val="294F4B81"/>
    <w:rsid w:val="29583A35"/>
    <w:rsid w:val="295B52D4"/>
    <w:rsid w:val="295C2DFA"/>
    <w:rsid w:val="2964062C"/>
    <w:rsid w:val="29693E94"/>
    <w:rsid w:val="296C5733"/>
    <w:rsid w:val="29830BB3"/>
    <w:rsid w:val="29883BEF"/>
    <w:rsid w:val="298C7B83"/>
    <w:rsid w:val="29BE3D54"/>
    <w:rsid w:val="29DA269C"/>
    <w:rsid w:val="29FB1396"/>
    <w:rsid w:val="2A093747"/>
    <w:rsid w:val="2A4160C7"/>
    <w:rsid w:val="2A5341FD"/>
    <w:rsid w:val="2A73489F"/>
    <w:rsid w:val="2A7D127A"/>
    <w:rsid w:val="2AA84549"/>
    <w:rsid w:val="2AC05D36"/>
    <w:rsid w:val="2AC86999"/>
    <w:rsid w:val="2B141BDE"/>
    <w:rsid w:val="2B2A7653"/>
    <w:rsid w:val="2B367DA6"/>
    <w:rsid w:val="2B4A5600"/>
    <w:rsid w:val="2B4F2C16"/>
    <w:rsid w:val="2BA03472"/>
    <w:rsid w:val="2BA47406"/>
    <w:rsid w:val="2BAC1E16"/>
    <w:rsid w:val="2BEF61A7"/>
    <w:rsid w:val="2C26606D"/>
    <w:rsid w:val="2C2C11A9"/>
    <w:rsid w:val="2C3B13EC"/>
    <w:rsid w:val="2C444745"/>
    <w:rsid w:val="2C5030EA"/>
    <w:rsid w:val="2C572784"/>
    <w:rsid w:val="2C694EB6"/>
    <w:rsid w:val="2C840FE5"/>
    <w:rsid w:val="2CA72344"/>
    <w:rsid w:val="2CAE4A0E"/>
    <w:rsid w:val="2CB73169"/>
    <w:rsid w:val="2CB90C8F"/>
    <w:rsid w:val="2CBC42DB"/>
    <w:rsid w:val="2CC97ED5"/>
    <w:rsid w:val="2CDF446E"/>
    <w:rsid w:val="2CE675AA"/>
    <w:rsid w:val="2CF41CC7"/>
    <w:rsid w:val="2D151C3D"/>
    <w:rsid w:val="2D285E15"/>
    <w:rsid w:val="2D311EE9"/>
    <w:rsid w:val="2D3C366E"/>
    <w:rsid w:val="2D6230D5"/>
    <w:rsid w:val="2D630BFB"/>
    <w:rsid w:val="2D7B7CF2"/>
    <w:rsid w:val="2D7E4D48"/>
    <w:rsid w:val="2D83304B"/>
    <w:rsid w:val="2D850B71"/>
    <w:rsid w:val="2D915768"/>
    <w:rsid w:val="2D990AC0"/>
    <w:rsid w:val="2DA82AB1"/>
    <w:rsid w:val="2DBD47AF"/>
    <w:rsid w:val="2DC1698E"/>
    <w:rsid w:val="2DD90EBD"/>
    <w:rsid w:val="2DE52C0A"/>
    <w:rsid w:val="2DF45CF7"/>
    <w:rsid w:val="2DFE26D1"/>
    <w:rsid w:val="2E1168A9"/>
    <w:rsid w:val="2E184FD3"/>
    <w:rsid w:val="2E2663AD"/>
    <w:rsid w:val="2E3D769E"/>
    <w:rsid w:val="2E456552"/>
    <w:rsid w:val="2E497DF1"/>
    <w:rsid w:val="2E4A5917"/>
    <w:rsid w:val="2E4C168F"/>
    <w:rsid w:val="2E7C6418"/>
    <w:rsid w:val="2E7F3B7F"/>
    <w:rsid w:val="2E813A2E"/>
    <w:rsid w:val="2E982B26"/>
    <w:rsid w:val="2EAE5EA6"/>
    <w:rsid w:val="2EB45BB2"/>
    <w:rsid w:val="2ED40002"/>
    <w:rsid w:val="2EED10C4"/>
    <w:rsid w:val="2EF01144"/>
    <w:rsid w:val="2F0D52C2"/>
    <w:rsid w:val="2F320885"/>
    <w:rsid w:val="2F3445FD"/>
    <w:rsid w:val="2F4405B8"/>
    <w:rsid w:val="2F546A4D"/>
    <w:rsid w:val="2F6616D3"/>
    <w:rsid w:val="2F6C023B"/>
    <w:rsid w:val="2F6D7B0F"/>
    <w:rsid w:val="2F7C41F6"/>
    <w:rsid w:val="2F882B9B"/>
    <w:rsid w:val="2F9C6646"/>
    <w:rsid w:val="2FA00426"/>
    <w:rsid w:val="2FA21EAE"/>
    <w:rsid w:val="2FE14DBE"/>
    <w:rsid w:val="2FEF6776"/>
    <w:rsid w:val="2FF82ACE"/>
    <w:rsid w:val="2FFC3712"/>
    <w:rsid w:val="30093CDB"/>
    <w:rsid w:val="302A5A00"/>
    <w:rsid w:val="30546F8C"/>
    <w:rsid w:val="307F5D4C"/>
    <w:rsid w:val="30801AC4"/>
    <w:rsid w:val="309A0DD7"/>
    <w:rsid w:val="30A77050"/>
    <w:rsid w:val="30C606E6"/>
    <w:rsid w:val="310B3A83"/>
    <w:rsid w:val="31124E12"/>
    <w:rsid w:val="311741D6"/>
    <w:rsid w:val="311E5564"/>
    <w:rsid w:val="313A1C72"/>
    <w:rsid w:val="314174A5"/>
    <w:rsid w:val="31461C62"/>
    <w:rsid w:val="316B2774"/>
    <w:rsid w:val="3192385D"/>
    <w:rsid w:val="3199108F"/>
    <w:rsid w:val="319B4E07"/>
    <w:rsid w:val="31A35A6A"/>
    <w:rsid w:val="31CA56EC"/>
    <w:rsid w:val="31CA749A"/>
    <w:rsid w:val="31EB11BF"/>
    <w:rsid w:val="31F2079F"/>
    <w:rsid w:val="31FC517A"/>
    <w:rsid w:val="32011BB7"/>
    <w:rsid w:val="32133CF7"/>
    <w:rsid w:val="322C5A5F"/>
    <w:rsid w:val="324F79A0"/>
    <w:rsid w:val="325A6A70"/>
    <w:rsid w:val="32B51EF8"/>
    <w:rsid w:val="32BF68D3"/>
    <w:rsid w:val="32EB76C8"/>
    <w:rsid w:val="32FA5B5D"/>
    <w:rsid w:val="331C5AD4"/>
    <w:rsid w:val="33266952"/>
    <w:rsid w:val="33294694"/>
    <w:rsid w:val="33386686"/>
    <w:rsid w:val="33466FF4"/>
    <w:rsid w:val="33492641"/>
    <w:rsid w:val="334D105C"/>
    <w:rsid w:val="33972172"/>
    <w:rsid w:val="33B31A16"/>
    <w:rsid w:val="33C06DA7"/>
    <w:rsid w:val="33C80F54"/>
    <w:rsid w:val="33FE78CF"/>
    <w:rsid w:val="3428494C"/>
    <w:rsid w:val="34545741"/>
    <w:rsid w:val="345532F9"/>
    <w:rsid w:val="34563267"/>
    <w:rsid w:val="345D63A4"/>
    <w:rsid w:val="346B6C5F"/>
    <w:rsid w:val="347D6A46"/>
    <w:rsid w:val="348A4CBF"/>
    <w:rsid w:val="34CD235C"/>
    <w:rsid w:val="34E46AC5"/>
    <w:rsid w:val="34ED75C6"/>
    <w:rsid w:val="350E58F0"/>
    <w:rsid w:val="352B46F4"/>
    <w:rsid w:val="35374E47"/>
    <w:rsid w:val="35496928"/>
    <w:rsid w:val="357716E7"/>
    <w:rsid w:val="357F234A"/>
    <w:rsid w:val="35B66A08"/>
    <w:rsid w:val="35C67F79"/>
    <w:rsid w:val="35EA1EB9"/>
    <w:rsid w:val="35EB3E83"/>
    <w:rsid w:val="35EB7B5A"/>
    <w:rsid w:val="360311CD"/>
    <w:rsid w:val="36370E76"/>
    <w:rsid w:val="36435A6D"/>
    <w:rsid w:val="36730100"/>
    <w:rsid w:val="367D0F7F"/>
    <w:rsid w:val="367E0853"/>
    <w:rsid w:val="36820344"/>
    <w:rsid w:val="368340BC"/>
    <w:rsid w:val="36883480"/>
    <w:rsid w:val="369D517D"/>
    <w:rsid w:val="36BD137C"/>
    <w:rsid w:val="36BD312A"/>
    <w:rsid w:val="36E96615"/>
    <w:rsid w:val="36FB1EA4"/>
    <w:rsid w:val="371B60A2"/>
    <w:rsid w:val="371D62BE"/>
    <w:rsid w:val="371F2036"/>
    <w:rsid w:val="371F5B92"/>
    <w:rsid w:val="372F1B4E"/>
    <w:rsid w:val="37405B09"/>
    <w:rsid w:val="37895702"/>
    <w:rsid w:val="37A4253C"/>
    <w:rsid w:val="37CE75B8"/>
    <w:rsid w:val="37DC2CEB"/>
    <w:rsid w:val="37DC7FC7"/>
    <w:rsid w:val="37F54B45"/>
    <w:rsid w:val="38031EDD"/>
    <w:rsid w:val="382D2531"/>
    <w:rsid w:val="3834566E"/>
    <w:rsid w:val="389B749B"/>
    <w:rsid w:val="38C06F01"/>
    <w:rsid w:val="38EC7CF6"/>
    <w:rsid w:val="38F66DC7"/>
    <w:rsid w:val="38FE4EB2"/>
    <w:rsid w:val="39225E0E"/>
    <w:rsid w:val="3950297B"/>
    <w:rsid w:val="39697599"/>
    <w:rsid w:val="398E0DAD"/>
    <w:rsid w:val="39B747A8"/>
    <w:rsid w:val="39C46EC5"/>
    <w:rsid w:val="3A015A23"/>
    <w:rsid w:val="3A0B0650"/>
    <w:rsid w:val="3A1E65D5"/>
    <w:rsid w:val="3A323597"/>
    <w:rsid w:val="3A39340F"/>
    <w:rsid w:val="3A5C3C90"/>
    <w:rsid w:val="3A865F28"/>
    <w:rsid w:val="3A8A77C7"/>
    <w:rsid w:val="3A8F302F"/>
    <w:rsid w:val="3ACC4283"/>
    <w:rsid w:val="3AD2717E"/>
    <w:rsid w:val="3AE25855"/>
    <w:rsid w:val="3B0A6B5A"/>
    <w:rsid w:val="3B343BD6"/>
    <w:rsid w:val="3B3B71D4"/>
    <w:rsid w:val="3B732951"/>
    <w:rsid w:val="3B757516"/>
    <w:rsid w:val="3B844B5E"/>
    <w:rsid w:val="3B9D352A"/>
    <w:rsid w:val="3BA23236"/>
    <w:rsid w:val="3BA24FE4"/>
    <w:rsid w:val="3BB865B6"/>
    <w:rsid w:val="3BF51473"/>
    <w:rsid w:val="3C0E61D6"/>
    <w:rsid w:val="3C157564"/>
    <w:rsid w:val="3C1F03E3"/>
    <w:rsid w:val="3C2D6FA3"/>
    <w:rsid w:val="3C355E58"/>
    <w:rsid w:val="3C5E74FA"/>
    <w:rsid w:val="3C8B3CCA"/>
    <w:rsid w:val="3C94492D"/>
    <w:rsid w:val="3C991F43"/>
    <w:rsid w:val="3CBA38AD"/>
    <w:rsid w:val="3CDC4D80"/>
    <w:rsid w:val="3CE26EDE"/>
    <w:rsid w:val="3D08531B"/>
    <w:rsid w:val="3D09356D"/>
    <w:rsid w:val="3D257F50"/>
    <w:rsid w:val="3D347EBE"/>
    <w:rsid w:val="3D393726"/>
    <w:rsid w:val="3D3A1978"/>
    <w:rsid w:val="3D474095"/>
    <w:rsid w:val="3D4A5933"/>
    <w:rsid w:val="3D65451B"/>
    <w:rsid w:val="3D734E8A"/>
    <w:rsid w:val="3D791D75"/>
    <w:rsid w:val="3D7E4729"/>
    <w:rsid w:val="3D9559C0"/>
    <w:rsid w:val="3D9646D4"/>
    <w:rsid w:val="3DC54FBA"/>
    <w:rsid w:val="3DE550F2"/>
    <w:rsid w:val="3DF064DB"/>
    <w:rsid w:val="3E1C72D0"/>
    <w:rsid w:val="3E1D4DF6"/>
    <w:rsid w:val="3E1D6BA4"/>
    <w:rsid w:val="3E2241BA"/>
    <w:rsid w:val="3E291428"/>
    <w:rsid w:val="3E3068D7"/>
    <w:rsid w:val="3E3F4D6C"/>
    <w:rsid w:val="3E475ED5"/>
    <w:rsid w:val="3E66679D"/>
    <w:rsid w:val="3E740EBA"/>
    <w:rsid w:val="3E7419A8"/>
    <w:rsid w:val="3E7517F2"/>
    <w:rsid w:val="3E8B6203"/>
    <w:rsid w:val="3E9E1A93"/>
    <w:rsid w:val="3EBF7C5B"/>
    <w:rsid w:val="3EC3774B"/>
    <w:rsid w:val="3ECB5549"/>
    <w:rsid w:val="3ED2798E"/>
    <w:rsid w:val="3EE61298"/>
    <w:rsid w:val="3F141D55"/>
    <w:rsid w:val="3F1E0E25"/>
    <w:rsid w:val="3F1E7077"/>
    <w:rsid w:val="3F2A1578"/>
    <w:rsid w:val="3F544847"/>
    <w:rsid w:val="3F604F9A"/>
    <w:rsid w:val="3F6F1681"/>
    <w:rsid w:val="3F710F55"/>
    <w:rsid w:val="3F8F587F"/>
    <w:rsid w:val="3FB05F21"/>
    <w:rsid w:val="3FBB48C6"/>
    <w:rsid w:val="3FC45529"/>
    <w:rsid w:val="3FDD65EB"/>
    <w:rsid w:val="3FE34229"/>
    <w:rsid w:val="3FE756BB"/>
    <w:rsid w:val="3FF1653A"/>
    <w:rsid w:val="400224F5"/>
    <w:rsid w:val="4021297B"/>
    <w:rsid w:val="40640ABA"/>
    <w:rsid w:val="40A4535A"/>
    <w:rsid w:val="40A92971"/>
    <w:rsid w:val="40B90E06"/>
    <w:rsid w:val="40BF3F42"/>
    <w:rsid w:val="40C8729B"/>
    <w:rsid w:val="40CE4185"/>
    <w:rsid w:val="41061B71"/>
    <w:rsid w:val="410B1EE2"/>
    <w:rsid w:val="410D1152"/>
    <w:rsid w:val="41210759"/>
    <w:rsid w:val="41313092"/>
    <w:rsid w:val="41326E0A"/>
    <w:rsid w:val="413D1A37"/>
    <w:rsid w:val="415648A7"/>
    <w:rsid w:val="41911676"/>
    <w:rsid w:val="41BC593C"/>
    <w:rsid w:val="41DD28D2"/>
    <w:rsid w:val="41E06866"/>
    <w:rsid w:val="41EC6FB9"/>
    <w:rsid w:val="41EF0857"/>
    <w:rsid w:val="420662CD"/>
    <w:rsid w:val="421D3616"/>
    <w:rsid w:val="426E66F8"/>
    <w:rsid w:val="42707BEA"/>
    <w:rsid w:val="42A11B51"/>
    <w:rsid w:val="42A6360C"/>
    <w:rsid w:val="42A76DCA"/>
    <w:rsid w:val="42B55CBC"/>
    <w:rsid w:val="42D02437"/>
    <w:rsid w:val="42FB3958"/>
    <w:rsid w:val="42FE6FA4"/>
    <w:rsid w:val="432509D4"/>
    <w:rsid w:val="434019E2"/>
    <w:rsid w:val="43503578"/>
    <w:rsid w:val="4355293C"/>
    <w:rsid w:val="4359067E"/>
    <w:rsid w:val="4359242C"/>
    <w:rsid w:val="435E7A42"/>
    <w:rsid w:val="43670FED"/>
    <w:rsid w:val="436D5ED7"/>
    <w:rsid w:val="437A5403"/>
    <w:rsid w:val="437B23A2"/>
    <w:rsid w:val="438356FB"/>
    <w:rsid w:val="439E0787"/>
    <w:rsid w:val="43C24475"/>
    <w:rsid w:val="43C32219"/>
    <w:rsid w:val="43D30430"/>
    <w:rsid w:val="441822E7"/>
    <w:rsid w:val="444F26BD"/>
    <w:rsid w:val="445350CD"/>
    <w:rsid w:val="445F1CC4"/>
    <w:rsid w:val="44811FA7"/>
    <w:rsid w:val="448E25A9"/>
    <w:rsid w:val="44A877DC"/>
    <w:rsid w:val="44C304A5"/>
    <w:rsid w:val="44CB1108"/>
    <w:rsid w:val="44D367AC"/>
    <w:rsid w:val="44EB79FC"/>
    <w:rsid w:val="44EE3FA4"/>
    <w:rsid w:val="44F12F06"/>
    <w:rsid w:val="45327DE5"/>
    <w:rsid w:val="45361337"/>
    <w:rsid w:val="45774DEB"/>
    <w:rsid w:val="45886FF9"/>
    <w:rsid w:val="459C0CF6"/>
    <w:rsid w:val="45CD0EAF"/>
    <w:rsid w:val="4607616F"/>
    <w:rsid w:val="46431172"/>
    <w:rsid w:val="464B655A"/>
    <w:rsid w:val="466F1F67"/>
    <w:rsid w:val="467C4DAF"/>
    <w:rsid w:val="46916381"/>
    <w:rsid w:val="46955E71"/>
    <w:rsid w:val="46CE3131"/>
    <w:rsid w:val="46D85D5E"/>
    <w:rsid w:val="46F34946"/>
    <w:rsid w:val="4707219F"/>
    <w:rsid w:val="471E7C15"/>
    <w:rsid w:val="474B6530"/>
    <w:rsid w:val="47615D53"/>
    <w:rsid w:val="47863A0C"/>
    <w:rsid w:val="47975C19"/>
    <w:rsid w:val="47B40579"/>
    <w:rsid w:val="47D46525"/>
    <w:rsid w:val="47D77DC3"/>
    <w:rsid w:val="47E726FC"/>
    <w:rsid w:val="47FE7A46"/>
    <w:rsid w:val="480E2AC1"/>
    <w:rsid w:val="48124F71"/>
    <w:rsid w:val="482079BC"/>
    <w:rsid w:val="484A67E7"/>
    <w:rsid w:val="488937B4"/>
    <w:rsid w:val="48904F97"/>
    <w:rsid w:val="48912668"/>
    <w:rsid w:val="48AB372A"/>
    <w:rsid w:val="48AE4FC8"/>
    <w:rsid w:val="48B9571B"/>
    <w:rsid w:val="48DF5182"/>
    <w:rsid w:val="491D214E"/>
    <w:rsid w:val="49423962"/>
    <w:rsid w:val="49541DC5"/>
    <w:rsid w:val="49584F34"/>
    <w:rsid w:val="49747FC0"/>
    <w:rsid w:val="498126DD"/>
    <w:rsid w:val="499E328F"/>
    <w:rsid w:val="49A413EC"/>
    <w:rsid w:val="49B06B1E"/>
    <w:rsid w:val="49B900C8"/>
    <w:rsid w:val="49CD5922"/>
    <w:rsid w:val="49EA7562"/>
    <w:rsid w:val="49F20EE5"/>
    <w:rsid w:val="4A38723F"/>
    <w:rsid w:val="4A507539"/>
    <w:rsid w:val="4A534079"/>
    <w:rsid w:val="4A6022F2"/>
    <w:rsid w:val="4A8E3303"/>
    <w:rsid w:val="4AB8212E"/>
    <w:rsid w:val="4AE051E1"/>
    <w:rsid w:val="4AF04576"/>
    <w:rsid w:val="4AF56EDE"/>
    <w:rsid w:val="4AFC655F"/>
    <w:rsid w:val="4B0435C5"/>
    <w:rsid w:val="4B047121"/>
    <w:rsid w:val="4B052E99"/>
    <w:rsid w:val="4B103D18"/>
    <w:rsid w:val="4B1355B6"/>
    <w:rsid w:val="4B15132F"/>
    <w:rsid w:val="4B1732F9"/>
    <w:rsid w:val="4B35377F"/>
    <w:rsid w:val="4B6978CC"/>
    <w:rsid w:val="4B7342A7"/>
    <w:rsid w:val="4B92355F"/>
    <w:rsid w:val="4B9A48DF"/>
    <w:rsid w:val="4BAA1B73"/>
    <w:rsid w:val="4BAB3A41"/>
    <w:rsid w:val="4BB26B7D"/>
    <w:rsid w:val="4BBE3774"/>
    <w:rsid w:val="4BCD39B7"/>
    <w:rsid w:val="4BD45878"/>
    <w:rsid w:val="4BDA60D4"/>
    <w:rsid w:val="4BF947AC"/>
    <w:rsid w:val="4C211F55"/>
    <w:rsid w:val="4C237906"/>
    <w:rsid w:val="4C324162"/>
    <w:rsid w:val="4C343A36"/>
    <w:rsid w:val="4C394EB9"/>
    <w:rsid w:val="4C3E48B5"/>
    <w:rsid w:val="4C71246E"/>
    <w:rsid w:val="4C7B1665"/>
    <w:rsid w:val="4C8E75EA"/>
    <w:rsid w:val="4C96024D"/>
    <w:rsid w:val="4CAD5597"/>
    <w:rsid w:val="4CB37051"/>
    <w:rsid w:val="4CD34FFD"/>
    <w:rsid w:val="4D001B6A"/>
    <w:rsid w:val="4D0258E3"/>
    <w:rsid w:val="4D1A2C2C"/>
    <w:rsid w:val="4D20220D"/>
    <w:rsid w:val="4D422183"/>
    <w:rsid w:val="4D4B1038"/>
    <w:rsid w:val="4D4C3002"/>
    <w:rsid w:val="4D791848"/>
    <w:rsid w:val="4D7C38E7"/>
    <w:rsid w:val="4D84279B"/>
    <w:rsid w:val="4D9E1AAF"/>
    <w:rsid w:val="4DA4699A"/>
    <w:rsid w:val="4DD21759"/>
    <w:rsid w:val="4DF74D1B"/>
    <w:rsid w:val="4DFA1A5F"/>
    <w:rsid w:val="4DFE60AA"/>
    <w:rsid w:val="4E0B4C6B"/>
    <w:rsid w:val="4E265BED"/>
    <w:rsid w:val="4E41488C"/>
    <w:rsid w:val="4E451F2B"/>
    <w:rsid w:val="4E4837C9"/>
    <w:rsid w:val="4E832A53"/>
    <w:rsid w:val="4EA779C3"/>
    <w:rsid w:val="4EB008E0"/>
    <w:rsid w:val="4ED41501"/>
    <w:rsid w:val="4EFB4CDF"/>
    <w:rsid w:val="4F0911AA"/>
    <w:rsid w:val="4F0F42E7"/>
    <w:rsid w:val="4F1813ED"/>
    <w:rsid w:val="4F253B0A"/>
    <w:rsid w:val="4F365A5B"/>
    <w:rsid w:val="4F3F2E1E"/>
    <w:rsid w:val="4F563CC4"/>
    <w:rsid w:val="4F583EE0"/>
    <w:rsid w:val="4F5A08DF"/>
    <w:rsid w:val="4F7A5C04"/>
    <w:rsid w:val="4FC6709B"/>
    <w:rsid w:val="4FD03A76"/>
    <w:rsid w:val="4FE030B4"/>
    <w:rsid w:val="4FE94B38"/>
    <w:rsid w:val="4FEE214E"/>
    <w:rsid w:val="50016325"/>
    <w:rsid w:val="50125E3D"/>
    <w:rsid w:val="50175B49"/>
    <w:rsid w:val="504601DC"/>
    <w:rsid w:val="505428F9"/>
    <w:rsid w:val="50597F0F"/>
    <w:rsid w:val="5060129E"/>
    <w:rsid w:val="50681F00"/>
    <w:rsid w:val="50884351"/>
    <w:rsid w:val="50903205"/>
    <w:rsid w:val="50966A6E"/>
    <w:rsid w:val="50AC6291"/>
    <w:rsid w:val="50EF2622"/>
    <w:rsid w:val="511D2CEB"/>
    <w:rsid w:val="51346287"/>
    <w:rsid w:val="51383FC9"/>
    <w:rsid w:val="513F5357"/>
    <w:rsid w:val="51450ABA"/>
    <w:rsid w:val="514F4E6E"/>
    <w:rsid w:val="51516E38"/>
    <w:rsid w:val="516528E4"/>
    <w:rsid w:val="516721B8"/>
    <w:rsid w:val="517F7502"/>
    <w:rsid w:val="518C436B"/>
    <w:rsid w:val="519D5BDA"/>
    <w:rsid w:val="51C62530"/>
    <w:rsid w:val="51CB6BEB"/>
    <w:rsid w:val="51D35A9F"/>
    <w:rsid w:val="52045C59"/>
    <w:rsid w:val="5208399B"/>
    <w:rsid w:val="52255F14"/>
    <w:rsid w:val="52333AA7"/>
    <w:rsid w:val="52344790"/>
    <w:rsid w:val="523F1387"/>
    <w:rsid w:val="52432C25"/>
    <w:rsid w:val="526A01B2"/>
    <w:rsid w:val="52707792"/>
    <w:rsid w:val="52730B24"/>
    <w:rsid w:val="52773616"/>
    <w:rsid w:val="52887CA3"/>
    <w:rsid w:val="52917DD7"/>
    <w:rsid w:val="52AD009F"/>
    <w:rsid w:val="52D64E0D"/>
    <w:rsid w:val="52E71802"/>
    <w:rsid w:val="5302488E"/>
    <w:rsid w:val="5338205E"/>
    <w:rsid w:val="53397B84"/>
    <w:rsid w:val="53422EDD"/>
    <w:rsid w:val="53487DC7"/>
    <w:rsid w:val="536A41E2"/>
    <w:rsid w:val="5385101B"/>
    <w:rsid w:val="538C4158"/>
    <w:rsid w:val="5391176E"/>
    <w:rsid w:val="53AD3516"/>
    <w:rsid w:val="53B67427"/>
    <w:rsid w:val="53BF452D"/>
    <w:rsid w:val="53D31D87"/>
    <w:rsid w:val="540753EA"/>
    <w:rsid w:val="541C372E"/>
    <w:rsid w:val="541E35AF"/>
    <w:rsid w:val="542425E2"/>
    <w:rsid w:val="54295E4B"/>
    <w:rsid w:val="542B1BC3"/>
    <w:rsid w:val="542D5B65"/>
    <w:rsid w:val="5447287D"/>
    <w:rsid w:val="54973DD2"/>
    <w:rsid w:val="549C486F"/>
    <w:rsid w:val="54B0031A"/>
    <w:rsid w:val="54C94F38"/>
    <w:rsid w:val="54E57FCD"/>
    <w:rsid w:val="54ED50CA"/>
    <w:rsid w:val="54FE72D7"/>
    <w:rsid w:val="550A5C7C"/>
    <w:rsid w:val="55371339"/>
    <w:rsid w:val="554E1D8E"/>
    <w:rsid w:val="55627866"/>
    <w:rsid w:val="55674E7D"/>
    <w:rsid w:val="556A04C9"/>
    <w:rsid w:val="55724C7D"/>
    <w:rsid w:val="55805F3E"/>
    <w:rsid w:val="55855303"/>
    <w:rsid w:val="558C7A4D"/>
    <w:rsid w:val="559519EA"/>
    <w:rsid w:val="559D089E"/>
    <w:rsid w:val="55A734CB"/>
    <w:rsid w:val="55A97243"/>
    <w:rsid w:val="55C45E2B"/>
    <w:rsid w:val="55E71B19"/>
    <w:rsid w:val="55EC7130"/>
    <w:rsid w:val="560501F2"/>
    <w:rsid w:val="561B36D0"/>
    <w:rsid w:val="5627572A"/>
    <w:rsid w:val="56495EF2"/>
    <w:rsid w:val="565D3B8A"/>
    <w:rsid w:val="56763C45"/>
    <w:rsid w:val="568F468B"/>
    <w:rsid w:val="56AD4B11"/>
    <w:rsid w:val="56DA167E"/>
    <w:rsid w:val="56E9366F"/>
    <w:rsid w:val="5728063B"/>
    <w:rsid w:val="572F5526"/>
    <w:rsid w:val="57342B3C"/>
    <w:rsid w:val="57435BF8"/>
    <w:rsid w:val="57596A47"/>
    <w:rsid w:val="5765719A"/>
    <w:rsid w:val="57B10631"/>
    <w:rsid w:val="57B343A9"/>
    <w:rsid w:val="57C2639A"/>
    <w:rsid w:val="580544D9"/>
    <w:rsid w:val="58095D77"/>
    <w:rsid w:val="5813309A"/>
    <w:rsid w:val="58150BC0"/>
    <w:rsid w:val="5853793A"/>
    <w:rsid w:val="585D60C3"/>
    <w:rsid w:val="588673C8"/>
    <w:rsid w:val="588875E4"/>
    <w:rsid w:val="58B2640F"/>
    <w:rsid w:val="58BA52C3"/>
    <w:rsid w:val="58C148A4"/>
    <w:rsid w:val="58C67691"/>
    <w:rsid w:val="58D04AE7"/>
    <w:rsid w:val="58FE1654"/>
    <w:rsid w:val="591C39E7"/>
    <w:rsid w:val="591C5F7E"/>
    <w:rsid w:val="592B7F6F"/>
    <w:rsid w:val="59513E7A"/>
    <w:rsid w:val="595E6596"/>
    <w:rsid w:val="596F235C"/>
    <w:rsid w:val="59755F50"/>
    <w:rsid w:val="59815DE1"/>
    <w:rsid w:val="598F0850"/>
    <w:rsid w:val="599A624A"/>
    <w:rsid w:val="59A815C0"/>
    <w:rsid w:val="59BB5797"/>
    <w:rsid w:val="59E22D24"/>
    <w:rsid w:val="59E94913"/>
    <w:rsid w:val="59EA7E2A"/>
    <w:rsid w:val="59FA62BF"/>
    <w:rsid w:val="5A0F163F"/>
    <w:rsid w:val="5A1B7FE4"/>
    <w:rsid w:val="5A736072"/>
    <w:rsid w:val="5A7B0A82"/>
    <w:rsid w:val="5AB126F6"/>
    <w:rsid w:val="5AC30854"/>
    <w:rsid w:val="5AE14D89"/>
    <w:rsid w:val="5AFC7E15"/>
    <w:rsid w:val="5B0B0058"/>
    <w:rsid w:val="5B0D5B7E"/>
    <w:rsid w:val="5B12588A"/>
    <w:rsid w:val="5B174C4F"/>
    <w:rsid w:val="5B1F1D55"/>
    <w:rsid w:val="5B294982"/>
    <w:rsid w:val="5B3D3F8A"/>
    <w:rsid w:val="5B4A5024"/>
    <w:rsid w:val="5B6B7E4D"/>
    <w:rsid w:val="5B6D486F"/>
    <w:rsid w:val="5B745980"/>
    <w:rsid w:val="5B7E082A"/>
    <w:rsid w:val="5B7E6A7C"/>
    <w:rsid w:val="5B9E0ECC"/>
    <w:rsid w:val="5BBE156E"/>
    <w:rsid w:val="5BC14BBB"/>
    <w:rsid w:val="5BC30933"/>
    <w:rsid w:val="5BD4669C"/>
    <w:rsid w:val="5BD930EE"/>
    <w:rsid w:val="5BE30FD5"/>
    <w:rsid w:val="5BE74621"/>
    <w:rsid w:val="5BF154A0"/>
    <w:rsid w:val="5C076A71"/>
    <w:rsid w:val="5C115B42"/>
    <w:rsid w:val="5C14118E"/>
    <w:rsid w:val="5C390BF5"/>
    <w:rsid w:val="5C4750C0"/>
    <w:rsid w:val="5C563555"/>
    <w:rsid w:val="5C583771"/>
    <w:rsid w:val="5C593045"/>
    <w:rsid w:val="5C6B60E0"/>
    <w:rsid w:val="5C6E4D42"/>
    <w:rsid w:val="5C734427"/>
    <w:rsid w:val="5C891B7C"/>
    <w:rsid w:val="5C8E2CEF"/>
    <w:rsid w:val="5C9E7A93"/>
    <w:rsid w:val="5CA644DC"/>
    <w:rsid w:val="5CDD5A24"/>
    <w:rsid w:val="5CDF354A"/>
    <w:rsid w:val="5CE26E22"/>
    <w:rsid w:val="5D041203"/>
    <w:rsid w:val="5D097E17"/>
    <w:rsid w:val="5D281706"/>
    <w:rsid w:val="5D2C42B6"/>
    <w:rsid w:val="5D46181B"/>
    <w:rsid w:val="5D55380D"/>
    <w:rsid w:val="5D5A0E23"/>
    <w:rsid w:val="5D6323CD"/>
    <w:rsid w:val="5D6A375C"/>
    <w:rsid w:val="5D753EAF"/>
    <w:rsid w:val="5D867E6A"/>
    <w:rsid w:val="5D995DEF"/>
    <w:rsid w:val="5DAF116F"/>
    <w:rsid w:val="5DB03139"/>
    <w:rsid w:val="5DEC4171"/>
    <w:rsid w:val="5DF748C4"/>
    <w:rsid w:val="5E1E072B"/>
    <w:rsid w:val="5E2D6537"/>
    <w:rsid w:val="5E512226"/>
    <w:rsid w:val="5E7D126D"/>
    <w:rsid w:val="5E826883"/>
    <w:rsid w:val="5E914D18"/>
    <w:rsid w:val="5E99215D"/>
    <w:rsid w:val="5EA031AD"/>
    <w:rsid w:val="5EAB402C"/>
    <w:rsid w:val="5EB6477F"/>
    <w:rsid w:val="5EEE3F19"/>
    <w:rsid w:val="5F025C16"/>
    <w:rsid w:val="5F2B0CC9"/>
    <w:rsid w:val="5F3062DF"/>
    <w:rsid w:val="5F41673E"/>
    <w:rsid w:val="5F463D55"/>
    <w:rsid w:val="5F4916B0"/>
    <w:rsid w:val="5F531FCE"/>
    <w:rsid w:val="5F5C5326"/>
    <w:rsid w:val="5F5D2E4C"/>
    <w:rsid w:val="5F84662B"/>
    <w:rsid w:val="5F8D54E0"/>
    <w:rsid w:val="5F9920D6"/>
    <w:rsid w:val="5F9A3EA5"/>
    <w:rsid w:val="5FB962D5"/>
    <w:rsid w:val="5FF4555F"/>
    <w:rsid w:val="60025ECE"/>
    <w:rsid w:val="600C0AFA"/>
    <w:rsid w:val="60114363"/>
    <w:rsid w:val="601B2AEB"/>
    <w:rsid w:val="602120CC"/>
    <w:rsid w:val="60367925"/>
    <w:rsid w:val="604C0EF7"/>
    <w:rsid w:val="606A75CF"/>
    <w:rsid w:val="607F642D"/>
    <w:rsid w:val="608C1C3B"/>
    <w:rsid w:val="60DF620F"/>
    <w:rsid w:val="60ED7350"/>
    <w:rsid w:val="610712C2"/>
    <w:rsid w:val="612B4B14"/>
    <w:rsid w:val="61371BA7"/>
    <w:rsid w:val="614B11AE"/>
    <w:rsid w:val="614B38A4"/>
    <w:rsid w:val="614E6EF1"/>
    <w:rsid w:val="61656B01"/>
    <w:rsid w:val="616B2973"/>
    <w:rsid w:val="618172C6"/>
    <w:rsid w:val="618943CD"/>
    <w:rsid w:val="61923281"/>
    <w:rsid w:val="619C7C5C"/>
    <w:rsid w:val="61A04593"/>
    <w:rsid w:val="61A21E16"/>
    <w:rsid w:val="61C92FCB"/>
    <w:rsid w:val="61CB0541"/>
    <w:rsid w:val="61D75138"/>
    <w:rsid w:val="62165C60"/>
    <w:rsid w:val="62233ED9"/>
    <w:rsid w:val="62764A6F"/>
    <w:rsid w:val="628801E0"/>
    <w:rsid w:val="629D3C8C"/>
    <w:rsid w:val="62A3501A"/>
    <w:rsid w:val="62BD432E"/>
    <w:rsid w:val="62E278F0"/>
    <w:rsid w:val="632C14B3"/>
    <w:rsid w:val="63312626"/>
    <w:rsid w:val="633A3BD0"/>
    <w:rsid w:val="636D5D54"/>
    <w:rsid w:val="63701BA4"/>
    <w:rsid w:val="63754B40"/>
    <w:rsid w:val="638766EA"/>
    <w:rsid w:val="63A4104A"/>
    <w:rsid w:val="63B82D47"/>
    <w:rsid w:val="63BA261B"/>
    <w:rsid w:val="63D47B81"/>
    <w:rsid w:val="63F43D7F"/>
    <w:rsid w:val="64281C7B"/>
    <w:rsid w:val="646E5E05"/>
    <w:rsid w:val="647B624F"/>
    <w:rsid w:val="64915A72"/>
    <w:rsid w:val="64994927"/>
    <w:rsid w:val="64B21544"/>
    <w:rsid w:val="64B96D77"/>
    <w:rsid w:val="64CB3FAC"/>
    <w:rsid w:val="64E831B8"/>
    <w:rsid w:val="64EA5182"/>
    <w:rsid w:val="64F5A826"/>
    <w:rsid w:val="64FF0C2E"/>
    <w:rsid w:val="65257F68"/>
    <w:rsid w:val="6531690D"/>
    <w:rsid w:val="65321D8D"/>
    <w:rsid w:val="65451723"/>
    <w:rsid w:val="654D3011"/>
    <w:rsid w:val="655F03DC"/>
    <w:rsid w:val="656960A7"/>
    <w:rsid w:val="65864EAB"/>
    <w:rsid w:val="65BA2DA7"/>
    <w:rsid w:val="65D025CA"/>
    <w:rsid w:val="65DD0843"/>
    <w:rsid w:val="65DF45BB"/>
    <w:rsid w:val="65E63B9C"/>
    <w:rsid w:val="65FA13F5"/>
    <w:rsid w:val="6609336E"/>
    <w:rsid w:val="66100C18"/>
    <w:rsid w:val="6615391A"/>
    <w:rsid w:val="661E50E3"/>
    <w:rsid w:val="663F32AC"/>
    <w:rsid w:val="6683763C"/>
    <w:rsid w:val="66990C0E"/>
    <w:rsid w:val="66AF0431"/>
    <w:rsid w:val="66BE68C6"/>
    <w:rsid w:val="66CD08B8"/>
    <w:rsid w:val="670267B3"/>
    <w:rsid w:val="670F6ACA"/>
    <w:rsid w:val="673D3C8F"/>
    <w:rsid w:val="675A65EF"/>
    <w:rsid w:val="67654F94"/>
    <w:rsid w:val="676F7BC1"/>
    <w:rsid w:val="677A27ED"/>
    <w:rsid w:val="678B49FB"/>
    <w:rsid w:val="67A07D7A"/>
    <w:rsid w:val="67C24194"/>
    <w:rsid w:val="67D31EFE"/>
    <w:rsid w:val="67D8655F"/>
    <w:rsid w:val="67FA1B80"/>
    <w:rsid w:val="680A6658"/>
    <w:rsid w:val="68120C78"/>
    <w:rsid w:val="68212C69"/>
    <w:rsid w:val="682409AB"/>
    <w:rsid w:val="682D5AB2"/>
    <w:rsid w:val="682E182A"/>
    <w:rsid w:val="682F0F8D"/>
    <w:rsid w:val="683F7593"/>
    <w:rsid w:val="684C5AC4"/>
    <w:rsid w:val="68580655"/>
    <w:rsid w:val="686F7E78"/>
    <w:rsid w:val="687E00BB"/>
    <w:rsid w:val="688558EE"/>
    <w:rsid w:val="68AA5354"/>
    <w:rsid w:val="68AB721C"/>
    <w:rsid w:val="68DD74D8"/>
    <w:rsid w:val="68E36170"/>
    <w:rsid w:val="68E63EB3"/>
    <w:rsid w:val="69270753"/>
    <w:rsid w:val="692769A5"/>
    <w:rsid w:val="693370F8"/>
    <w:rsid w:val="69390486"/>
    <w:rsid w:val="696848C8"/>
    <w:rsid w:val="69715E72"/>
    <w:rsid w:val="69927BAF"/>
    <w:rsid w:val="69967687"/>
    <w:rsid w:val="699F29DF"/>
    <w:rsid w:val="69A2427D"/>
    <w:rsid w:val="69A71894"/>
    <w:rsid w:val="69B875FD"/>
    <w:rsid w:val="69BA3375"/>
    <w:rsid w:val="69CC12FA"/>
    <w:rsid w:val="6A10568B"/>
    <w:rsid w:val="6A18009C"/>
    <w:rsid w:val="6A507835"/>
    <w:rsid w:val="6A6200E9"/>
    <w:rsid w:val="6A7C687C"/>
    <w:rsid w:val="6A876FCF"/>
    <w:rsid w:val="6A890F99"/>
    <w:rsid w:val="6A9A31A7"/>
    <w:rsid w:val="6AB96DFC"/>
    <w:rsid w:val="6ABA1153"/>
    <w:rsid w:val="6ABC311D"/>
    <w:rsid w:val="6AD246EE"/>
    <w:rsid w:val="6AD9782B"/>
    <w:rsid w:val="6ADE3093"/>
    <w:rsid w:val="6AF91C7B"/>
    <w:rsid w:val="6B014FD4"/>
    <w:rsid w:val="6B0D1BCA"/>
    <w:rsid w:val="6B161AF0"/>
    <w:rsid w:val="6B1B6095"/>
    <w:rsid w:val="6B454EC0"/>
    <w:rsid w:val="6B460C38"/>
    <w:rsid w:val="6B476E8A"/>
    <w:rsid w:val="6B4A0729"/>
    <w:rsid w:val="6B735ED1"/>
    <w:rsid w:val="6B923E7E"/>
    <w:rsid w:val="6B9E6EAC"/>
    <w:rsid w:val="6BA240C1"/>
    <w:rsid w:val="6BD07E5F"/>
    <w:rsid w:val="6BFA214F"/>
    <w:rsid w:val="6C156F89"/>
    <w:rsid w:val="6C1C0317"/>
    <w:rsid w:val="6C4B4758"/>
    <w:rsid w:val="6C5B35E4"/>
    <w:rsid w:val="6C845EBC"/>
    <w:rsid w:val="6C871509"/>
    <w:rsid w:val="6C9500C9"/>
    <w:rsid w:val="6CD26C28"/>
    <w:rsid w:val="6CEB7457"/>
    <w:rsid w:val="6D0D1A0E"/>
    <w:rsid w:val="6D296BD2"/>
    <w:rsid w:val="6D4A2C62"/>
    <w:rsid w:val="6D4C69DA"/>
    <w:rsid w:val="6D4D4500"/>
    <w:rsid w:val="6D6C2BD8"/>
    <w:rsid w:val="6D8819DC"/>
    <w:rsid w:val="6D8F4B19"/>
    <w:rsid w:val="6D934609"/>
    <w:rsid w:val="6D981C1F"/>
    <w:rsid w:val="6DAA3701"/>
    <w:rsid w:val="6DBD3434"/>
    <w:rsid w:val="6DCA5B51"/>
    <w:rsid w:val="6DCE5641"/>
    <w:rsid w:val="6DCF13B9"/>
    <w:rsid w:val="6E70494A"/>
    <w:rsid w:val="6E72625A"/>
    <w:rsid w:val="6EA168B2"/>
    <w:rsid w:val="6EA2087C"/>
    <w:rsid w:val="6EB04D47"/>
    <w:rsid w:val="6EBC193D"/>
    <w:rsid w:val="6ED0363B"/>
    <w:rsid w:val="6ED722D3"/>
    <w:rsid w:val="6EEE3AC1"/>
    <w:rsid w:val="6F062BB9"/>
    <w:rsid w:val="6F15104E"/>
    <w:rsid w:val="6F433E0D"/>
    <w:rsid w:val="6F5558EE"/>
    <w:rsid w:val="6F6B6EC0"/>
    <w:rsid w:val="6F6F69B0"/>
    <w:rsid w:val="6F72024E"/>
    <w:rsid w:val="6F7C731F"/>
    <w:rsid w:val="6F9B1553"/>
    <w:rsid w:val="6FAA5C3A"/>
    <w:rsid w:val="6FAB550E"/>
    <w:rsid w:val="6FAE148A"/>
    <w:rsid w:val="6FBE3493"/>
    <w:rsid w:val="6FD76303"/>
    <w:rsid w:val="6FD902CD"/>
    <w:rsid w:val="700C06A3"/>
    <w:rsid w:val="70182BA3"/>
    <w:rsid w:val="703D6AAE"/>
    <w:rsid w:val="70422316"/>
    <w:rsid w:val="70657DB3"/>
    <w:rsid w:val="706E4EB9"/>
    <w:rsid w:val="70730EA4"/>
    <w:rsid w:val="707D6EAA"/>
    <w:rsid w:val="70877D29"/>
    <w:rsid w:val="70983CE4"/>
    <w:rsid w:val="70BC55A2"/>
    <w:rsid w:val="70C76378"/>
    <w:rsid w:val="710475CC"/>
    <w:rsid w:val="71120060"/>
    <w:rsid w:val="71175551"/>
    <w:rsid w:val="711A294B"/>
    <w:rsid w:val="711D4AD7"/>
    <w:rsid w:val="7122049C"/>
    <w:rsid w:val="7128150C"/>
    <w:rsid w:val="71282B8A"/>
    <w:rsid w:val="71493231"/>
    <w:rsid w:val="715F1E91"/>
    <w:rsid w:val="719941B8"/>
    <w:rsid w:val="719E532A"/>
    <w:rsid w:val="71B92164"/>
    <w:rsid w:val="71C11019"/>
    <w:rsid w:val="71C56D5B"/>
    <w:rsid w:val="71CD461B"/>
    <w:rsid w:val="71D84CE0"/>
    <w:rsid w:val="72037883"/>
    <w:rsid w:val="72077373"/>
    <w:rsid w:val="72084E9A"/>
    <w:rsid w:val="72090A3F"/>
    <w:rsid w:val="72227D09"/>
    <w:rsid w:val="722C0B88"/>
    <w:rsid w:val="725F5851"/>
    <w:rsid w:val="72776B1C"/>
    <w:rsid w:val="727D5888"/>
    <w:rsid w:val="7285473C"/>
    <w:rsid w:val="72936E59"/>
    <w:rsid w:val="72AB51FE"/>
    <w:rsid w:val="72C25048"/>
    <w:rsid w:val="72C47013"/>
    <w:rsid w:val="72CE1C3F"/>
    <w:rsid w:val="731D16EF"/>
    <w:rsid w:val="73335F46"/>
    <w:rsid w:val="73440153"/>
    <w:rsid w:val="734F0FD2"/>
    <w:rsid w:val="73522870"/>
    <w:rsid w:val="735760D9"/>
    <w:rsid w:val="73634A7D"/>
    <w:rsid w:val="73927111"/>
    <w:rsid w:val="73B61051"/>
    <w:rsid w:val="73C0564D"/>
    <w:rsid w:val="73C179F6"/>
    <w:rsid w:val="73E274E9"/>
    <w:rsid w:val="73FC0A2E"/>
    <w:rsid w:val="740A6CA7"/>
    <w:rsid w:val="74123DAE"/>
    <w:rsid w:val="741A4194"/>
    <w:rsid w:val="742D4A93"/>
    <w:rsid w:val="745574FA"/>
    <w:rsid w:val="74640AAD"/>
    <w:rsid w:val="746960C4"/>
    <w:rsid w:val="74856C75"/>
    <w:rsid w:val="74962C31"/>
    <w:rsid w:val="749E3893"/>
    <w:rsid w:val="74B35591"/>
    <w:rsid w:val="74B82BA7"/>
    <w:rsid w:val="74C01A29"/>
    <w:rsid w:val="74C90910"/>
    <w:rsid w:val="74D84FF7"/>
    <w:rsid w:val="75263FB5"/>
    <w:rsid w:val="7533222E"/>
    <w:rsid w:val="7551258E"/>
    <w:rsid w:val="7555340F"/>
    <w:rsid w:val="756B5E6B"/>
    <w:rsid w:val="757E39A4"/>
    <w:rsid w:val="75AB44BA"/>
    <w:rsid w:val="75DB4D9F"/>
    <w:rsid w:val="75E33C54"/>
    <w:rsid w:val="75EB2B08"/>
    <w:rsid w:val="76045978"/>
    <w:rsid w:val="760D6F22"/>
    <w:rsid w:val="760F67F7"/>
    <w:rsid w:val="7610256F"/>
    <w:rsid w:val="76143E0D"/>
    <w:rsid w:val="764A58DF"/>
    <w:rsid w:val="76674885"/>
    <w:rsid w:val="76724FD8"/>
    <w:rsid w:val="76765CF4"/>
    <w:rsid w:val="7682521B"/>
    <w:rsid w:val="76830F93"/>
    <w:rsid w:val="76870A83"/>
    <w:rsid w:val="76962A74"/>
    <w:rsid w:val="76AB6DEC"/>
    <w:rsid w:val="76AE4262"/>
    <w:rsid w:val="76C3652E"/>
    <w:rsid w:val="76CC0B8C"/>
    <w:rsid w:val="76D161A2"/>
    <w:rsid w:val="76EF6C8C"/>
    <w:rsid w:val="770E2F52"/>
    <w:rsid w:val="77204A34"/>
    <w:rsid w:val="7722255A"/>
    <w:rsid w:val="773D55E5"/>
    <w:rsid w:val="775D7A36"/>
    <w:rsid w:val="7769462C"/>
    <w:rsid w:val="77707769"/>
    <w:rsid w:val="777A4144"/>
    <w:rsid w:val="77815D46"/>
    <w:rsid w:val="7791148D"/>
    <w:rsid w:val="77C96E79"/>
    <w:rsid w:val="77EB3293"/>
    <w:rsid w:val="77F77A99"/>
    <w:rsid w:val="78085BF3"/>
    <w:rsid w:val="78267E28"/>
    <w:rsid w:val="78362761"/>
    <w:rsid w:val="78482494"/>
    <w:rsid w:val="784D1858"/>
    <w:rsid w:val="78745037"/>
    <w:rsid w:val="78CA0822"/>
    <w:rsid w:val="78CD1A77"/>
    <w:rsid w:val="78CF04BF"/>
    <w:rsid w:val="790740FD"/>
    <w:rsid w:val="791A5BDE"/>
    <w:rsid w:val="796E5F2A"/>
    <w:rsid w:val="79711576"/>
    <w:rsid w:val="797C23F5"/>
    <w:rsid w:val="79AE6327"/>
    <w:rsid w:val="79B53B59"/>
    <w:rsid w:val="79C618C2"/>
    <w:rsid w:val="79ED32F3"/>
    <w:rsid w:val="7A0B5527"/>
    <w:rsid w:val="7A2A00A3"/>
    <w:rsid w:val="7A2B5BC9"/>
    <w:rsid w:val="7A301431"/>
    <w:rsid w:val="7A462591"/>
    <w:rsid w:val="7A5C5D83"/>
    <w:rsid w:val="7A61783D"/>
    <w:rsid w:val="7A7B26AD"/>
    <w:rsid w:val="7A9B793E"/>
    <w:rsid w:val="7AA716F4"/>
    <w:rsid w:val="7AAF05A8"/>
    <w:rsid w:val="7AC878BC"/>
    <w:rsid w:val="7ACA7190"/>
    <w:rsid w:val="7AD27FCA"/>
    <w:rsid w:val="7AD63D87"/>
    <w:rsid w:val="7AE446F6"/>
    <w:rsid w:val="7AE82B7A"/>
    <w:rsid w:val="7AFE5EB8"/>
    <w:rsid w:val="7B130B37"/>
    <w:rsid w:val="7B1E74DC"/>
    <w:rsid w:val="7B2A236A"/>
    <w:rsid w:val="7B3A2568"/>
    <w:rsid w:val="7B430CF1"/>
    <w:rsid w:val="7B452CBB"/>
    <w:rsid w:val="7B5154AE"/>
    <w:rsid w:val="7B65510B"/>
    <w:rsid w:val="7B6C0247"/>
    <w:rsid w:val="7B6E0463"/>
    <w:rsid w:val="7B7A6E08"/>
    <w:rsid w:val="7B840A4C"/>
    <w:rsid w:val="7B841A35"/>
    <w:rsid w:val="7B95779E"/>
    <w:rsid w:val="7BC36A67"/>
    <w:rsid w:val="7BC71922"/>
    <w:rsid w:val="7BE20509"/>
    <w:rsid w:val="7BE75B20"/>
    <w:rsid w:val="7BF75B65"/>
    <w:rsid w:val="7C1C7EBF"/>
    <w:rsid w:val="7C324FED"/>
    <w:rsid w:val="7C6A0C2B"/>
    <w:rsid w:val="7C874F10"/>
    <w:rsid w:val="7C9537CE"/>
    <w:rsid w:val="7CB00608"/>
    <w:rsid w:val="7CBE2D25"/>
    <w:rsid w:val="7CC61BD9"/>
    <w:rsid w:val="7CD24A22"/>
    <w:rsid w:val="7CD267D0"/>
    <w:rsid w:val="7CDE70DF"/>
    <w:rsid w:val="7CE34539"/>
    <w:rsid w:val="7CE64029"/>
    <w:rsid w:val="7CF84488"/>
    <w:rsid w:val="7D0270B5"/>
    <w:rsid w:val="7D126BCC"/>
    <w:rsid w:val="7D1312C2"/>
    <w:rsid w:val="7D2F3C22"/>
    <w:rsid w:val="7D382AD7"/>
    <w:rsid w:val="7D6A6A08"/>
    <w:rsid w:val="7D761851"/>
    <w:rsid w:val="7DB12889"/>
    <w:rsid w:val="7DBC3708"/>
    <w:rsid w:val="7DD32800"/>
    <w:rsid w:val="7DE33021"/>
    <w:rsid w:val="7E0B3D48"/>
    <w:rsid w:val="7E0D5D12"/>
    <w:rsid w:val="7E105802"/>
    <w:rsid w:val="7E3E236F"/>
    <w:rsid w:val="7E3F7E95"/>
    <w:rsid w:val="7E544DD8"/>
    <w:rsid w:val="7E6873EC"/>
    <w:rsid w:val="7E722019"/>
    <w:rsid w:val="7E7E09BD"/>
    <w:rsid w:val="7E88183C"/>
    <w:rsid w:val="7E9957F7"/>
    <w:rsid w:val="7EB554BC"/>
    <w:rsid w:val="7EEE7A0A"/>
    <w:rsid w:val="7EF44B03"/>
    <w:rsid w:val="7F221CF3"/>
    <w:rsid w:val="7F547970"/>
    <w:rsid w:val="7F601E71"/>
    <w:rsid w:val="7F606315"/>
    <w:rsid w:val="7F641075"/>
    <w:rsid w:val="7F934D2E"/>
    <w:rsid w:val="7F9F3B25"/>
    <w:rsid w:val="7FD85EAB"/>
    <w:rsid w:val="7FE900B8"/>
    <w:rsid w:val="7FF54CAF"/>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47"/>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99"/>
    <w:pPr>
      <w:keepNext/>
      <w:keepLines/>
      <w:spacing w:before="260" w:after="260" w:line="413" w:lineRule="auto"/>
      <w:outlineLvl w:val="1"/>
    </w:pPr>
    <w:rPr>
      <w:rFonts w:eastAsia="黑体"/>
      <w:b/>
      <w:bCs/>
      <w:sz w:val="32"/>
      <w:szCs w:val="32"/>
    </w:rPr>
  </w:style>
  <w:style w:type="paragraph" w:styleId="4">
    <w:name w:val="heading 3"/>
    <w:basedOn w:val="1"/>
    <w:next w:val="5"/>
    <w:qFormat/>
    <w:uiPriority w:val="99"/>
    <w:pPr>
      <w:keepNext/>
      <w:keepLines/>
      <w:spacing w:before="260" w:after="260" w:line="413" w:lineRule="auto"/>
      <w:outlineLvl w:val="2"/>
    </w:pPr>
    <w:rPr>
      <w:b/>
      <w:bCs/>
      <w:sz w:val="32"/>
      <w:szCs w:val="32"/>
    </w:rPr>
  </w:style>
  <w:style w:type="paragraph" w:styleId="6">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0"/>
    <w:pPr>
      <w:ind w:firstLine="420"/>
    </w:pPr>
    <w:rPr>
      <w:sz w:val="20"/>
    </w:rPr>
  </w:style>
  <w:style w:type="paragraph" w:styleId="7">
    <w:name w:val="List Number 2"/>
    <w:basedOn w:val="1"/>
    <w:qFormat/>
    <w:uiPriority w:val="0"/>
    <w:pPr>
      <w:numPr>
        <w:ilvl w:val="0"/>
        <w:numId w:val="1"/>
      </w:numPr>
    </w:pPr>
  </w:style>
  <w:style w:type="paragraph" w:styleId="8">
    <w:name w:val="annotation text"/>
    <w:basedOn w:val="1"/>
    <w:link w:val="48"/>
    <w:qFormat/>
    <w:uiPriority w:val="0"/>
    <w:pPr>
      <w:widowControl w:val="0"/>
    </w:pPr>
    <w:rPr>
      <w:rFonts w:ascii="Times New Roman" w:hAnsi="Times New Roman" w:eastAsia="宋体" w:cs="Times New Roman"/>
      <w:kern w:val="2"/>
      <w:szCs w:val="24"/>
    </w:rPr>
  </w:style>
  <w:style w:type="paragraph" w:styleId="9">
    <w:name w:val="Body Text"/>
    <w:basedOn w:val="1"/>
    <w:next w:val="10"/>
    <w:qFormat/>
    <w:uiPriority w:val="0"/>
    <w:pPr>
      <w:spacing w:after="120"/>
    </w:pPr>
    <w:rPr>
      <w:sz w:val="20"/>
    </w:rPr>
  </w:style>
  <w:style w:type="paragraph" w:styleId="10">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1">
    <w:name w:val="Body Text Indent"/>
    <w:basedOn w:val="1"/>
    <w:next w:val="12"/>
    <w:qFormat/>
    <w:uiPriority w:val="0"/>
    <w:pPr>
      <w:spacing w:line="500" w:lineRule="atLeast"/>
      <w:ind w:firstLine="510"/>
    </w:pPr>
    <w:rPr>
      <w:rFonts w:ascii="仿宋_GB2312" w:eastAsia="仿宋_GB2312"/>
      <w:sz w:val="24"/>
      <w:szCs w:val="20"/>
    </w:rPr>
  </w:style>
  <w:style w:type="paragraph" w:styleId="12">
    <w:name w:val="Body Text First Indent 2"/>
    <w:basedOn w:val="11"/>
    <w:unhideWhenUsed/>
    <w:qFormat/>
    <w:uiPriority w:val="99"/>
    <w:pPr>
      <w:spacing w:line="200" w:lineRule="atLeast"/>
      <w:ind w:firstLine="420"/>
    </w:pPr>
    <w:rPr>
      <w:rFonts w:ascii="宋体" w:hAnsi="Courier New"/>
      <w:spacing w:val="-4"/>
      <w:sz w:val="18"/>
    </w:rPr>
  </w:style>
  <w:style w:type="paragraph" w:styleId="13">
    <w:name w:val="List 2"/>
    <w:basedOn w:val="1"/>
    <w:qFormat/>
    <w:uiPriority w:val="0"/>
    <w:pPr>
      <w:ind w:left="100" w:leftChars="200" w:hanging="200" w:hangingChars="200"/>
    </w:pPr>
  </w:style>
  <w:style w:type="paragraph" w:styleId="14">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5">
    <w:name w:val="Plain Text"/>
    <w:basedOn w:val="1"/>
    <w:unhideWhenUsed/>
    <w:qFormat/>
    <w:uiPriority w:val="99"/>
    <w:pPr>
      <w:autoSpaceDN/>
      <w:adjustRightInd/>
      <w:jc w:val="both"/>
    </w:pPr>
    <w:rPr>
      <w:rFonts w:ascii="宋体" w:hAnsi="Courier New"/>
      <w:sz w:val="20"/>
      <w:szCs w:val="20"/>
    </w:rPr>
  </w:style>
  <w:style w:type="paragraph" w:styleId="16">
    <w:name w:val="Date"/>
    <w:basedOn w:val="1"/>
    <w:next w:val="1"/>
    <w:qFormat/>
    <w:uiPriority w:val="0"/>
    <w:rPr>
      <w:rFonts w:ascii="宋体"/>
      <w:szCs w:val="20"/>
    </w:rPr>
  </w:style>
  <w:style w:type="paragraph" w:styleId="17">
    <w:name w:val="Balloon Text"/>
    <w:basedOn w:val="1"/>
    <w:link w:val="49"/>
    <w:qFormat/>
    <w:uiPriority w:val="0"/>
    <w:rPr>
      <w:sz w:val="18"/>
      <w:szCs w:val="18"/>
    </w:rPr>
  </w:style>
  <w:style w:type="paragraph" w:styleId="18">
    <w:name w:val="footer"/>
    <w:basedOn w:val="1"/>
    <w:link w:val="50"/>
    <w:qFormat/>
    <w:uiPriority w:val="0"/>
    <w:pPr>
      <w:tabs>
        <w:tab w:val="center" w:pos="4153"/>
        <w:tab w:val="right" w:pos="8306"/>
      </w:tabs>
    </w:pPr>
    <w:rPr>
      <w:sz w:val="18"/>
      <w:szCs w:val="18"/>
    </w:rPr>
  </w:style>
  <w:style w:type="paragraph" w:styleId="19">
    <w:name w:val="header"/>
    <w:basedOn w:val="1"/>
    <w:link w:val="51"/>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Body Text Indent 3"/>
    <w:basedOn w:val="1"/>
    <w:qFormat/>
    <w:uiPriority w:val="99"/>
    <w:pPr>
      <w:spacing w:after="120"/>
      <w:ind w:left="420" w:leftChars="200"/>
    </w:pPr>
    <w:rPr>
      <w:sz w:val="16"/>
      <w:szCs w:val="16"/>
    </w:rPr>
  </w:style>
  <w:style w:type="paragraph" w:styleId="23">
    <w:name w:val="Body Text 2"/>
    <w:basedOn w:val="1"/>
    <w:next w:val="9"/>
    <w:qFormat/>
    <w:uiPriority w:val="0"/>
    <w:pPr>
      <w:spacing w:line="480" w:lineRule="auto"/>
    </w:pPr>
  </w:style>
  <w:style w:type="paragraph" w:styleId="2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qFormat/>
    <w:uiPriority w:val="0"/>
    <w:pPr>
      <w:spacing w:before="100" w:beforeAutospacing="1" w:after="100" w:afterAutospacing="1"/>
    </w:pPr>
    <w:rPr>
      <w:sz w:val="24"/>
    </w:rPr>
  </w:style>
  <w:style w:type="paragraph" w:styleId="26">
    <w:name w:val="index 1"/>
    <w:basedOn w:val="1"/>
    <w:next w:val="1"/>
    <w:qFormat/>
    <w:uiPriority w:val="99"/>
    <w:pPr>
      <w:spacing w:line="220" w:lineRule="exact"/>
      <w:jc w:val="center"/>
    </w:pPr>
    <w:rPr>
      <w:rFonts w:ascii="仿宋_GB2312" w:eastAsia="仿宋_GB2312"/>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8"/>
    <w:next w:val="8"/>
    <w:link w:val="52"/>
    <w:qFormat/>
    <w:uiPriority w:val="0"/>
    <w:rPr>
      <w:b/>
      <w:bCs/>
    </w:rPr>
  </w:style>
  <w:style w:type="paragraph" w:styleId="29">
    <w:name w:val="Body Text First Indent"/>
    <w:basedOn w:val="9"/>
    <w:next w:val="1"/>
    <w:unhideWhenUsed/>
    <w:qFormat/>
    <w:uiPriority w:val="99"/>
    <w:pPr>
      <w:ind w:firstLine="420" w:firstLineChars="10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qFormat/>
    <w:uiPriority w:val="0"/>
  </w:style>
  <w:style w:type="character" w:styleId="35">
    <w:name w:val="FollowedHyperlink"/>
    <w:basedOn w:val="32"/>
    <w:qFormat/>
    <w:uiPriority w:val="0"/>
    <w:rPr>
      <w:color w:val="800080"/>
      <w:u w:val="none"/>
    </w:rPr>
  </w:style>
  <w:style w:type="character" w:styleId="36">
    <w:name w:val="Emphasis"/>
    <w:basedOn w:val="32"/>
    <w:qFormat/>
    <w:uiPriority w:val="0"/>
    <w:rPr>
      <w:rFonts w:ascii="微软雅黑" w:hAnsi="微软雅黑" w:eastAsia="微软雅黑" w:cs="微软雅黑"/>
      <w:b/>
      <w:bCs/>
      <w:color w:val="3D4B64"/>
      <w:sz w:val="24"/>
      <w:szCs w:val="24"/>
    </w:rPr>
  </w:style>
  <w:style w:type="character" w:styleId="37">
    <w:name w:val="HTML Definition"/>
    <w:basedOn w:val="32"/>
    <w:qFormat/>
    <w:uiPriority w:val="0"/>
  </w:style>
  <w:style w:type="character" w:styleId="38">
    <w:name w:val="HTML Typewriter"/>
    <w:basedOn w:val="32"/>
    <w:qFormat/>
    <w:uiPriority w:val="0"/>
    <w:rPr>
      <w:rFonts w:ascii="monospace" w:hAnsi="monospace" w:eastAsia="monospace" w:cs="monospace"/>
      <w:color w:val="3D4B62"/>
      <w:sz w:val="24"/>
      <w:szCs w:val="24"/>
    </w:rPr>
  </w:style>
  <w:style w:type="character" w:styleId="39">
    <w:name w:val="HTML Acronym"/>
    <w:basedOn w:val="32"/>
    <w:qFormat/>
    <w:uiPriority w:val="0"/>
    <w:rPr>
      <w:rFonts w:ascii="微软雅黑" w:hAnsi="微软雅黑" w:eastAsia="微软雅黑" w:cs="微软雅黑"/>
      <w:vanish/>
      <w:sz w:val="24"/>
      <w:szCs w:val="24"/>
      <w:shd w:val="clear" w:fill="00B0FA"/>
    </w:rPr>
  </w:style>
  <w:style w:type="character" w:styleId="40">
    <w:name w:val="HTML Variable"/>
    <w:basedOn w:val="32"/>
    <w:qFormat/>
    <w:uiPriority w:val="0"/>
  </w:style>
  <w:style w:type="character" w:styleId="41">
    <w:name w:val="Hyperlink"/>
    <w:basedOn w:val="32"/>
    <w:qFormat/>
    <w:uiPriority w:val="0"/>
    <w:rPr>
      <w:color w:val="0000FF"/>
      <w:u w:val="single"/>
    </w:rPr>
  </w:style>
  <w:style w:type="character" w:styleId="42">
    <w:name w:val="HTML Code"/>
    <w:basedOn w:val="32"/>
    <w:qFormat/>
    <w:uiPriority w:val="0"/>
    <w:rPr>
      <w:rFonts w:hint="default" w:ascii="monospace" w:hAnsi="monospace" w:eastAsia="monospace" w:cs="monospace"/>
      <w:sz w:val="20"/>
    </w:rPr>
  </w:style>
  <w:style w:type="character" w:styleId="43">
    <w:name w:val="annotation reference"/>
    <w:basedOn w:val="32"/>
    <w:qFormat/>
    <w:uiPriority w:val="0"/>
    <w:rPr>
      <w:sz w:val="21"/>
      <w:szCs w:val="21"/>
    </w:rPr>
  </w:style>
  <w:style w:type="character" w:styleId="44">
    <w:name w:val="HTML Cite"/>
    <w:basedOn w:val="32"/>
    <w:qFormat/>
    <w:uiPriority w:val="0"/>
  </w:style>
  <w:style w:type="character" w:styleId="45">
    <w:name w:val="HTML Keyboard"/>
    <w:basedOn w:val="32"/>
    <w:uiPriority w:val="0"/>
    <w:rPr>
      <w:rFonts w:hint="default" w:ascii="monospace" w:hAnsi="monospace" w:eastAsia="monospace" w:cs="monospace"/>
      <w:sz w:val="20"/>
    </w:rPr>
  </w:style>
  <w:style w:type="character" w:styleId="46">
    <w:name w:val="HTML Sample"/>
    <w:basedOn w:val="32"/>
    <w:qFormat/>
    <w:uiPriority w:val="0"/>
    <w:rPr>
      <w:rFonts w:hint="default" w:ascii="monospace" w:hAnsi="monospace" w:eastAsia="monospace" w:cs="monospace"/>
    </w:rPr>
  </w:style>
  <w:style w:type="character" w:customStyle="1" w:styleId="47">
    <w:name w:val="标题 1 Char"/>
    <w:basedOn w:val="32"/>
    <w:link w:val="2"/>
    <w:qFormat/>
    <w:uiPriority w:val="0"/>
    <w:rPr>
      <w:rFonts w:ascii="Arial" w:hAnsi="Arial" w:eastAsia="Arial" w:cs="Arial"/>
      <w:b/>
      <w:bCs/>
      <w:snapToGrid w:val="0"/>
      <w:color w:val="000000"/>
      <w:kern w:val="44"/>
      <w:sz w:val="44"/>
      <w:szCs w:val="44"/>
    </w:rPr>
  </w:style>
  <w:style w:type="character" w:customStyle="1" w:styleId="48">
    <w:name w:val="批注文字 Char1"/>
    <w:basedOn w:val="32"/>
    <w:link w:val="8"/>
    <w:qFormat/>
    <w:uiPriority w:val="0"/>
    <w:rPr>
      <w:kern w:val="2"/>
      <w:sz w:val="21"/>
      <w:szCs w:val="24"/>
    </w:rPr>
  </w:style>
  <w:style w:type="character" w:customStyle="1" w:styleId="49">
    <w:name w:val="批注框文本 Char"/>
    <w:basedOn w:val="32"/>
    <w:link w:val="17"/>
    <w:qFormat/>
    <w:uiPriority w:val="0"/>
    <w:rPr>
      <w:rFonts w:ascii="Arial" w:hAnsi="Arial" w:eastAsia="Arial" w:cs="Arial"/>
      <w:snapToGrid w:val="0"/>
      <w:color w:val="000000"/>
      <w:sz w:val="18"/>
      <w:szCs w:val="18"/>
    </w:rPr>
  </w:style>
  <w:style w:type="character" w:customStyle="1" w:styleId="50">
    <w:name w:val="页脚 Char"/>
    <w:basedOn w:val="32"/>
    <w:link w:val="18"/>
    <w:qFormat/>
    <w:uiPriority w:val="0"/>
    <w:rPr>
      <w:rFonts w:ascii="Arial" w:hAnsi="Arial" w:eastAsia="Arial" w:cs="Arial"/>
      <w:snapToGrid w:val="0"/>
      <w:color w:val="000000"/>
      <w:sz w:val="18"/>
      <w:szCs w:val="18"/>
    </w:rPr>
  </w:style>
  <w:style w:type="character" w:customStyle="1" w:styleId="51">
    <w:name w:val="页眉 Char"/>
    <w:basedOn w:val="32"/>
    <w:link w:val="19"/>
    <w:qFormat/>
    <w:uiPriority w:val="0"/>
    <w:rPr>
      <w:rFonts w:ascii="Arial" w:hAnsi="Arial" w:eastAsia="Arial" w:cs="Arial"/>
      <w:snapToGrid w:val="0"/>
      <w:color w:val="000000"/>
      <w:sz w:val="18"/>
      <w:szCs w:val="18"/>
    </w:rPr>
  </w:style>
  <w:style w:type="character" w:customStyle="1" w:styleId="52">
    <w:name w:val="批注主题 Char"/>
    <w:basedOn w:val="53"/>
    <w:link w:val="28"/>
    <w:qFormat/>
    <w:uiPriority w:val="0"/>
    <w:rPr>
      <w:rFonts w:ascii="Arial" w:hAnsi="Arial" w:eastAsia="Arial" w:cs="Arial"/>
      <w:b/>
      <w:bCs/>
      <w:snapToGrid w:val="0"/>
      <w:color w:val="000000"/>
      <w:sz w:val="21"/>
      <w:szCs w:val="21"/>
    </w:rPr>
  </w:style>
  <w:style w:type="character" w:customStyle="1" w:styleId="53">
    <w:name w:val="批注文字 Char"/>
    <w:basedOn w:val="32"/>
    <w:qFormat/>
    <w:uiPriority w:val="0"/>
    <w:rPr>
      <w:rFonts w:ascii="Arial" w:hAnsi="Arial" w:eastAsia="Arial" w:cs="Arial"/>
      <w:snapToGrid w:val="0"/>
      <w:color w:val="000000"/>
      <w:sz w:val="21"/>
      <w:szCs w:val="21"/>
    </w:rPr>
  </w:style>
  <w:style w:type="paragraph" w:customStyle="1" w:styleId="54">
    <w:name w:val="Heading1"/>
    <w:basedOn w:val="1"/>
    <w:next w:val="1"/>
    <w:qFormat/>
    <w:uiPriority w:val="0"/>
    <w:pPr>
      <w:keepNext/>
      <w:keepLines/>
      <w:spacing w:before="340" w:after="330" w:line="576" w:lineRule="auto"/>
    </w:pPr>
    <w:rPr>
      <w:b/>
      <w:bCs/>
      <w:kern w:val="44"/>
      <w:sz w:val="44"/>
      <w:szCs w:val="44"/>
    </w:rPr>
  </w:style>
  <w:style w:type="table" w:customStyle="1" w:styleId="55">
    <w:name w:val="Table Normal"/>
    <w:unhideWhenUsed/>
    <w:qFormat/>
    <w:uiPriority w:val="0"/>
    <w:tblPr>
      <w:tblCellMar>
        <w:top w:w="0" w:type="dxa"/>
        <w:left w:w="0" w:type="dxa"/>
        <w:bottom w:w="0" w:type="dxa"/>
        <w:right w:w="0" w:type="dxa"/>
      </w:tblCellMar>
    </w:tblPr>
  </w:style>
  <w:style w:type="paragraph" w:customStyle="1" w:styleId="56">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7">
    <w:name w:val="正文，首行缩进:"/>
    <w:basedOn w:val="1"/>
    <w:qFormat/>
    <w:uiPriority w:val="0"/>
    <w:pPr>
      <w:spacing w:line="460" w:lineRule="exact"/>
      <w:ind w:firstLine="480" w:firstLineChars="200"/>
    </w:pPr>
    <w:rPr>
      <w:rFonts w:ascii="宋体" w:hAnsi="宋体" w:cs="宋体"/>
    </w:rPr>
  </w:style>
  <w:style w:type="paragraph" w:customStyle="1" w:styleId="58">
    <w:name w:val="Table Paragraph"/>
    <w:basedOn w:val="1"/>
    <w:qFormat/>
    <w:uiPriority w:val="1"/>
    <w:pPr>
      <w:ind w:firstLine="126" w:firstLineChars="60"/>
    </w:pPr>
  </w:style>
  <w:style w:type="paragraph" w:styleId="59">
    <w:name w:val="List Paragraph"/>
    <w:basedOn w:val="1"/>
    <w:qFormat/>
    <w:uiPriority w:val="0"/>
    <w:pPr>
      <w:spacing w:line="440" w:lineRule="exact"/>
      <w:ind w:firstLine="420" w:firstLineChars="200"/>
    </w:pPr>
    <w:rPr>
      <w:szCs w:val="20"/>
    </w:rPr>
  </w:style>
  <w:style w:type="paragraph" w:customStyle="1" w:styleId="60">
    <w:name w:val="正文1"/>
    <w:qFormat/>
    <w:uiPriority w:val="0"/>
    <w:pPr>
      <w:jc w:val="both"/>
    </w:pPr>
    <w:rPr>
      <w:rFonts w:ascii="Calibri" w:hAnsi="Calibri" w:eastAsia="宋体" w:cs="Calibri"/>
      <w:kern w:val="2"/>
      <w:sz w:val="21"/>
      <w:szCs w:val="21"/>
      <w:lang w:val="en-US" w:eastAsia="zh-CN" w:bidi="ar-SA"/>
    </w:rPr>
  </w:style>
  <w:style w:type="paragraph" w:customStyle="1" w:styleId="61">
    <w:name w:val="修订1"/>
    <w:unhideWhenUsed/>
    <w:qFormat/>
    <w:uiPriority w:val="99"/>
    <w:rPr>
      <w:rFonts w:ascii="Arial" w:hAnsi="Arial" w:eastAsia="Arial" w:cs="Arial"/>
      <w:snapToGrid w:val="0"/>
      <w:color w:val="000000"/>
      <w:sz w:val="21"/>
      <w:szCs w:val="21"/>
      <w:lang w:val="en-US" w:eastAsia="zh-CN" w:bidi="ar-SA"/>
    </w:rPr>
  </w:style>
  <w:style w:type="character" w:customStyle="1" w:styleId="62">
    <w:name w:val="19"/>
    <w:qFormat/>
    <w:uiPriority w:val="0"/>
    <w:rPr>
      <w:rFonts w:hint="default" w:ascii="Times New Roman" w:hAnsi="Times New Roman" w:cs="Times New Roman"/>
      <w:sz w:val="21"/>
      <w:szCs w:val="21"/>
    </w:rPr>
  </w:style>
  <w:style w:type="paragraph" w:customStyle="1" w:styleId="6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paragraph" w:customStyle="1" w:styleId="64">
    <w:name w:val="A 专用1"/>
    <w:basedOn w:val="4"/>
    <w:qFormat/>
    <w:locked/>
    <w:uiPriority w:val="0"/>
    <w:pPr>
      <w:spacing w:before="60" w:after="60" w:line="360" w:lineRule="auto"/>
    </w:pPr>
    <w:rPr>
      <w:sz w:val="28"/>
    </w:rPr>
  </w:style>
  <w:style w:type="paragraph" w:customStyle="1" w:styleId="65">
    <w:name w:val="表正文"/>
    <w:basedOn w:val="1"/>
    <w:next w:val="15"/>
    <w:qFormat/>
    <w:uiPriority w:val="0"/>
    <w:rPr>
      <w:rFonts w:ascii="宋体" w:hAnsi="Courier New"/>
      <w:szCs w:val="20"/>
    </w:rPr>
  </w:style>
  <w:style w:type="paragraph" w:customStyle="1" w:styleId="66">
    <w:name w:val="正文段"/>
    <w:basedOn w:val="1"/>
    <w:qFormat/>
    <w:uiPriority w:val="0"/>
    <w:pPr>
      <w:spacing w:afterLines="50"/>
      <w:ind w:firstLine="200" w:firstLineChars="200"/>
    </w:pPr>
    <w:rPr>
      <w:sz w:val="24"/>
      <w:szCs w:val="20"/>
    </w:rPr>
  </w:style>
  <w:style w:type="character" w:customStyle="1" w:styleId="67">
    <w:name w:val="font41"/>
    <w:basedOn w:val="32"/>
    <w:qFormat/>
    <w:uiPriority w:val="0"/>
    <w:rPr>
      <w:rFonts w:hint="eastAsia" w:ascii="宋体" w:hAnsi="宋体" w:eastAsia="宋体" w:cs="宋体"/>
      <w:color w:val="000000"/>
      <w:sz w:val="22"/>
      <w:szCs w:val="22"/>
      <w:u w:val="none"/>
    </w:rPr>
  </w:style>
  <w:style w:type="character" w:customStyle="1" w:styleId="68">
    <w:name w:val="font61"/>
    <w:basedOn w:val="3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header" Target="header2.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header" Target="header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13652</Words>
  <Characters>14829</Characters>
  <Lines>349</Lines>
  <Paragraphs>98</Paragraphs>
  <TotalTime>18</TotalTime>
  <ScaleCrop>false</ScaleCrop>
  <LinksUpToDate>false</LinksUpToDate>
  <CharactersWithSpaces>15382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韩钦</cp:lastModifiedBy>
  <cp:lastPrinted>2023-11-27T06:41:00Z</cp:lastPrinted>
  <dcterms:modified xsi:type="dcterms:W3CDTF">2025-12-09T07:15:10Z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2052-12.1.0.24034</vt:lpwstr>
  </property>
  <property fmtid="{D5CDD505-2E9C-101B-9397-08002B2CF9AE}" pid="5" name="ICV">
    <vt:lpwstr>6DC1EFA7C45743E38D62E1CE78027F77_13</vt:lpwstr>
  </property>
  <property fmtid="{D5CDD505-2E9C-101B-9397-08002B2CF9AE}" pid="6" name="KSOTemplateDocerSaveRecord">
    <vt:lpwstr>eyJoZGlkIjoiZjBkYzUzODhmMWNkYWU0OWRiNWRmMWMxMGZhYThlN2EiLCJ1c2VySWQiOiI1ODQyMDk0OTAifQ==</vt:lpwstr>
  </property>
</Properties>
</file>