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A600A">
      <w:pPr>
        <w:spacing w:before="64" w:line="227" w:lineRule="auto"/>
        <w:jc w:val="left"/>
        <w:rPr>
          <w:rFonts w:hint="eastAsia" w:ascii="宋体" w:hAnsi="宋体" w:eastAsia="宋体" w:cs="宋体"/>
          <w:color w:val="auto"/>
          <w:sz w:val="35"/>
          <w:szCs w:val="35"/>
          <w:highlight w:val="none"/>
          <w:u w:val="single"/>
          <w:lang w:eastAsia="zh-CN"/>
        </w:rPr>
      </w:pPr>
      <w:r>
        <w:rPr>
          <w:rFonts w:hint="eastAsia" w:ascii="宋体" w:hAnsi="宋体" w:eastAsia="宋体" w:cs="宋体"/>
          <w:color w:val="auto"/>
          <w:sz w:val="35"/>
          <w:szCs w:val="35"/>
          <w:highlight w:val="none"/>
          <w:u w:val="single"/>
          <w:lang w:eastAsia="zh-CN"/>
        </w:rPr>
        <w:drawing>
          <wp:inline distT="0" distB="0" distL="114300" distR="114300">
            <wp:extent cx="5631815" cy="7482205"/>
            <wp:effectExtent l="0" t="0" r="6985" b="4445"/>
            <wp:docPr id="3" name="图片 3" descr="6c62e68e-cbe3-4ade-b948-658e4ee1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6c62e68e-cbe3-4ade-b948-658e4ee14607"/>
                    <pic:cNvPicPr>
                      <a:picLocks noChangeAspect="1"/>
                    </pic:cNvPicPr>
                  </pic:nvPicPr>
                  <pic:blipFill>
                    <a:blip r:embed="rId24"/>
                    <a:stretch>
                      <a:fillRect/>
                    </a:stretch>
                  </pic:blipFill>
                  <pic:spPr>
                    <a:xfrm>
                      <a:off x="0" y="0"/>
                      <a:ext cx="5631815" cy="7482205"/>
                    </a:xfrm>
                    <a:prstGeom prst="rect">
                      <a:avLst/>
                    </a:prstGeom>
                  </pic:spPr>
                </pic:pic>
              </a:graphicData>
            </a:graphic>
          </wp:inline>
        </w:drawing>
      </w:r>
    </w:p>
    <w:p w14:paraId="3CB8361B">
      <w:pPr>
        <w:spacing w:before="64" w:line="227"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5"/>
          <w:szCs w:val="35"/>
          <w:highlight w:val="none"/>
          <w:u w:val="single"/>
          <w:lang w:eastAsia="zh-CN"/>
        </w:rPr>
        <w:br w:type="column"/>
      </w:r>
      <w:r>
        <w:rPr>
          <w:rFonts w:hint="eastAsia" w:ascii="宋体" w:hAnsi="宋体" w:eastAsia="宋体" w:cs="宋体"/>
          <w:color w:val="auto"/>
          <w:sz w:val="36"/>
          <w:szCs w:val="36"/>
          <w:highlight w:val="none"/>
        </w:rPr>
        <w:t>目录</w:t>
      </w:r>
    </w:p>
    <w:p w14:paraId="2AB39380">
      <w:pPr>
        <w:spacing w:line="269" w:lineRule="auto"/>
        <w:jc w:val="both"/>
        <w:rPr>
          <w:rFonts w:hint="eastAsia" w:ascii="宋体" w:hAnsi="宋体" w:eastAsia="宋体" w:cs="宋体"/>
          <w:color w:val="auto"/>
          <w:highlight w:val="none"/>
        </w:rPr>
      </w:pPr>
    </w:p>
    <w:p w14:paraId="230F7088">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第一章招标公告</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p>
    <w:p w14:paraId="44E7FBCB">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"_bookmark2"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第二章投标人须知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64A76EA3">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"_bookmark3"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第一节投标人须知前附表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58830D8F">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"_bookmark4"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第二节投标人须知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20A47B2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"_bookmark5"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附表一：开标记录表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21</w:t>
      </w:r>
    </w:p>
    <w:p w14:paraId="71A3291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"_bookmark6"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附表二：问题澄清通知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22</w:t>
      </w:r>
    </w:p>
    <w:p w14:paraId="7CB8D96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"_bookmark7"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附表三：问题的澄清</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23</w:t>
      </w:r>
    </w:p>
    <w:p w14:paraId="7A70A944">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"_bookmark8"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附表四：中标通知书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24</w:t>
      </w:r>
    </w:p>
    <w:p w14:paraId="1AAE2655">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"_bookmark10"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附表五：确认通知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25</w:t>
      </w:r>
      <w:r>
        <w:rPr>
          <w:rFonts w:hint="eastAsia" w:ascii="宋体" w:hAnsi="宋体" w:eastAsia="宋体" w:cs="宋体"/>
          <w:color w:val="auto"/>
          <w:sz w:val="23"/>
          <w:szCs w:val="23"/>
          <w:highlight w:val="none"/>
        </w:rPr>
        <w:fldChar w:fldCharType="end"/>
      </w:r>
    </w:p>
    <w:p w14:paraId="4802E1EC">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"_bookmark11"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第三章评标定标办法</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7D6841C6">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"_bookmark12"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第四章合同条款及格式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w:t>
      </w:r>
    </w:p>
    <w:p w14:paraId="19CD42D8">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"_bookmark13"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第五章招标内容和技术要求</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1</w:t>
      </w:r>
    </w:p>
    <w:p w14:paraId="07D96DCD">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"_bookmark14"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第六章投标文件格式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6BD9BB10">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"_bookmark15"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格式一：投标函</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53</w:t>
      </w:r>
      <w:r>
        <w:rPr>
          <w:rFonts w:hint="eastAsia" w:ascii="宋体" w:hAnsi="宋体" w:eastAsia="宋体" w:cs="宋体"/>
          <w:color w:val="auto"/>
          <w:sz w:val="23"/>
          <w:szCs w:val="23"/>
          <w:highlight w:val="none"/>
        </w:rPr>
        <w:fldChar w:fldCharType="end"/>
      </w:r>
    </w:p>
    <w:p w14:paraId="6994F7EC">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"_bookmark16"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格式二：法定代表人身份证明</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54</w:t>
      </w:r>
      <w:r>
        <w:rPr>
          <w:rFonts w:hint="eastAsia" w:ascii="宋体" w:hAnsi="宋体" w:eastAsia="宋体" w:cs="宋体"/>
          <w:color w:val="auto"/>
          <w:sz w:val="23"/>
          <w:szCs w:val="23"/>
          <w:highlight w:val="none"/>
        </w:rPr>
        <w:fldChar w:fldCharType="end"/>
      </w:r>
    </w:p>
    <w:p w14:paraId="1952EC6B">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"_bookmark17"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格式三：</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3"/>
          <w:szCs w:val="23"/>
          <w:highlight w:val="none"/>
        </w:rPr>
        <w:t>授权委托书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55</w:t>
      </w:r>
    </w:p>
    <w:p w14:paraId="190DBC2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"_bookmark18"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格式四：投标报价表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5D59F86C">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"_bookmark19"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格式五：资料一览表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7</w:t>
      </w:r>
    </w:p>
    <w:p w14:paraId="1E674AC9">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"_bookmark20"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格式六：打分资料一览表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8</w:t>
      </w:r>
    </w:p>
    <w:p w14:paraId="12217CDE">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"_bookmark20"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格式七：投标人基本情况</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9</w:t>
      </w:r>
    </w:p>
    <w:p w14:paraId="3748628C">
      <w:pPr>
        <w:jc w:val="both"/>
        <w:rPr>
          <w:rFonts w:hint="eastAsia" w:ascii="宋体" w:hAnsi="宋体" w:eastAsia="宋体" w:cs="宋体"/>
          <w:color w:val="auto"/>
          <w:highlight w:val="none"/>
        </w:rPr>
        <w:sectPr>
          <w:footerReference r:id="rId3" w:type="default"/>
          <w:pgSz w:w="11906" w:h="16839"/>
          <w:pgMar w:top="1418" w:right="1559" w:bottom="1418" w:left="1474" w:header="0" w:footer="0" w:gutter="0"/>
          <w:cols w:space="720" w:num="1"/>
        </w:sectPr>
      </w:pPr>
    </w:p>
    <w:p w14:paraId="105554E9">
      <w:pPr>
        <w:spacing w:line="245" w:lineRule="auto"/>
        <w:jc w:val="both"/>
        <w:rPr>
          <w:rFonts w:hint="eastAsia" w:ascii="宋体" w:hAnsi="宋体" w:eastAsia="宋体" w:cs="宋体"/>
          <w:color w:val="auto"/>
          <w:highlight w:val="none"/>
        </w:rPr>
      </w:pPr>
    </w:p>
    <w:p w14:paraId="665975B0">
      <w:pPr>
        <w:spacing w:before="101" w:line="224" w:lineRule="auto"/>
        <w:ind w:left="3173"/>
        <w:jc w:val="both"/>
        <w:outlineLvl w:val="0"/>
        <w:rPr>
          <w:rFonts w:hint="eastAsia" w:ascii="宋体" w:hAnsi="宋体" w:eastAsia="宋体" w:cs="宋体"/>
          <w:color w:val="auto"/>
          <w:sz w:val="31"/>
          <w:szCs w:val="31"/>
          <w:highlight w:val="none"/>
        </w:rPr>
      </w:pPr>
      <w:bookmarkStart w:id="0" w:name="_bookmark1"/>
      <w:bookmarkEnd w:id="0"/>
      <w:r>
        <w:rPr>
          <w:rFonts w:hint="eastAsia" w:ascii="宋体" w:hAnsi="宋体" w:eastAsia="宋体" w:cs="宋体"/>
          <w:color w:val="auto"/>
          <w:sz w:val="31"/>
          <w:szCs w:val="31"/>
          <w:highlight w:val="none"/>
        </w:rPr>
        <w:t>第一章招标公告</w:t>
      </w:r>
    </w:p>
    <w:p w14:paraId="7FC92869">
      <w:pPr>
        <w:spacing w:before="125" w:line="353" w:lineRule="auto"/>
        <w:ind w:left="10" w:right="65" w:firstLine="497"/>
        <w:jc w:val="both"/>
        <w:rPr>
          <w:rFonts w:hint="default" w:ascii="宋体" w:hAnsi="宋体" w:eastAsia="宋体" w:cs="宋体"/>
          <w:color w:val="auto"/>
          <w:highlight w:val="none"/>
          <w:u w:val="single"/>
          <w:lang w:val="en-US" w:eastAsia="zh-CN"/>
        </w:rPr>
      </w:pPr>
      <w:r>
        <w:rPr>
          <w:rFonts w:hint="eastAsia"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val="en-US" w:eastAsia="zh-CN"/>
        </w:rPr>
        <w:t xml:space="preserve">    </w:t>
      </w:r>
      <w:r>
        <w:rPr>
          <w:rFonts w:hint="eastAsia"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val="en-US" w:eastAsia="zh-CN"/>
        </w:rPr>
        <w:t xml:space="preserve">        </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lang w:val="en-US" w:eastAsia="zh-CN"/>
        </w:rPr>
        <w:t>A3306010720060353001</w:t>
      </w:r>
    </w:p>
    <w:p w14:paraId="6CA7C452">
      <w:pPr>
        <w:spacing w:line="253" w:lineRule="auto"/>
        <w:jc w:val="both"/>
        <w:rPr>
          <w:rFonts w:hint="eastAsia" w:ascii="宋体" w:hAnsi="宋体" w:eastAsia="宋体" w:cs="宋体"/>
          <w:color w:val="auto"/>
          <w:highlight w:val="none"/>
        </w:rPr>
      </w:pPr>
    </w:p>
    <w:p w14:paraId="68E06553">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position w:val="2"/>
          <w:sz w:val="21"/>
          <w:szCs w:val="21"/>
          <w:highlight w:val="none"/>
          <w:u w:val="none"/>
        </w:rPr>
      </w:pPr>
      <w:r>
        <w:rPr>
          <w:rFonts w:hint="eastAsia" w:ascii="宋体" w:hAnsi="宋体" w:eastAsia="宋体" w:cs="宋体"/>
          <w:color w:val="auto"/>
          <w:sz w:val="21"/>
          <w:szCs w:val="21"/>
          <w:highlight w:val="none"/>
          <w:u w:val="none"/>
        </w:rPr>
        <w:t>本次招标项目</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i w:val="0"/>
          <w:iCs w:val="0"/>
          <w:color w:val="auto"/>
          <w:sz w:val="21"/>
          <w:szCs w:val="21"/>
          <w:highlight w:val="none"/>
          <w:u w:val="single"/>
        </w:rPr>
        <w:t>绍兴市第七人民医院新院区建设工程</w:t>
      </w:r>
      <w:r>
        <w:rPr>
          <w:rFonts w:hint="eastAsia" w:ascii="宋体" w:hAnsi="宋体" w:eastAsia="宋体" w:cs="宋体"/>
          <w:color w:val="auto"/>
          <w:sz w:val="21"/>
          <w:szCs w:val="21"/>
          <w:highlight w:val="none"/>
          <w:u w:val="none"/>
        </w:rPr>
        <w:t>，已由</w:t>
      </w:r>
      <w:r>
        <w:rPr>
          <w:rFonts w:hint="eastAsia" w:ascii="宋体" w:hAnsi="宋体" w:eastAsia="宋体" w:cs="宋体"/>
          <w:b/>
          <w:bCs/>
          <w:i w:val="0"/>
          <w:iCs w:val="0"/>
          <w:color w:val="auto"/>
          <w:sz w:val="21"/>
          <w:szCs w:val="21"/>
          <w:highlight w:val="none"/>
          <w:u w:val="single"/>
        </w:rPr>
        <w:t xml:space="preserve"> </w:t>
      </w:r>
      <w:r>
        <w:rPr>
          <w:rFonts w:hint="eastAsia" w:ascii="宋体" w:hAnsi="宋体" w:eastAsia="宋体" w:cs="宋体"/>
          <w:b/>
          <w:bCs/>
          <w:i w:val="0"/>
          <w:iCs w:val="0"/>
          <w:color w:val="auto"/>
          <w:sz w:val="21"/>
          <w:szCs w:val="21"/>
          <w:highlight w:val="none"/>
          <w:u w:val="single"/>
          <w:lang w:val="en-US" w:eastAsia="zh-CN"/>
        </w:rPr>
        <w:t>绍兴市发展和改革委员会</w:t>
      </w:r>
      <w:r>
        <w:rPr>
          <w:rFonts w:hint="eastAsia" w:ascii="宋体" w:hAnsi="宋体" w:eastAsia="宋体" w:cs="宋体"/>
          <w:color w:val="auto"/>
          <w:sz w:val="21"/>
          <w:szCs w:val="21"/>
          <w:highlight w:val="none"/>
          <w:u w:val="none"/>
        </w:rPr>
        <w:t>以</w:t>
      </w:r>
      <w:r>
        <w:rPr>
          <w:rFonts w:hint="eastAsia" w:ascii="宋体" w:hAnsi="宋体" w:eastAsia="宋体" w:cs="宋体"/>
          <w:b/>
          <w:bCs/>
          <w:i w:val="0"/>
          <w:iCs w:val="0"/>
          <w:color w:val="auto"/>
          <w:sz w:val="21"/>
          <w:szCs w:val="21"/>
          <w:highlight w:val="none"/>
          <w:u w:val="single"/>
          <w:lang w:val="en-US" w:eastAsia="zh-CN"/>
        </w:rPr>
        <w:t>绍市发改中心〔2024〕25 号</w:t>
      </w:r>
      <w:r>
        <w:rPr>
          <w:rFonts w:hint="eastAsia" w:ascii="宋体" w:hAnsi="宋体" w:eastAsia="宋体" w:cs="宋体"/>
          <w:color w:val="auto"/>
          <w:sz w:val="21"/>
          <w:szCs w:val="21"/>
          <w:highlight w:val="none"/>
          <w:u w:val="none"/>
        </w:rPr>
        <w:t>批准建设，项目业主为</w:t>
      </w:r>
      <w:r>
        <w:rPr>
          <w:rFonts w:hint="eastAsia" w:ascii="宋体" w:hAnsi="宋体" w:eastAsia="宋体" w:cs="宋体"/>
          <w:b/>
          <w:bCs/>
          <w:i w:val="0"/>
          <w:iCs w:val="0"/>
          <w:color w:val="auto"/>
          <w:sz w:val="21"/>
          <w:szCs w:val="21"/>
          <w:highlight w:val="none"/>
          <w:u w:val="single"/>
          <w:lang w:val="en-US" w:eastAsia="zh-CN"/>
        </w:rPr>
        <w:t xml:space="preserve">绍兴市第七人民医院 </w:t>
      </w:r>
      <w:r>
        <w:rPr>
          <w:rFonts w:hint="eastAsia" w:ascii="宋体" w:hAnsi="宋体" w:eastAsia="宋体" w:cs="宋体"/>
          <w:color w:val="auto"/>
          <w:sz w:val="21"/>
          <w:szCs w:val="21"/>
          <w:highlight w:val="none"/>
          <w:u w:val="none"/>
        </w:rPr>
        <w:t>，建设资金</w:t>
      </w:r>
      <w:r>
        <w:rPr>
          <w:rFonts w:hint="eastAsia" w:ascii="宋体" w:hAnsi="宋体" w:eastAsia="宋体" w:cs="宋体"/>
          <w:b/>
          <w:bCs/>
          <w:i w:val="0"/>
          <w:iCs w:val="0"/>
          <w:color w:val="auto"/>
          <w:sz w:val="21"/>
          <w:szCs w:val="21"/>
          <w:highlight w:val="none"/>
          <w:u w:val="single"/>
          <w:lang w:val="en-US" w:eastAsia="zh-CN"/>
        </w:rPr>
        <w:t xml:space="preserve"> 财政拨款</w:t>
      </w:r>
      <w:r>
        <w:rPr>
          <w:rFonts w:hint="eastAsia" w:ascii="宋体" w:hAnsi="宋体" w:eastAsia="宋体" w:cs="宋体"/>
          <w:color w:val="auto"/>
          <w:sz w:val="21"/>
          <w:szCs w:val="21"/>
          <w:highlight w:val="none"/>
          <w:u w:val="none"/>
        </w:rPr>
        <w:t>（资金来源），招标人为</w:t>
      </w:r>
      <w:r>
        <w:rPr>
          <w:rFonts w:hint="eastAsia" w:ascii="宋体" w:hAnsi="宋体" w:eastAsia="宋体" w:cs="宋体"/>
          <w:b/>
          <w:bCs/>
          <w:i w:val="0"/>
          <w:iCs w:val="0"/>
          <w:color w:val="auto"/>
          <w:sz w:val="21"/>
          <w:szCs w:val="21"/>
          <w:highlight w:val="none"/>
          <w:u w:val="single"/>
          <w:lang w:val="en-US" w:eastAsia="zh-CN"/>
        </w:rPr>
        <w:t>绍兴市第七人民医院</w:t>
      </w:r>
      <w:r>
        <w:rPr>
          <w:rFonts w:hint="eastAsia" w:ascii="宋体" w:hAnsi="宋体" w:eastAsia="宋体" w:cs="宋体"/>
          <w:color w:val="auto"/>
          <w:sz w:val="21"/>
          <w:szCs w:val="21"/>
          <w:highlight w:val="none"/>
          <w:u w:val="none"/>
        </w:rPr>
        <w:t>。项目已具备招标条件，现对该项目的</w:t>
      </w:r>
      <w:r>
        <w:rPr>
          <w:rFonts w:hint="eastAsia" w:ascii="宋体" w:hAnsi="宋体" w:eastAsia="宋体" w:cs="宋体"/>
          <w:b/>
          <w:bCs/>
          <w:i w:val="0"/>
          <w:iCs w:val="0"/>
          <w:color w:val="auto"/>
          <w:sz w:val="21"/>
          <w:szCs w:val="21"/>
          <w:highlight w:val="none"/>
          <w:u w:val="single"/>
          <w:lang w:val="en-US" w:eastAsia="zh-CN"/>
        </w:rPr>
        <w:t>医用净化、实验室及放射防护项目</w:t>
      </w:r>
      <w:r>
        <w:rPr>
          <w:rFonts w:hint="eastAsia" w:ascii="宋体" w:hAnsi="宋体" w:eastAsia="宋体" w:cs="宋体"/>
          <w:color w:val="auto"/>
          <w:sz w:val="21"/>
          <w:szCs w:val="21"/>
          <w:highlight w:val="none"/>
          <w:u w:val="none"/>
        </w:rPr>
        <w:t>货物进行公开招标</w:t>
      </w:r>
    </w:p>
    <w:p w14:paraId="548FA95C">
      <w:pPr>
        <w:keepNext w:val="0"/>
        <w:keepLines w:val="0"/>
        <w:pageBreakBefore w:val="0"/>
        <w:wordWrap/>
        <w:overflowPunct/>
        <w:topLinePunct w:val="0"/>
        <w:bidi w:val="0"/>
        <w:snapToGrid w:val="0"/>
        <w:spacing w:line="312" w:lineRule="auto"/>
        <w:ind w:left="493"/>
        <w:jc w:val="both"/>
        <w:rPr>
          <w:rFonts w:hint="eastAsia" w:ascii="宋体" w:hAnsi="宋体" w:eastAsia="宋体" w:cs="宋体"/>
          <w:color w:val="auto"/>
          <w:sz w:val="21"/>
          <w:szCs w:val="21"/>
          <w:highlight w:val="none"/>
        </w:rPr>
      </w:pPr>
      <w:r>
        <w:rPr>
          <w:rFonts w:hint="eastAsia" w:ascii="宋体" w:hAnsi="宋体" w:eastAsia="宋体" w:cs="宋体"/>
          <w:color w:val="auto"/>
          <w:position w:val="2"/>
          <w:sz w:val="21"/>
          <w:szCs w:val="21"/>
          <w:highlight w:val="none"/>
        </w:rPr>
        <w:t>一、本次招标内容</w:t>
      </w:r>
    </w:p>
    <w:p w14:paraId="7F15A272">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1.1建设地点：项目位于</w:t>
      </w:r>
      <w:r>
        <w:rPr>
          <w:rFonts w:hint="eastAsia" w:ascii="宋体" w:hAnsi="宋体" w:eastAsia="宋体" w:cs="宋体"/>
          <w:color w:val="auto"/>
          <w:sz w:val="21"/>
          <w:szCs w:val="21"/>
          <w:highlight w:val="none"/>
          <w:lang w:eastAsia="zh-CN"/>
        </w:rPr>
        <w:t>越城区东浦街道、东至滚塘，南至十公溇，西至二环西路高架，北至西郊路</w:t>
      </w:r>
      <w:r>
        <w:rPr>
          <w:rFonts w:hint="eastAsia" w:ascii="宋体" w:hAnsi="宋体" w:eastAsia="宋体" w:cs="宋体"/>
          <w:color w:val="auto"/>
          <w:sz w:val="21"/>
          <w:szCs w:val="21"/>
          <w:highlight w:val="none"/>
        </w:rPr>
        <w:t>。</w:t>
      </w:r>
    </w:p>
    <w:p w14:paraId="7A1FECCB">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建设规模</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项目总建筑面积 107608.36平方米，其中：地上建筑面积70902.49平方米，地下建筑面积36705.87平方米。项目按三甲精神专科医院标准建设，设置床位800张，新建设备用房、科研办公楼、综合门诊楼、综合住院楼、心身医学中心等。</w:t>
      </w:r>
    </w:p>
    <w:p w14:paraId="7A4A3CED">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绍兴市第七人民医院新院区建设工程医用净化、实验室及放射防护，包括①施工图范围内的净化系统专项的相关内容，包括装饰装修、暖通空调、强电、弱电、医用气体、给排水专业；②实验室工程的相关的内容，包括装饰、暖通、电气、给排水、实验室设备；③放射防护工程的相关内容。具体详见招标文件的“技术标准和要求”，具体范围详见图纸及招标文件。</w:t>
      </w:r>
    </w:p>
    <w:p w14:paraId="5EDD8ADE">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主要工作内容包括对以上所有内容设备采购及安装工程施工图的进一步深化设计，对现有建筑基础上的管道处的结构补强、预留孔洞、设备基础、预埋铁构件、预埋管、套管及其封堵，以及设备材料供货、运输、卸货、保管、施工、安装、调试、检测、并最终通过验收，同时负责技术服务与培训，提交相关技术资料以及质保期内的维修保养等。</w:t>
      </w:r>
    </w:p>
    <w:p w14:paraId="474DC4D4">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项目工期：210日历天，并不得影响总包总进度计划（开工日期以招标人发出的开工指令为准，竣工日期以单项验收通过日期为准）。</w:t>
      </w:r>
    </w:p>
    <w:p w14:paraId="6BC67ED2">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质量标准：合格。</w:t>
      </w:r>
    </w:p>
    <w:p w14:paraId="59346A0C">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本次招标范围内的工程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估算(或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概算)造价</w:t>
      </w:r>
      <w:r>
        <w:rPr>
          <w:rFonts w:hint="eastAsia" w:ascii="宋体" w:hAnsi="宋体" w:eastAsia="宋体" w:cs="宋体"/>
          <w:b/>
          <w:bCs/>
          <w:i w:val="0"/>
          <w:iCs w:val="0"/>
          <w:color w:val="auto"/>
          <w:sz w:val="21"/>
          <w:szCs w:val="21"/>
          <w:highlight w:val="none"/>
          <w:u w:val="single"/>
          <w:lang w:val="en-US" w:eastAsia="zh-CN"/>
        </w:rPr>
        <w:t>2333.4973</w:t>
      </w:r>
      <w:r>
        <w:rPr>
          <w:rFonts w:hint="eastAsia" w:ascii="宋体" w:hAnsi="宋体" w:eastAsia="宋体" w:cs="宋体"/>
          <w:color w:val="auto"/>
          <w:sz w:val="21"/>
          <w:szCs w:val="21"/>
          <w:highlight w:val="none"/>
        </w:rPr>
        <w:t>万元，采用投标资格后审方式招标。</w:t>
      </w:r>
    </w:p>
    <w:p w14:paraId="541E9F75">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1.2是否属于政府采购工程</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p w14:paraId="5DF83B9D">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1.3是否专门面向中小企业预留</w:t>
      </w:r>
    </w:p>
    <w:p w14:paraId="334A1D67">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w:t>
      </w:r>
    </w:p>
    <w:p w14:paraId="123538FE">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否（不专门面向中小企业采购的原因及适用条款）</w:t>
      </w:r>
    </w:p>
    <w:p w14:paraId="444C24F8">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1.4专门面向中小企业预留的实施方式</w:t>
      </w:r>
    </w:p>
    <w:p w14:paraId="17CB3C3D">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trike w:val="0"/>
          <w:dstrike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strike w:val="0"/>
          <w:dstrike w:val="0"/>
          <w:color w:val="auto"/>
          <w:sz w:val="21"/>
          <w:szCs w:val="21"/>
          <w:highlight w:val="none"/>
        </w:rPr>
        <w:t>1.4.1本标段整体面向中小企业；</w:t>
      </w:r>
    </w:p>
    <w:p w14:paraId="5147D931">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strike w:val="0"/>
          <w:dstrike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strike w:val="0"/>
          <w:dstrike w:val="0"/>
          <w:color w:val="auto"/>
          <w:sz w:val="21"/>
          <w:szCs w:val="21"/>
          <w:highlight w:val="none"/>
        </w:rPr>
        <w:t>1.4.2本标段联合体形式面向中小企业，以联合体形式参加本次投标的，联合体中中小企业承担的合同份额需达到（不低于40%）以上。</w:t>
      </w:r>
    </w:p>
    <w:p w14:paraId="5B825051">
      <w:pPr>
        <w:keepNext w:val="0"/>
        <w:keepLines w:val="0"/>
        <w:pageBreakBefore w:val="0"/>
        <w:wordWrap/>
        <w:overflowPunct/>
        <w:topLinePunct w:val="0"/>
        <w:bidi w:val="0"/>
        <w:snapToGrid w:val="0"/>
        <w:spacing w:line="312" w:lineRule="auto"/>
        <w:ind w:left="493"/>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二、投标资格条件、要求</w:t>
      </w:r>
    </w:p>
    <w:p w14:paraId="45ABC122">
      <w:pPr>
        <w:keepNext w:val="0"/>
        <w:keepLines w:val="0"/>
        <w:pageBreakBefore w:val="0"/>
        <w:wordWrap/>
        <w:overflowPunct/>
        <w:topLinePunct w:val="0"/>
        <w:bidi w:val="0"/>
        <w:snapToGrid w:val="0"/>
        <w:spacing w:line="312" w:lineRule="auto"/>
        <w:ind w:left="10" w:right="65" w:firstLine="49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1.投标人及其拟派项目负责人自</w:t>
      </w:r>
      <w:r>
        <w:rPr>
          <w:rFonts w:hint="eastAsia" w:ascii="宋体" w:hAnsi="宋体" w:eastAsia="宋体" w:cs="宋体"/>
          <w:b/>
          <w:bCs/>
          <w:color w:val="auto"/>
          <w:sz w:val="21"/>
          <w:szCs w:val="21"/>
          <w:highlight w:val="none"/>
          <w:u w:val="single"/>
          <w:lang w:val="en-US" w:eastAsia="zh-CN"/>
        </w:rPr>
        <w:t>2023</w:t>
      </w:r>
      <w:r>
        <w:rPr>
          <w:rFonts w:hint="eastAsia" w:ascii="宋体" w:hAnsi="宋体" w:eastAsia="宋体" w:cs="宋体"/>
          <w:b/>
          <w:bCs/>
          <w:color w:val="auto"/>
          <w:sz w:val="21"/>
          <w:szCs w:val="21"/>
          <w:highlight w:val="none"/>
          <w:u w:val="single"/>
        </w:rPr>
        <w:t>年</w:t>
      </w:r>
      <w:r>
        <w:rPr>
          <w:rFonts w:hint="eastAsia" w:ascii="宋体" w:hAnsi="宋体" w:eastAsia="宋体" w:cs="宋体"/>
          <w:b/>
          <w:bCs/>
          <w:color w:val="auto"/>
          <w:sz w:val="21"/>
          <w:szCs w:val="21"/>
          <w:highlight w:val="none"/>
          <w:u w:val="single"/>
          <w:lang w:val="en-US" w:eastAsia="zh-CN"/>
        </w:rPr>
        <w:t>7</w:t>
      </w:r>
      <w:r>
        <w:rPr>
          <w:rFonts w:hint="eastAsia" w:ascii="宋体" w:hAnsi="宋体" w:eastAsia="宋体" w:cs="宋体"/>
          <w:b/>
          <w:bCs/>
          <w:color w:val="auto"/>
          <w:sz w:val="21"/>
          <w:szCs w:val="21"/>
          <w:highlight w:val="none"/>
          <w:u w:val="single"/>
        </w:rPr>
        <w:t>月</w:t>
      </w:r>
      <w:r>
        <w:rPr>
          <w:rFonts w:hint="eastAsia" w:ascii="宋体" w:hAnsi="宋体" w:eastAsia="宋体" w:cs="宋体"/>
          <w:b/>
          <w:bCs/>
          <w:color w:val="auto"/>
          <w:sz w:val="21"/>
          <w:szCs w:val="21"/>
          <w:highlight w:val="none"/>
          <w:u w:val="single"/>
          <w:lang w:val="en-US" w:eastAsia="zh-CN"/>
        </w:rPr>
        <w:t>1</w:t>
      </w:r>
      <w:r>
        <w:rPr>
          <w:rFonts w:hint="eastAsia" w:ascii="宋体" w:hAnsi="宋体" w:eastAsia="宋体" w:cs="宋体"/>
          <w:b/>
          <w:bCs/>
          <w:color w:val="auto"/>
          <w:sz w:val="21"/>
          <w:szCs w:val="21"/>
          <w:highlight w:val="none"/>
          <w:u w:val="single"/>
        </w:rPr>
        <w:t xml:space="preserve"> 日</w:t>
      </w:r>
      <w:r>
        <w:rPr>
          <w:rFonts w:hint="eastAsia" w:ascii="宋体" w:hAnsi="宋体" w:eastAsia="宋体" w:cs="宋体"/>
          <w:color w:val="auto"/>
          <w:sz w:val="21"/>
          <w:szCs w:val="21"/>
          <w:highlight w:val="none"/>
        </w:rPr>
        <w:t>起至投标截止日止无行贿犯罪记录；</w:t>
      </w:r>
    </w:p>
    <w:p w14:paraId="61EEDF20">
      <w:pPr>
        <w:keepNext w:val="0"/>
        <w:keepLines w:val="0"/>
        <w:pageBreakBefore w:val="0"/>
        <w:wordWrap/>
        <w:overflowPunct/>
        <w:topLinePunct w:val="0"/>
        <w:bidi w:val="0"/>
        <w:snapToGrid w:val="0"/>
        <w:spacing w:line="312" w:lineRule="auto"/>
        <w:ind w:left="15" w:right="154" w:firstLine="498"/>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2.投标人及其拟派项目负责人未被列入建筑市场严重失信名单（以全国建筑市场监管公共服务平台黑名单记录、失信联合惩戒记录和浙江省建筑市场监管公共服务系统严重失信名单的信息为准）；</w:t>
      </w:r>
    </w:p>
    <w:p w14:paraId="6D92C98C">
      <w:pPr>
        <w:keepNext w:val="0"/>
        <w:keepLines w:val="0"/>
        <w:pageBreakBefore w:val="0"/>
        <w:numPr>
          <w:ilvl w:val="0"/>
          <w:numId w:val="3"/>
        </w:numPr>
        <w:wordWrap/>
        <w:overflowPunct/>
        <w:topLinePunct w:val="0"/>
        <w:bidi w:val="0"/>
        <w:snapToGrid w:val="0"/>
        <w:spacing w:line="312" w:lineRule="auto"/>
        <w:ind w:left="14" w:right="63" w:firstLine="474"/>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不接受)联合体投标，联合体投标的，应满足下列要求：</w:t>
      </w:r>
    </w:p>
    <w:p w14:paraId="4DBC1877">
      <w:pPr>
        <w:keepNext w:val="0"/>
        <w:keepLines w:val="0"/>
        <w:pageBreakBefore w:val="0"/>
        <w:numPr>
          <w:ilvl w:val="0"/>
          <w:numId w:val="0"/>
        </w:numPr>
        <w:wordWrap/>
        <w:overflowPunct/>
        <w:topLinePunct w:val="0"/>
        <w:bidi w:val="0"/>
        <w:snapToGrid w:val="0"/>
        <w:spacing w:line="312" w:lineRule="auto"/>
        <w:ind w:right="63" w:rightChars="0" w:firstLine="422" w:firstLineChars="200"/>
        <w:jc w:val="lef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①联合体投标的，联合体各方应签订联合体协议书，明确联合体牵头人、以牵头人的名义递交投标保证金；各成员单位的权利义务等事项；</w:t>
      </w:r>
    </w:p>
    <w:p w14:paraId="29ACB39D">
      <w:pPr>
        <w:keepNext w:val="0"/>
        <w:keepLines w:val="0"/>
        <w:pageBreakBefore w:val="0"/>
        <w:wordWrap/>
        <w:overflowPunct/>
        <w:topLinePunct w:val="0"/>
        <w:bidi w:val="0"/>
        <w:snapToGrid w:val="0"/>
        <w:spacing w:line="312" w:lineRule="auto"/>
        <w:ind w:left="14" w:right="63" w:firstLine="474"/>
        <w:jc w:val="lef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②项目负责人由联合体牵头人委派；</w:t>
      </w:r>
    </w:p>
    <w:p w14:paraId="00F0B657">
      <w:pPr>
        <w:keepNext w:val="0"/>
        <w:keepLines w:val="0"/>
        <w:pageBreakBefore w:val="0"/>
        <w:wordWrap/>
        <w:overflowPunct/>
        <w:topLinePunct w:val="0"/>
        <w:bidi w:val="0"/>
        <w:snapToGrid w:val="0"/>
        <w:spacing w:line="312" w:lineRule="auto"/>
        <w:ind w:left="14" w:right="63" w:firstLine="474"/>
        <w:jc w:val="lef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③联合体成员总数（含牵头人）不得超过3家；</w:t>
      </w:r>
    </w:p>
    <w:p w14:paraId="71BC2339">
      <w:pPr>
        <w:keepNext w:val="0"/>
        <w:keepLines w:val="0"/>
        <w:pageBreakBefore w:val="0"/>
        <w:wordWrap/>
        <w:overflowPunct/>
        <w:topLinePunct w:val="0"/>
        <w:bidi w:val="0"/>
        <w:snapToGrid w:val="0"/>
        <w:spacing w:line="312" w:lineRule="auto"/>
        <w:ind w:left="14" w:right="63" w:firstLine="474"/>
        <w:jc w:val="lef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④联合体各方需具备与所承担工作内容相适应的资格；</w:t>
      </w:r>
    </w:p>
    <w:p w14:paraId="7C9A3747">
      <w:pPr>
        <w:keepNext w:val="0"/>
        <w:keepLines w:val="0"/>
        <w:pageBreakBefore w:val="0"/>
        <w:wordWrap/>
        <w:overflowPunct/>
        <w:topLinePunct w:val="0"/>
        <w:bidi w:val="0"/>
        <w:snapToGrid w:val="0"/>
        <w:spacing w:line="312" w:lineRule="auto"/>
        <w:ind w:left="14" w:right="63" w:firstLine="474"/>
        <w:jc w:val="lef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lang w:val="en-US" w:eastAsia="zh-CN"/>
        </w:rPr>
        <w:t>⑤联合体各方不得再以自己的名义单独或组建新的联合体参与本合同段投标。</w:t>
      </w:r>
    </w:p>
    <w:p w14:paraId="774CD6A0">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trike/>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4.面向中小企业招标的，投标人（或联合体中的中小企业）须为中小企业，并提供《中小企业声明函》。</w:t>
      </w:r>
    </w:p>
    <w:p w14:paraId="160244F2">
      <w:pPr>
        <w:keepNext w:val="0"/>
        <w:keepLines w:val="0"/>
        <w:pageBreakBefore w:val="0"/>
        <w:wordWrap/>
        <w:overflowPunct/>
        <w:topLinePunct w:val="0"/>
        <w:bidi w:val="0"/>
        <w:snapToGrid w:val="0"/>
        <w:spacing w:line="312" w:lineRule="auto"/>
        <w:ind w:left="49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5.(招标人认为需要增加的符合法律法规规定的其他要求)</w:t>
      </w:r>
    </w:p>
    <w:p w14:paraId="4E948028">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5.1投标人具备①医疗器械生产许可证,或②同时具有医疗器械经营许可证和医疗器械经营备案凭证；</w:t>
      </w:r>
    </w:p>
    <w:p w14:paraId="4AEEDA96">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注：本项目中生物安全柜属于Ⅲ类医疗器械、洁净工作台（超净工作台）属于Ⅱ类医疗器械。联合体投标的，要求承接生物安全柜的成员单位具备医疗器械生产许可证或医疗器械经营许可证，要求承接洁净工作台（超净工作台）的成员单位具备医疗器械生产许可证或医疗器械经营备案凭证）</w:t>
      </w:r>
    </w:p>
    <w:p w14:paraId="3CC98010">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5.2业绩要求：</w:t>
      </w:r>
    </w:p>
    <w:p w14:paraId="2CC1D8B3">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投标人自2021年7月1日（时间以单项验收证明或整体竣工验收证明时间为准）至今完成过单个合同金额1100万元及以上的医疗净化业绩（合同中的实施内容包含手术室或实验室或静配中心等特殊需要空气净化的科室或功能用房）。（联合体投标的，指联合体牵头人业绩）</w:t>
      </w:r>
    </w:p>
    <w:p w14:paraId="5FED878C">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注：①业绩证明材料必须同时提供：</w:t>
      </w:r>
    </w:p>
    <w:p w14:paraId="710CC6D7">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A:中标通知书；</w:t>
      </w:r>
    </w:p>
    <w:p w14:paraId="16D5743B">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B:合同协议书；</w:t>
      </w:r>
    </w:p>
    <w:p w14:paraId="7386BE95">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C:检测报告：具有CMA认证的第三方检测机构出具的洁净室综合性能合格检测报告；</w:t>
      </w:r>
    </w:p>
    <w:p w14:paraId="6259085A">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D:验收证明：单项验收证明（要求至少建设单位盖章）或整体竣工验收证明【整体验收证明材料包括：交（竣）工验收记录或交（竣）工验收证书或交（竣）工验收报告或交（竣）工验收备案表，如提供交（竣）工验收记录，还需提供完工证明并加盖业主公章】；</w:t>
      </w:r>
    </w:p>
    <w:p w14:paraId="743C0A54">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以上资料需扫描件加盖投标人公章，若缺其中任何一项则业绩不予认可。</w:t>
      </w:r>
    </w:p>
    <w:p w14:paraId="22C506EB">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②业绩金额以合同为准，合同中未明确相关专项具体金额的，需另行提供业主证明加盖业主公章。</w:t>
      </w:r>
    </w:p>
    <w:p w14:paraId="462E939E">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③如投标人提供联合体业绩，需同时提供联合体协议书，并且联合体协议书中明确投标人负责的施工内容。</w:t>
      </w:r>
    </w:p>
    <w:p w14:paraId="2B30DFF0">
      <w:pPr>
        <w:keepNext w:val="0"/>
        <w:keepLines w:val="0"/>
        <w:pageBreakBefore w:val="0"/>
        <w:numPr>
          <w:ilvl w:val="0"/>
          <w:numId w:val="0"/>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④若以上证明资料仍未体现相关要求的需另行提供业主证明加盖业主公章。</w:t>
      </w:r>
    </w:p>
    <w:p w14:paraId="10F61877">
      <w:pPr>
        <w:keepNext w:val="0"/>
        <w:keepLines w:val="0"/>
        <w:pageBreakBefore w:val="0"/>
        <w:numPr>
          <w:ilvl w:val="0"/>
          <w:numId w:val="0"/>
        </w:numPr>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三、招标文件的获取</w:t>
      </w:r>
    </w:p>
    <w:p w14:paraId="063B8C57">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1.本项目招标文件（含图纸）和补充（答疑、澄清）、修改文件以网上下载方式发放</w:t>
      </w:r>
      <w:r>
        <w:rPr>
          <w:rFonts w:hint="eastAsia" w:ascii="宋体" w:hAnsi="宋体" w:eastAsia="宋体" w:cs="宋体"/>
          <w:color w:val="auto"/>
          <w:highlight w:val="none"/>
          <w:u w:val="single"/>
        </w:rPr>
        <w:t>绍兴市公共资源交易中心电子招投标交易平台（</w:t>
      </w:r>
      <w:r>
        <w:rPr>
          <w:rFonts w:hint="eastAsia" w:ascii="宋体" w:hAnsi="宋体" w:eastAsia="宋体" w:cs="宋体"/>
          <w:color w:val="auto"/>
          <w:highlight w:val="none"/>
          <w:u w:val="single"/>
          <w:lang w:eastAsia="zh-CN"/>
        </w:rPr>
        <w:t>http://220.187.225.202:8088/TPBidder-ztk/memberlogin</w:t>
      </w:r>
      <w:r>
        <w:rPr>
          <w:rFonts w:hint="eastAsia" w:ascii="宋体" w:hAnsi="宋体" w:eastAsia="宋体" w:cs="宋体"/>
          <w:color w:val="auto"/>
          <w:highlight w:val="none"/>
          <w:u w:val="singl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请各潜在投标人使用CA锁登录绍兴市公共资源交易中心电子招投标交易平台</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highlight w:val="none"/>
        </w:rPr>
        <w:t>）</w:t>
      </w:r>
      <w:r>
        <w:rPr>
          <w:rFonts w:hint="eastAsia" w:ascii="宋体" w:hAnsi="宋体" w:eastAsia="宋体" w:cs="宋体"/>
          <w:color w:val="auto"/>
          <w:sz w:val="21"/>
          <w:szCs w:val="21"/>
          <w:highlight w:val="none"/>
        </w:rPr>
        <w:t>获取,未使用CA锁登录并获取招标文件的投标将被拒收。</w:t>
      </w:r>
    </w:p>
    <w:p w14:paraId="1E8A48BB">
      <w:pPr>
        <w:keepNext w:val="0"/>
        <w:keepLines w:val="0"/>
        <w:pageBreakBefore w:val="0"/>
        <w:wordWrap/>
        <w:overflowPunct/>
        <w:topLinePunct w:val="0"/>
        <w:bidi w:val="0"/>
        <w:snapToGrid w:val="0"/>
        <w:spacing w:line="312" w:lineRule="auto"/>
        <w:ind w:left="19" w:firstLine="478" w:firstLineChars="228"/>
        <w:jc w:val="both"/>
        <w:rPr>
          <w:rFonts w:hint="eastAsia" w:ascii="宋体" w:hAnsi="宋体" w:eastAsia="宋体" w:cs="宋体"/>
          <w:snapToGrid/>
          <w:color w:val="auto"/>
          <w:sz w:val="21"/>
          <w:szCs w:val="21"/>
          <w:highlight w:val="none"/>
        </w:rPr>
      </w:pPr>
      <w:r>
        <w:rPr>
          <w:rFonts w:hint="eastAsia" w:ascii="宋体" w:hAnsi="宋体" w:eastAsia="宋体" w:cs="宋体"/>
          <w:color w:val="auto"/>
          <w:sz w:val="21"/>
          <w:szCs w:val="21"/>
          <w:highlight w:val="none"/>
        </w:rPr>
        <w:t>2.招标文件件获取下载网址：潜在投标人登录绍兴市公共资源交易中心电子招投标交易平台（</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highlight w:val="none"/>
        </w:rPr>
        <w:t>）</w:t>
      </w:r>
      <w:r>
        <w:rPr>
          <w:rFonts w:hint="eastAsia" w:ascii="宋体" w:hAnsi="宋体" w:eastAsia="宋体" w:cs="宋体"/>
          <w:color w:val="auto"/>
          <w:sz w:val="21"/>
          <w:szCs w:val="21"/>
          <w:highlight w:val="none"/>
        </w:rPr>
        <w:t>，自行件获取下载招标文件。</w:t>
      </w:r>
    </w:p>
    <w:p w14:paraId="0F1D37DB">
      <w:pPr>
        <w:keepNext w:val="0"/>
        <w:keepLines w:val="0"/>
        <w:pageBreakBefore w:val="0"/>
        <w:wordWrap/>
        <w:overflowPunct/>
        <w:topLinePunct w:val="0"/>
        <w:bidi w:val="0"/>
        <w:snapToGrid w:val="0"/>
        <w:spacing w:line="312" w:lineRule="auto"/>
        <w:ind w:left="499"/>
        <w:jc w:val="both"/>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3.招标文件网上下载时间：（公告发布之日起至投标文件递交截止时间）。</w:t>
      </w:r>
    </w:p>
    <w:p w14:paraId="086DF04A">
      <w:pPr>
        <w:keepNext w:val="0"/>
        <w:keepLines w:val="0"/>
        <w:pageBreakBefore w:val="0"/>
        <w:wordWrap/>
        <w:overflowPunct/>
        <w:topLinePunct w:val="0"/>
        <w:bidi w:val="0"/>
        <w:snapToGrid w:val="0"/>
        <w:spacing w:line="312" w:lineRule="auto"/>
        <w:ind w:left="50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四、投标保证金</w:t>
      </w:r>
    </w:p>
    <w:p w14:paraId="292B5933">
      <w:pPr>
        <w:keepNext w:val="0"/>
        <w:keepLines w:val="0"/>
        <w:pageBreakBefore w:val="0"/>
        <w:widowControl w:val="0"/>
        <w:kinsoku/>
        <w:wordWrap/>
        <w:overflowPunct/>
        <w:topLinePunct w:val="0"/>
        <w:autoSpaceDE/>
        <w:autoSpaceDN/>
        <w:bidi w:val="0"/>
        <w:adjustRightInd/>
        <w:snapToGrid w:val="0"/>
        <w:spacing w:line="312" w:lineRule="auto"/>
        <w:ind w:firstLine="369" w:firstLineChars="176"/>
        <w:jc w:val="both"/>
        <w:textAlignment w:val="auto"/>
        <w:rPr>
          <w:rFonts w:hint="eastAsia" w:ascii="宋体" w:hAnsi="宋体" w:eastAsia="宋体" w:cs="宋体"/>
          <w:b/>
          <w:bCs/>
          <w:snapToGrid/>
          <w:color w:val="auto"/>
          <w:kern w:val="2"/>
          <w:sz w:val="21"/>
          <w:szCs w:val="21"/>
          <w:highlight w:val="none"/>
        </w:rPr>
      </w:pPr>
      <w:r>
        <w:rPr>
          <w:rFonts w:hint="eastAsia" w:ascii="宋体" w:hAnsi="宋体" w:eastAsia="宋体" w:cs="宋体"/>
          <w:snapToGrid/>
          <w:color w:val="auto"/>
          <w:kern w:val="2"/>
          <w:sz w:val="21"/>
          <w:szCs w:val="21"/>
          <w:highlight w:val="none"/>
        </w:rPr>
        <w:t>1.金额：</w:t>
      </w:r>
    </w:p>
    <w:p w14:paraId="727F97B9">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sz w:val="21"/>
          <w:szCs w:val="21"/>
          <w:highlight w:val="none"/>
        </w:rPr>
        <w:t>本项目不缴纳投标保证金。</w:t>
      </w:r>
    </w:p>
    <w:p w14:paraId="77DB79A3">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kern w:val="2"/>
          <w:sz w:val="21"/>
          <w:szCs w:val="21"/>
          <w:highlight w:val="none"/>
        </w:rPr>
        <w:t>本项目需缴纳投标保证金</w:t>
      </w:r>
      <w:r>
        <w:rPr>
          <w:rFonts w:hint="eastAsia" w:ascii="宋体" w:hAnsi="宋体" w:eastAsia="宋体" w:cs="宋体"/>
          <w:b/>
          <w:bCs/>
          <w:snapToGrid/>
          <w:color w:val="auto"/>
          <w:kern w:val="2"/>
          <w:sz w:val="21"/>
          <w:szCs w:val="21"/>
          <w:highlight w:val="none"/>
          <w:u w:val="single"/>
          <w:lang w:val="en-US" w:eastAsia="zh-CN"/>
        </w:rPr>
        <w:t>45</w:t>
      </w:r>
      <w:r>
        <w:rPr>
          <w:rFonts w:hint="eastAsia" w:ascii="宋体" w:hAnsi="宋体" w:eastAsia="宋体" w:cs="宋体"/>
          <w:snapToGrid/>
          <w:color w:val="auto"/>
          <w:kern w:val="2"/>
          <w:sz w:val="21"/>
          <w:szCs w:val="21"/>
          <w:highlight w:val="none"/>
        </w:rPr>
        <w:t>万元，投标保证金在投标人自行获取招标文件后，在</w:t>
      </w:r>
      <w:r>
        <w:rPr>
          <w:rFonts w:hint="eastAsia" w:ascii="宋体" w:hAnsi="宋体" w:eastAsia="宋体" w:cs="宋体"/>
          <w:b/>
          <w:bCs/>
          <w:snapToGrid/>
          <w:color w:val="auto"/>
          <w:kern w:val="2"/>
          <w:sz w:val="21"/>
          <w:szCs w:val="21"/>
          <w:highlight w:val="none"/>
        </w:rPr>
        <w:t>投标文件递交截止时间</w:t>
      </w:r>
      <w:r>
        <w:rPr>
          <w:rFonts w:hint="eastAsia" w:ascii="宋体" w:hAnsi="宋体" w:eastAsia="宋体" w:cs="宋体"/>
          <w:snapToGrid/>
          <w:color w:val="auto"/>
          <w:kern w:val="2"/>
          <w:sz w:val="21"/>
          <w:szCs w:val="21"/>
          <w:highlight w:val="none"/>
        </w:rPr>
        <w:t>前缴纳。</w:t>
      </w:r>
    </w:p>
    <w:p w14:paraId="4953ACA0">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2.缴纳方式：投标人基本账户银行转出的保函/保证保险/担保公司担保/转账/数字保函等(不包括现金）。</w:t>
      </w:r>
    </w:p>
    <w:p w14:paraId="7DBA24BB">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2.1缴纳要求</w:t>
      </w:r>
      <w:r>
        <w:rPr>
          <w:rFonts w:hint="eastAsia" w:ascii="宋体" w:hAnsi="宋体" w:eastAsia="宋体" w:cs="宋体"/>
          <w:snapToGrid/>
          <w:color w:val="auto"/>
          <w:kern w:val="2"/>
          <w:sz w:val="21"/>
          <w:szCs w:val="21"/>
          <w:highlight w:val="none"/>
          <w:lang w:eastAsia="zh-CN"/>
        </w:rPr>
        <w:t>（</w:t>
      </w:r>
      <w:r>
        <w:rPr>
          <w:rFonts w:hint="eastAsia" w:ascii="宋体" w:hAnsi="宋体" w:eastAsia="宋体" w:cs="宋体"/>
          <w:snapToGrid/>
          <w:color w:val="auto"/>
          <w:kern w:val="2"/>
          <w:sz w:val="21"/>
          <w:szCs w:val="21"/>
          <w:highlight w:val="none"/>
        </w:rPr>
        <w:t>转账</w:t>
      </w:r>
      <w:r>
        <w:rPr>
          <w:rFonts w:hint="eastAsia" w:ascii="宋体" w:hAnsi="宋体" w:eastAsia="宋体" w:cs="宋体"/>
          <w:snapToGrid/>
          <w:color w:val="auto"/>
          <w:kern w:val="2"/>
          <w:sz w:val="21"/>
          <w:szCs w:val="21"/>
          <w:highlight w:val="none"/>
          <w:lang w:eastAsia="zh-CN"/>
        </w:rPr>
        <w:t>）</w:t>
      </w:r>
      <w:r>
        <w:rPr>
          <w:rFonts w:hint="eastAsia" w:ascii="宋体" w:hAnsi="宋体" w:eastAsia="宋体" w:cs="宋体"/>
          <w:snapToGrid/>
          <w:color w:val="auto"/>
          <w:kern w:val="2"/>
          <w:sz w:val="21"/>
          <w:szCs w:val="21"/>
          <w:highlight w:val="none"/>
        </w:rPr>
        <w:t>：</w:t>
      </w:r>
    </w:p>
    <w:p w14:paraId="32627BA5">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账户一：开户单位名称：</w:t>
      </w:r>
      <w:r>
        <w:rPr>
          <w:rFonts w:hint="eastAsia" w:ascii="宋体" w:hAnsi="宋体" w:eastAsia="宋体" w:cs="宋体"/>
          <w:color w:val="auto"/>
          <w:sz w:val="21"/>
          <w:szCs w:val="21"/>
          <w:highlight w:val="none"/>
          <w:u w:val="single"/>
        </w:rPr>
        <w:t>绍兴市公共资源交易中心保证金专户，开户行:绍兴银行</w:t>
      </w:r>
      <w:r>
        <w:rPr>
          <w:rFonts w:hint="eastAsia" w:ascii="宋体" w:hAnsi="宋体" w:eastAsia="宋体" w:cs="宋体"/>
          <w:color w:val="auto"/>
          <w:sz w:val="21"/>
          <w:szCs w:val="21"/>
          <w:highlight w:val="none"/>
          <w:u w:val="single"/>
          <w:lang w:val="en-US" w:eastAsia="zh-CN"/>
        </w:rPr>
        <w:t>股份有限公司</w:t>
      </w:r>
      <w:r>
        <w:rPr>
          <w:rFonts w:hint="eastAsia" w:ascii="宋体" w:hAnsi="宋体" w:eastAsia="宋体" w:cs="宋体"/>
          <w:color w:val="auto"/>
          <w:sz w:val="21"/>
          <w:szCs w:val="21"/>
          <w:highlight w:val="none"/>
          <w:u w:val="single"/>
        </w:rPr>
        <w:t>营业部</w:t>
      </w:r>
      <w:r>
        <w:rPr>
          <w:rFonts w:hint="eastAsia" w:ascii="宋体" w:hAnsi="宋体" w:eastAsia="宋体" w:cs="宋体"/>
          <w:snapToGrid/>
          <w:color w:val="auto"/>
          <w:kern w:val="2"/>
          <w:sz w:val="21"/>
          <w:szCs w:val="21"/>
          <w:highlight w:val="none"/>
        </w:rPr>
        <w:t>；账号</w:t>
      </w:r>
      <w:r>
        <w:rPr>
          <w:rFonts w:hint="eastAsia" w:ascii="宋体" w:hAnsi="宋体" w:eastAsia="宋体" w:cs="宋体"/>
          <w:snapToGrid/>
          <w:color w:val="auto"/>
          <w:kern w:val="2"/>
          <w:sz w:val="21"/>
          <w:szCs w:val="21"/>
          <w:highlight w:val="none"/>
          <w:u w:val="single"/>
          <w:lang w:val="en-US" w:eastAsia="zh-CN"/>
        </w:rPr>
        <w:t>6224861565799191090</w:t>
      </w:r>
      <w:r>
        <w:rPr>
          <w:rFonts w:hint="eastAsia" w:ascii="宋体" w:hAnsi="宋体" w:eastAsia="宋体" w:cs="宋体"/>
          <w:snapToGrid/>
          <w:color w:val="auto"/>
          <w:kern w:val="2"/>
          <w:sz w:val="21"/>
          <w:szCs w:val="21"/>
          <w:highlight w:val="none"/>
        </w:rPr>
        <w:t>；</w:t>
      </w:r>
    </w:p>
    <w:p w14:paraId="4C8A60B3">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trike/>
          <w:dstrike w:val="0"/>
          <w:snapToGrid/>
          <w:color w:val="auto"/>
          <w:kern w:val="2"/>
          <w:sz w:val="21"/>
          <w:szCs w:val="21"/>
          <w:highlight w:val="none"/>
        </w:rPr>
      </w:pPr>
      <w:r>
        <w:rPr>
          <w:rFonts w:hint="eastAsia" w:ascii="宋体" w:hAnsi="宋体" w:eastAsia="宋体" w:cs="宋体"/>
          <w:strike/>
          <w:dstrike w:val="0"/>
          <w:snapToGrid/>
          <w:color w:val="auto"/>
          <w:kern w:val="2"/>
          <w:sz w:val="21"/>
          <w:szCs w:val="21"/>
          <w:highlight w:val="none"/>
        </w:rPr>
        <w:t>账户二：开户单位名称：</w:t>
      </w:r>
      <w:r>
        <w:rPr>
          <w:rFonts w:hint="eastAsia" w:ascii="宋体" w:hAnsi="宋体" w:eastAsia="宋体" w:cs="宋体"/>
          <w:strike/>
          <w:dstrike w:val="0"/>
          <w:snapToGrid/>
          <w:color w:val="auto"/>
          <w:kern w:val="2"/>
          <w:sz w:val="21"/>
          <w:szCs w:val="21"/>
          <w:highlight w:val="none"/>
          <w:u w:val="single"/>
        </w:rPr>
        <w:t>绍兴市公共资源交易中心保证金专户，开户行:中信银行绍兴袍江支行</w:t>
      </w:r>
      <w:r>
        <w:rPr>
          <w:rFonts w:hint="eastAsia" w:ascii="宋体" w:hAnsi="宋体" w:eastAsia="宋体" w:cs="宋体"/>
          <w:strike/>
          <w:dstrike w:val="0"/>
          <w:snapToGrid/>
          <w:color w:val="auto"/>
          <w:kern w:val="2"/>
          <w:sz w:val="21"/>
          <w:szCs w:val="21"/>
          <w:highlight w:val="none"/>
        </w:rPr>
        <w:t>；账号</w:t>
      </w:r>
      <w:r>
        <w:rPr>
          <w:rFonts w:hint="eastAsia" w:ascii="宋体" w:hAnsi="宋体" w:eastAsia="宋体" w:cs="宋体"/>
          <w:strike/>
          <w:dstrike w:val="0"/>
          <w:snapToGrid/>
          <w:color w:val="auto"/>
          <w:kern w:val="2"/>
          <w:sz w:val="21"/>
          <w:szCs w:val="21"/>
          <w:highlight w:val="none"/>
          <w:u w:val="single"/>
        </w:rPr>
        <w:t xml:space="preserve">         </w:t>
      </w:r>
      <w:r>
        <w:rPr>
          <w:rFonts w:hint="eastAsia" w:ascii="宋体" w:hAnsi="宋体" w:eastAsia="宋体" w:cs="宋体"/>
          <w:strike/>
          <w:dstrike w:val="0"/>
          <w:snapToGrid/>
          <w:color w:val="auto"/>
          <w:kern w:val="2"/>
          <w:sz w:val="21"/>
          <w:szCs w:val="21"/>
          <w:highlight w:val="none"/>
          <w:u w:val="single"/>
          <w:lang w:val="en-US" w:eastAsia="zh-CN"/>
        </w:rPr>
        <w:t xml:space="preserve">              </w:t>
      </w:r>
      <w:r>
        <w:rPr>
          <w:rFonts w:hint="eastAsia" w:ascii="宋体" w:hAnsi="宋体" w:eastAsia="宋体" w:cs="宋体"/>
          <w:strike/>
          <w:dstrike w:val="0"/>
          <w:snapToGrid/>
          <w:color w:val="auto"/>
          <w:kern w:val="2"/>
          <w:sz w:val="21"/>
          <w:szCs w:val="21"/>
          <w:highlight w:val="none"/>
          <w:u w:val="single"/>
        </w:rPr>
        <w:t xml:space="preserve">   </w:t>
      </w:r>
      <w:r>
        <w:rPr>
          <w:rFonts w:hint="eastAsia" w:ascii="宋体" w:hAnsi="宋体" w:eastAsia="宋体" w:cs="宋体"/>
          <w:strike/>
          <w:dstrike w:val="0"/>
          <w:snapToGrid/>
          <w:color w:val="auto"/>
          <w:kern w:val="2"/>
          <w:sz w:val="21"/>
          <w:szCs w:val="21"/>
          <w:highlight w:val="none"/>
        </w:rPr>
        <w:t xml:space="preserve"> ；</w:t>
      </w:r>
    </w:p>
    <w:p w14:paraId="1D3330A6">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投标人可自主选择以上账户之一缴纳投标保证金。</w:t>
      </w:r>
    </w:p>
    <w:p w14:paraId="1B508B50">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2.2</w:t>
      </w:r>
      <w:r>
        <w:rPr>
          <w:rFonts w:hint="eastAsia" w:ascii="宋体" w:hAnsi="宋体" w:eastAsia="宋体" w:cs="宋体"/>
          <w:snapToGrid/>
          <w:color w:val="auto"/>
          <w:kern w:val="2"/>
          <w:sz w:val="21"/>
          <w:szCs w:val="21"/>
          <w:highlight w:val="none"/>
          <w:lang w:val="en-US" w:eastAsia="zh-CN"/>
        </w:rPr>
        <w:t>缴</w:t>
      </w:r>
      <w:r>
        <w:rPr>
          <w:rFonts w:hint="eastAsia" w:ascii="宋体" w:hAnsi="宋体" w:eastAsia="宋体" w:cs="宋体"/>
          <w:snapToGrid/>
          <w:color w:val="auto"/>
          <w:kern w:val="2"/>
          <w:sz w:val="21"/>
          <w:szCs w:val="21"/>
          <w:highlight w:val="none"/>
        </w:rPr>
        <w:t>纳要求（银行保函/保证保险/担保公司担保/数字保函）：招标人接受投标保证金银行保函、电子保险保单、担保保函。投标人自行在电子招投标交易平台（</w:t>
      </w:r>
      <w:r>
        <w:rPr>
          <w:rFonts w:hint="eastAsia" w:ascii="宋体" w:hAnsi="宋体" w:eastAsia="宋体" w:cs="宋体"/>
          <w:snapToGrid/>
          <w:color w:val="auto"/>
          <w:kern w:val="2"/>
          <w:highlight w:val="none"/>
          <w:lang w:eastAsia="zh-CN"/>
        </w:rPr>
        <w:t>http://220.187.225.202:8088/TPBidder-ztk/memberlogin</w:t>
      </w:r>
      <w:r>
        <w:rPr>
          <w:rFonts w:hint="eastAsia" w:ascii="宋体" w:hAnsi="宋体" w:eastAsia="宋体" w:cs="宋体"/>
          <w:snapToGrid/>
          <w:color w:val="auto"/>
          <w:kern w:val="2"/>
          <w:sz w:val="21"/>
          <w:szCs w:val="21"/>
          <w:highlight w:val="none"/>
        </w:rPr>
        <w:t>）中自主选择办理。</w:t>
      </w:r>
    </w:p>
    <w:p w14:paraId="116347DF">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保函费用必须从投标人企业基本账户转出，并在投标保证金缴纳截止时间前办妥保函手续。</w:t>
      </w:r>
    </w:p>
    <w:p w14:paraId="10805C7D">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trike w:val="0"/>
          <w:dstrike w:val="0"/>
          <w:snapToGrid/>
          <w:color w:val="auto"/>
          <w:kern w:val="2"/>
          <w:sz w:val="21"/>
          <w:szCs w:val="21"/>
          <w:highlight w:val="none"/>
        </w:rPr>
      </w:pPr>
      <w:r>
        <w:rPr>
          <w:rFonts w:hint="eastAsia" w:ascii="宋体" w:hAnsi="宋体" w:eastAsia="宋体" w:cs="宋体"/>
          <w:strike w:val="0"/>
          <w:dstrike w:val="0"/>
          <w:snapToGrid/>
          <w:color w:val="auto"/>
          <w:kern w:val="2"/>
          <w:sz w:val="21"/>
          <w:szCs w:val="21"/>
          <w:highlight w:val="none"/>
          <w:lang w:eastAsia="zh-CN"/>
        </w:rPr>
        <w:t>□</w:t>
      </w:r>
      <w:r>
        <w:rPr>
          <w:rFonts w:hint="eastAsia" w:ascii="宋体" w:hAnsi="宋体" w:eastAsia="宋体" w:cs="宋体"/>
          <w:strike w:val="0"/>
          <w:dstrike w:val="0"/>
          <w:snapToGrid/>
          <w:color w:val="auto"/>
          <w:kern w:val="2"/>
          <w:sz w:val="21"/>
          <w:szCs w:val="21"/>
          <w:highlight w:val="none"/>
        </w:rPr>
        <w:t>2.</w:t>
      </w:r>
      <w:r>
        <w:rPr>
          <w:rFonts w:hint="eastAsia" w:ascii="宋体" w:hAnsi="宋体" w:eastAsia="宋体" w:cs="宋体"/>
          <w:strike w:val="0"/>
          <w:dstrike w:val="0"/>
          <w:snapToGrid/>
          <w:color w:val="auto"/>
          <w:kern w:val="2"/>
          <w:sz w:val="21"/>
          <w:szCs w:val="21"/>
          <w:highlight w:val="none"/>
          <w:lang w:val="en-US" w:eastAsia="zh-CN"/>
        </w:rPr>
        <w:t>3</w:t>
      </w:r>
      <w:r>
        <w:rPr>
          <w:rFonts w:hint="eastAsia" w:ascii="宋体" w:hAnsi="宋体" w:eastAsia="宋体" w:cs="宋体"/>
          <w:strike w:val="0"/>
          <w:dstrike w:val="0"/>
          <w:snapToGrid/>
          <w:color w:val="auto"/>
          <w:kern w:val="2"/>
          <w:sz w:val="21"/>
          <w:szCs w:val="21"/>
          <w:highlight w:val="none"/>
        </w:rPr>
        <w:t>本项目对</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u w:val="single"/>
          <w:lang w:val="en-US" w:eastAsia="zh-CN"/>
        </w:rPr>
        <w:t>/</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rPr>
        <w:t>行业信用评价结果最高等级的投标人免收投标保证金，须具备</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u w:val="single"/>
          <w:lang w:val="en-US" w:eastAsia="zh-CN"/>
        </w:rPr>
        <w:t>/</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rPr>
        <w:t>条件。</w:t>
      </w:r>
    </w:p>
    <w:p w14:paraId="5593AC40">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注：1.请各投标人在缴纳投标保证金前自行核对统一主体库内填写的基本账户信息，避免出现保证金缴纳后无法匹配的现象。</w:t>
      </w:r>
    </w:p>
    <w:p w14:paraId="585FDF28">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2.重新招标项目，参与投标的投标人仍需按上述规定要求重新递交投标保证金。</w:t>
      </w:r>
      <w:r>
        <w:rPr>
          <w:rFonts w:hint="eastAsia" w:ascii="宋体" w:hAnsi="宋体" w:eastAsia="宋体" w:cs="宋体"/>
          <w:strike w:val="0"/>
          <w:dstrike w:val="0"/>
          <w:snapToGrid/>
          <w:color w:val="auto"/>
          <w:kern w:val="2"/>
          <w:sz w:val="21"/>
          <w:szCs w:val="21"/>
          <w:highlight w:val="none"/>
        </w:rPr>
        <w:t>如联合体投标的，其投标保证金由牵头人递交。</w:t>
      </w:r>
    </w:p>
    <w:p w14:paraId="6CC88D21">
      <w:pPr>
        <w:keepNext w:val="0"/>
        <w:keepLines w:val="0"/>
        <w:pageBreakBefore w:val="0"/>
        <w:wordWrap/>
        <w:overflowPunct/>
        <w:topLinePunct w:val="0"/>
        <w:bidi w:val="0"/>
        <w:snapToGrid w:val="0"/>
        <w:spacing w:line="312" w:lineRule="auto"/>
        <w:ind w:left="50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五、投标文件递交</w:t>
      </w:r>
    </w:p>
    <w:p w14:paraId="5676E1CB">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1.投标文件递交截止时间</w:t>
      </w:r>
      <w:r>
        <w:rPr>
          <w:rFonts w:hint="eastAsia" w:ascii="宋体" w:hAnsi="宋体" w:eastAsia="宋体" w:cs="宋体"/>
          <w:b/>
          <w:bCs/>
          <w:color w:val="auto"/>
          <w:sz w:val="21"/>
          <w:szCs w:val="21"/>
          <w:highlight w:val="none"/>
          <w:u w:val="single"/>
          <w:lang w:val="en-US" w:eastAsia="zh-CN"/>
        </w:rPr>
        <w:t>2026</w:t>
      </w:r>
      <w:r>
        <w:rPr>
          <w:rFonts w:hint="eastAsia" w:ascii="宋体" w:hAnsi="宋体" w:eastAsia="宋体" w:cs="宋体"/>
          <w:color w:val="auto"/>
          <w:sz w:val="21"/>
          <w:szCs w:val="21"/>
          <w:highlight w:val="none"/>
        </w:rPr>
        <w:t>年</w:t>
      </w:r>
      <w:r>
        <w:rPr>
          <w:rFonts w:hint="eastAsia" w:ascii="宋体" w:hAnsi="宋体" w:eastAsia="宋体" w:cs="宋体"/>
          <w:b/>
          <w:bCs/>
          <w:color w:val="auto"/>
          <w:sz w:val="21"/>
          <w:szCs w:val="21"/>
          <w:highlight w:val="none"/>
          <w:u w:val="single"/>
          <w:lang w:val="en-US" w:eastAsia="zh-CN"/>
        </w:rPr>
        <w:t>9</w:t>
      </w:r>
      <w:r>
        <w:rPr>
          <w:rFonts w:hint="eastAsia" w:ascii="宋体" w:hAnsi="宋体" w:eastAsia="宋体" w:cs="宋体"/>
          <w:color w:val="auto"/>
          <w:sz w:val="21"/>
          <w:szCs w:val="21"/>
          <w:highlight w:val="none"/>
        </w:rPr>
        <w:t>月</w:t>
      </w:r>
      <w:r>
        <w:rPr>
          <w:rFonts w:hint="eastAsia" w:ascii="宋体" w:hAnsi="宋体" w:eastAsia="宋体" w:cs="宋体"/>
          <w:b/>
          <w:bCs/>
          <w:color w:val="auto"/>
          <w:sz w:val="21"/>
          <w:szCs w:val="21"/>
          <w:highlight w:val="none"/>
          <w:u w:val="single"/>
          <w:lang w:val="en-US" w:eastAsia="zh-CN"/>
        </w:rPr>
        <w:t>9</w:t>
      </w:r>
      <w:r>
        <w:rPr>
          <w:rFonts w:hint="eastAsia" w:ascii="宋体" w:hAnsi="宋体" w:eastAsia="宋体" w:cs="宋体"/>
          <w:color w:val="auto"/>
          <w:sz w:val="21"/>
          <w:szCs w:val="21"/>
          <w:highlight w:val="none"/>
        </w:rPr>
        <w:t>日</w:t>
      </w:r>
      <w:r>
        <w:rPr>
          <w:rFonts w:hint="eastAsia" w:ascii="宋体" w:hAnsi="宋体" w:eastAsia="宋体" w:cs="宋体"/>
          <w:b/>
          <w:bCs/>
          <w:color w:val="auto"/>
          <w:sz w:val="21"/>
          <w:szCs w:val="21"/>
          <w:highlight w:val="none"/>
          <w:u w:val="single"/>
          <w:lang w:val="en-US" w:eastAsia="zh-CN"/>
        </w:rPr>
        <w:t>14</w:t>
      </w:r>
      <w:r>
        <w:rPr>
          <w:rFonts w:hint="eastAsia" w:ascii="宋体" w:hAnsi="宋体" w:eastAsia="宋体" w:cs="宋体"/>
          <w:color w:val="auto"/>
          <w:sz w:val="21"/>
          <w:szCs w:val="21"/>
          <w:highlight w:val="none"/>
        </w:rPr>
        <w:t>时</w:t>
      </w:r>
      <w:r>
        <w:rPr>
          <w:rFonts w:hint="eastAsia" w:ascii="宋体" w:hAnsi="宋体" w:eastAsia="宋体" w:cs="宋体"/>
          <w:b/>
          <w:bCs/>
          <w:color w:val="auto"/>
          <w:sz w:val="21"/>
          <w:szCs w:val="21"/>
          <w:highlight w:val="none"/>
          <w:u w:val="single"/>
          <w:lang w:val="en-US" w:eastAsia="zh-CN"/>
        </w:rPr>
        <w:t>30</w:t>
      </w:r>
      <w:r>
        <w:rPr>
          <w:rFonts w:hint="eastAsia" w:ascii="宋体" w:hAnsi="宋体" w:eastAsia="宋体" w:cs="宋体"/>
          <w:color w:val="auto"/>
          <w:sz w:val="21"/>
          <w:szCs w:val="21"/>
          <w:highlight w:val="none"/>
        </w:rPr>
        <w:t>分；</w:t>
      </w:r>
    </w:p>
    <w:p w14:paraId="100E7118">
      <w:pPr>
        <w:pStyle w:val="9"/>
        <w:keepNext w:val="0"/>
        <w:keepLines w:val="0"/>
        <w:pageBreakBefore w:val="0"/>
        <w:wordWrap/>
        <w:overflowPunct/>
        <w:topLinePunct w:val="0"/>
        <w:bidi w:val="0"/>
        <w:snapToGrid w:val="0"/>
        <w:spacing w:after="0" w:line="312" w:lineRule="auto"/>
        <w:ind w:left="0" w:firstLine="424" w:firstLineChars="202"/>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2.投标文件递交方式：</w:t>
      </w:r>
    </w:p>
    <w:p w14:paraId="5A15DE83">
      <w:pPr>
        <w:pStyle w:val="9"/>
        <w:keepNext w:val="0"/>
        <w:keepLines w:val="0"/>
        <w:pageBreakBefore w:val="0"/>
        <w:wordWrap/>
        <w:overflowPunct/>
        <w:topLinePunct w:val="0"/>
        <w:bidi w:val="0"/>
        <w:snapToGrid w:val="0"/>
        <w:spacing w:after="0" w:line="312" w:lineRule="auto"/>
        <w:ind w:left="0"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2.1电子招标投标交易平台：</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绍兴市公共资源交易中心电子招投标交易平台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05E81F">
      <w:pPr>
        <w:pStyle w:val="9"/>
        <w:keepNext w:val="0"/>
        <w:keepLines w:val="0"/>
        <w:pageBreakBefore w:val="0"/>
        <w:wordWrap/>
        <w:overflowPunct/>
        <w:topLinePunct w:val="0"/>
        <w:bidi w:val="0"/>
        <w:snapToGrid w:val="0"/>
        <w:spacing w:after="0" w:line="312" w:lineRule="auto"/>
        <w:ind w:left="0" w:firstLine="424" w:firstLineChars="202"/>
        <w:rPr>
          <w:rFonts w:hint="eastAsia" w:ascii="宋体" w:hAnsi="宋体" w:eastAsia="宋体" w:cs="宋体"/>
          <w:strike w:val="0"/>
          <w:color w:val="auto"/>
          <w:sz w:val="21"/>
          <w:szCs w:val="21"/>
          <w:highlight w:val="none"/>
        </w:rPr>
      </w:pPr>
      <w:r>
        <w:rPr>
          <w:rFonts w:hint="eastAsia" w:ascii="宋体" w:hAnsi="宋体" w:cs="宋体"/>
          <w:strike w:val="0"/>
          <w:color w:val="auto"/>
          <w:sz w:val="21"/>
          <w:szCs w:val="21"/>
          <w:highlight w:val="none"/>
          <w:lang w:eastAsia="zh-CN"/>
        </w:rPr>
        <w:t>□</w:t>
      </w:r>
      <w:r>
        <w:rPr>
          <w:rFonts w:hint="eastAsia" w:ascii="宋体" w:hAnsi="宋体" w:eastAsia="宋体" w:cs="宋体"/>
          <w:strike w:val="0"/>
          <w:color w:val="auto"/>
          <w:sz w:val="21"/>
          <w:szCs w:val="21"/>
          <w:highlight w:val="none"/>
        </w:rPr>
        <w:t>2.2纸质标书递交，地点为：绍兴市公共资源交易中心指定的开标室</w:t>
      </w:r>
      <w:r>
        <w:rPr>
          <w:rFonts w:hint="eastAsia" w:ascii="宋体" w:hAnsi="宋体" w:eastAsia="宋体" w:cs="宋体"/>
          <w:strike w:val="0"/>
          <w:color w:val="auto"/>
          <w:sz w:val="21"/>
          <w:szCs w:val="21"/>
          <w:highlight w:val="none"/>
          <w:lang w:eastAsia="zh-CN"/>
        </w:rPr>
        <w:t>（</w:t>
      </w:r>
      <w:r>
        <w:rPr>
          <w:rFonts w:hint="eastAsia" w:ascii="宋体" w:hAnsi="宋体" w:eastAsia="宋体" w:cs="宋体"/>
          <w:b/>
          <w:bCs/>
          <w:strike w:val="0"/>
          <w:color w:val="auto"/>
          <w:sz w:val="21"/>
          <w:szCs w:val="21"/>
          <w:highlight w:val="none"/>
        </w:rPr>
        <w:t>绍兴市越城区洋江西路 699 号梅山春晓</w:t>
      </w:r>
      <w:r>
        <w:rPr>
          <w:rFonts w:hint="eastAsia" w:ascii="宋体" w:hAnsi="宋体" w:eastAsia="宋体" w:cs="宋体"/>
          <w:strike w:val="0"/>
          <w:color w:val="auto"/>
          <w:sz w:val="21"/>
          <w:szCs w:val="21"/>
          <w:highlight w:val="none"/>
          <w:lang w:eastAsia="zh-CN"/>
        </w:rPr>
        <w:t>）</w:t>
      </w:r>
      <w:r>
        <w:rPr>
          <w:rFonts w:hint="eastAsia" w:ascii="宋体" w:hAnsi="宋体" w:eastAsia="宋体" w:cs="宋体"/>
          <w:strike w:val="0"/>
          <w:color w:val="auto"/>
          <w:sz w:val="21"/>
          <w:szCs w:val="21"/>
          <w:highlight w:val="none"/>
        </w:rPr>
        <w:t>。</w:t>
      </w:r>
    </w:p>
    <w:p w14:paraId="0EA03E89">
      <w:pPr>
        <w:keepNext w:val="0"/>
        <w:keepLines w:val="0"/>
        <w:pageBreakBefore w:val="0"/>
        <w:wordWrap/>
        <w:overflowPunct/>
        <w:topLinePunct w:val="0"/>
        <w:bidi w:val="0"/>
        <w:snapToGrid w:val="0"/>
        <w:spacing w:line="312" w:lineRule="auto"/>
        <w:ind w:firstLine="485"/>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w:t>
      </w: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招标文件要求递交的</w:t>
      </w:r>
      <w:r>
        <w:rPr>
          <w:rFonts w:hint="eastAsia" w:ascii="宋体" w:hAnsi="宋体" w:eastAsia="宋体" w:cs="宋体"/>
          <w:strike w:val="0"/>
          <w:dstrike w:val="0"/>
          <w:color w:val="auto"/>
          <w:sz w:val="21"/>
          <w:szCs w:val="21"/>
          <w:highlight w:val="none"/>
          <w:lang w:val="en-US" w:eastAsia="zh-CN"/>
        </w:rPr>
        <w:t>U盘、</w:t>
      </w:r>
      <w:r>
        <w:rPr>
          <w:rFonts w:hint="eastAsia" w:ascii="宋体" w:hAnsi="宋体" w:eastAsia="宋体" w:cs="宋体"/>
          <w:strike w:val="0"/>
          <w:dstrike w:val="0"/>
          <w:color w:val="auto"/>
          <w:sz w:val="21"/>
          <w:szCs w:val="21"/>
          <w:highlight w:val="none"/>
        </w:rPr>
        <w:t>光盘、样品等材料，投标人应在投标截止时间前递交至</w:t>
      </w:r>
      <w:r>
        <w:rPr>
          <w:rFonts w:hint="eastAsia" w:ascii="宋体" w:hAnsi="宋体" w:eastAsia="宋体" w:cs="宋体"/>
          <w:b/>
          <w:bCs/>
          <w:strike w:val="0"/>
          <w:color w:val="auto"/>
          <w:sz w:val="21"/>
          <w:szCs w:val="21"/>
          <w:highlight w:val="none"/>
          <w:u w:val="single"/>
        </w:rPr>
        <w:t>绍兴市公共资源交易中心指定的开标室</w:t>
      </w:r>
      <w:r>
        <w:rPr>
          <w:rFonts w:hint="eastAsia" w:ascii="宋体" w:hAnsi="宋体" w:eastAsia="宋体" w:cs="宋体"/>
          <w:b/>
          <w:bCs/>
          <w:strike w:val="0"/>
          <w:color w:val="auto"/>
          <w:sz w:val="21"/>
          <w:szCs w:val="21"/>
          <w:highlight w:val="none"/>
          <w:u w:val="single"/>
          <w:lang w:eastAsia="zh-CN"/>
        </w:rPr>
        <w:t>（</w:t>
      </w:r>
      <w:r>
        <w:rPr>
          <w:rFonts w:hint="eastAsia" w:ascii="宋体" w:hAnsi="宋体" w:eastAsia="宋体" w:cs="宋体"/>
          <w:b/>
          <w:bCs/>
          <w:strike w:val="0"/>
          <w:color w:val="auto"/>
          <w:sz w:val="21"/>
          <w:szCs w:val="21"/>
          <w:highlight w:val="none"/>
          <w:u w:val="single"/>
        </w:rPr>
        <w:t>绍兴市越城区洋江西路 699 号梅山春晓</w:t>
      </w:r>
      <w:r>
        <w:rPr>
          <w:rFonts w:hint="eastAsia" w:ascii="宋体" w:hAnsi="宋体" w:eastAsia="宋体" w:cs="宋体"/>
          <w:b/>
          <w:bCs/>
          <w:strike w:val="0"/>
          <w:color w:val="auto"/>
          <w:sz w:val="21"/>
          <w:szCs w:val="21"/>
          <w:highlight w:val="none"/>
          <w:u w:val="single"/>
          <w:lang w:eastAsia="zh-CN"/>
        </w:rPr>
        <w:t>）</w:t>
      </w:r>
      <w:r>
        <w:rPr>
          <w:rFonts w:hint="eastAsia" w:ascii="宋体" w:hAnsi="宋体" w:eastAsia="宋体" w:cs="宋体"/>
          <w:strike w:val="0"/>
          <w:dstrike w:val="0"/>
          <w:color w:val="auto"/>
          <w:sz w:val="21"/>
          <w:szCs w:val="21"/>
          <w:highlight w:val="none"/>
        </w:rPr>
        <w:t>。递交</w:t>
      </w:r>
      <w:r>
        <w:rPr>
          <w:rFonts w:hint="eastAsia" w:ascii="宋体" w:hAnsi="宋体" w:eastAsia="宋体" w:cs="宋体"/>
          <w:strike w:val="0"/>
          <w:dstrike w:val="0"/>
          <w:color w:val="auto"/>
          <w:sz w:val="21"/>
          <w:szCs w:val="21"/>
          <w:highlight w:val="none"/>
          <w:lang w:val="en-US" w:eastAsia="zh-CN"/>
        </w:rPr>
        <w:t>U盘、</w:t>
      </w:r>
      <w:r>
        <w:rPr>
          <w:rFonts w:hint="eastAsia" w:ascii="宋体" w:hAnsi="宋体" w:eastAsia="宋体" w:cs="宋体"/>
          <w:strike w:val="0"/>
          <w:dstrike w:val="0"/>
          <w:color w:val="auto"/>
          <w:sz w:val="21"/>
          <w:szCs w:val="21"/>
          <w:highlight w:val="none"/>
        </w:rPr>
        <w:t>光盘、样品等材料时应同时携带递交人法定代表人授权委托书及身份证原件(法定代表人递交的仅需提供身份证原件)。</w:t>
      </w:r>
    </w:p>
    <w:p w14:paraId="166A2CE5">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六、发布公告的媒介</w:t>
      </w:r>
    </w:p>
    <w:p w14:paraId="43C2EBF0">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本次招标公告同时在</w:t>
      </w:r>
      <w:r>
        <w:rPr>
          <w:rFonts w:hint="eastAsia" w:ascii="宋体" w:hAnsi="宋体" w:eastAsia="宋体" w:cs="宋体"/>
          <w:color w:val="auto"/>
          <w:sz w:val="21"/>
          <w:szCs w:val="21"/>
          <w:highlight w:val="none"/>
          <w:u w:val="single"/>
        </w:rPr>
        <w:t>浙江省公共资源交易服务平台、绍兴市公共资源交易网</w:t>
      </w:r>
      <w:r>
        <w:rPr>
          <w:rFonts w:hint="eastAsia" w:ascii="宋体" w:hAnsi="宋体" w:eastAsia="宋体" w:cs="宋体"/>
          <w:color w:val="auto"/>
          <w:sz w:val="21"/>
          <w:szCs w:val="21"/>
          <w:highlight w:val="none"/>
        </w:rPr>
        <w:t>上发布。</w:t>
      </w:r>
    </w:p>
    <w:p w14:paraId="697E2E3F">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七、监管机构：</w:t>
      </w:r>
      <w:r>
        <w:rPr>
          <w:rFonts w:hint="eastAsia" w:ascii="宋体" w:hAnsi="宋体" w:eastAsia="宋体" w:cs="宋体"/>
          <w:b/>
          <w:bCs/>
          <w:color w:val="auto"/>
          <w:sz w:val="21"/>
          <w:szCs w:val="21"/>
          <w:highlight w:val="none"/>
          <w:u w:val="single"/>
          <w:lang w:eastAsia="zh-CN"/>
        </w:rPr>
        <w:t>绍兴市住房和城乡建设局</w:t>
      </w:r>
    </w:p>
    <w:p w14:paraId="687A927D">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八、联系方式</w:t>
      </w:r>
    </w:p>
    <w:p w14:paraId="29EA76EA">
      <w:pPr>
        <w:keepNext w:val="0"/>
        <w:keepLines w:val="0"/>
        <w:pageBreakBefore w:val="0"/>
        <w:wordWrap/>
        <w:overflowPunct/>
        <w:topLinePunct w:val="0"/>
        <w:bidi w:val="0"/>
        <w:snapToGrid w:val="0"/>
        <w:spacing w:line="312" w:lineRule="auto"/>
        <w:ind w:left="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代建单位：</w:t>
      </w:r>
      <w:r>
        <w:rPr>
          <w:rFonts w:hint="eastAsia" w:ascii="宋体" w:hAnsi="宋体" w:eastAsia="宋体" w:cs="宋体"/>
          <w:b/>
          <w:bCs/>
          <w:color w:val="auto"/>
          <w:sz w:val="21"/>
          <w:szCs w:val="21"/>
          <w:highlight w:val="none"/>
          <w:u w:val="single"/>
          <w:lang w:eastAsia="zh-CN"/>
        </w:rPr>
        <w:t>绍兴市城</w:t>
      </w:r>
      <w:r>
        <w:rPr>
          <w:rFonts w:hint="eastAsia" w:ascii="宋体" w:hAnsi="宋体" w:eastAsia="宋体" w:cs="宋体"/>
          <w:b/>
          <w:bCs/>
          <w:color w:val="auto"/>
          <w:sz w:val="21"/>
          <w:szCs w:val="21"/>
          <w:highlight w:val="none"/>
          <w:u w:val="single"/>
          <w:lang w:val="en-US" w:eastAsia="zh-CN"/>
        </w:rPr>
        <w:t>发</w:t>
      </w:r>
      <w:r>
        <w:rPr>
          <w:rFonts w:hint="eastAsia" w:ascii="宋体" w:hAnsi="宋体" w:eastAsia="宋体" w:cs="宋体"/>
          <w:b/>
          <w:bCs/>
          <w:color w:val="auto"/>
          <w:sz w:val="21"/>
          <w:szCs w:val="21"/>
          <w:highlight w:val="none"/>
          <w:u w:val="single"/>
          <w:lang w:eastAsia="zh-CN"/>
        </w:rPr>
        <w:t>建设有限公司</w:t>
      </w:r>
    </w:p>
    <w:p w14:paraId="18F787F6">
      <w:pPr>
        <w:keepNext w:val="0"/>
        <w:keepLines w:val="0"/>
        <w:pageBreakBefore w:val="0"/>
        <w:widowControl/>
        <w:kinsoku w:val="0"/>
        <w:wordWrap/>
        <w:overflowPunct/>
        <w:topLinePunct w:val="0"/>
        <w:autoSpaceDE w:val="0"/>
        <w:autoSpaceDN w:val="0"/>
        <w:bidi w:val="0"/>
        <w:adjustRightInd w:val="0"/>
        <w:snapToGrid w:val="0"/>
        <w:spacing w:line="312" w:lineRule="auto"/>
        <w:ind w:left="482"/>
        <w:jc w:val="both"/>
        <w:textAlignment w:val="baseline"/>
        <w:rPr>
          <w:rFonts w:hint="eastAsia" w:ascii="宋体" w:hAnsi="宋体" w:eastAsia="宋体" w:cs="宋体"/>
          <w:b/>
          <w:bCs/>
          <w:color w:val="auto"/>
          <w:spacing w:val="-20"/>
          <w:sz w:val="21"/>
          <w:szCs w:val="21"/>
          <w:highlight w:val="none"/>
          <w:u w:val="single"/>
          <w:lang w:eastAsia="zh-CN"/>
        </w:rPr>
      </w:pPr>
      <w:r>
        <w:rPr>
          <w:rFonts w:hint="eastAsia" w:ascii="宋体" w:hAnsi="宋体" w:eastAsia="宋体" w:cs="宋体"/>
          <w:color w:val="auto"/>
          <w:sz w:val="21"/>
          <w:szCs w:val="21"/>
          <w:highlight w:val="none"/>
        </w:rPr>
        <w:t>招标人：</w:t>
      </w:r>
      <w:r>
        <w:rPr>
          <w:rFonts w:hint="eastAsia" w:ascii="宋体" w:hAnsi="宋体" w:eastAsia="宋体" w:cs="宋体"/>
          <w:b/>
          <w:bCs/>
          <w:color w:val="auto"/>
          <w:sz w:val="21"/>
          <w:szCs w:val="21"/>
          <w:highlight w:val="none"/>
          <w:u w:val="single"/>
          <w:lang w:eastAsia="zh-CN"/>
        </w:rPr>
        <w:t>绍兴市第七人民医院</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招标代理机构：</w:t>
      </w:r>
      <w:r>
        <w:rPr>
          <w:rFonts w:hint="eastAsia" w:ascii="宋体" w:hAnsi="宋体" w:eastAsia="宋体" w:cs="宋体"/>
          <w:b/>
          <w:bCs/>
          <w:color w:val="auto"/>
          <w:spacing w:val="-20"/>
          <w:sz w:val="21"/>
          <w:szCs w:val="21"/>
          <w:highlight w:val="none"/>
          <w:u w:val="single"/>
          <w:lang w:eastAsia="zh-CN"/>
        </w:rPr>
        <w:t>华汇工程设计集团股份有限公司</w:t>
      </w:r>
    </w:p>
    <w:p w14:paraId="75F606A5">
      <w:pPr>
        <w:keepNext w:val="0"/>
        <w:keepLines w:val="0"/>
        <w:pageBreakBefore w:val="0"/>
        <w:wordWrap/>
        <w:overflowPunct/>
        <w:topLinePunct w:val="0"/>
        <w:bidi w:val="0"/>
        <w:snapToGrid w:val="0"/>
        <w:spacing w:line="312" w:lineRule="auto"/>
        <w:ind w:left="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b/>
          <w:bCs/>
          <w:color w:val="auto"/>
          <w:sz w:val="21"/>
          <w:szCs w:val="21"/>
          <w:highlight w:val="none"/>
          <w:u w:val="single"/>
          <w:lang w:eastAsia="zh-CN"/>
        </w:rPr>
        <w:t xml:space="preserve">戴潇洋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联   系   人：</w:t>
      </w:r>
      <w:r>
        <w:rPr>
          <w:rFonts w:hint="eastAsia" w:ascii="宋体" w:hAnsi="宋体" w:eastAsia="宋体" w:cs="宋体"/>
          <w:b/>
          <w:bCs/>
          <w:color w:val="auto"/>
          <w:sz w:val="21"/>
          <w:szCs w:val="21"/>
          <w:highlight w:val="none"/>
          <w:u w:val="single"/>
          <w:lang w:val="en-US" w:eastAsia="zh-CN"/>
        </w:rPr>
        <w:t>韩钦</w:t>
      </w:r>
      <w:r>
        <w:rPr>
          <w:rFonts w:hint="eastAsia" w:ascii="宋体" w:hAnsi="宋体" w:eastAsia="宋体" w:cs="宋体"/>
          <w:b/>
          <w:bCs/>
          <w:color w:val="auto"/>
          <w:sz w:val="21"/>
          <w:szCs w:val="21"/>
          <w:highlight w:val="none"/>
          <w:u w:val="single"/>
          <w:lang w:eastAsia="zh-CN"/>
        </w:rPr>
        <w:t xml:space="preserve">  </w:t>
      </w:r>
      <w:r>
        <w:rPr>
          <w:rFonts w:hint="eastAsia" w:ascii="宋体" w:hAnsi="宋体" w:eastAsia="宋体" w:cs="宋体"/>
          <w:color w:val="auto"/>
          <w:sz w:val="21"/>
          <w:szCs w:val="21"/>
          <w:highlight w:val="none"/>
        </w:rPr>
        <w:t xml:space="preserve">   </w:t>
      </w:r>
    </w:p>
    <w:p w14:paraId="5D5CED8F">
      <w:pPr>
        <w:keepNext w:val="0"/>
        <w:keepLines w:val="0"/>
        <w:pageBreakBefore w:val="0"/>
        <w:wordWrap/>
        <w:overflowPunct/>
        <w:topLinePunct w:val="0"/>
        <w:bidi w:val="0"/>
        <w:snapToGrid w:val="0"/>
        <w:spacing w:line="312" w:lineRule="auto"/>
        <w:ind w:left="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b/>
          <w:bCs/>
          <w:color w:val="auto"/>
          <w:sz w:val="21"/>
          <w:szCs w:val="21"/>
          <w:highlight w:val="none"/>
          <w:u w:val="single"/>
          <w:lang w:eastAsia="zh-CN"/>
        </w:rPr>
        <w:t>0575-85397725</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u w:val="single"/>
          <w:lang w:val="en-US" w:eastAsia="zh-CN"/>
        </w:rPr>
        <w:t xml:space="preserve"> 15785860983  </w:t>
      </w:r>
      <w:r>
        <w:rPr>
          <w:rFonts w:hint="eastAsia" w:ascii="宋体" w:hAnsi="宋体" w:eastAsia="宋体" w:cs="宋体"/>
          <w:color w:val="auto"/>
          <w:sz w:val="21"/>
          <w:szCs w:val="21"/>
          <w:highlight w:val="none"/>
        </w:rPr>
        <w:t xml:space="preserve">  </w:t>
      </w:r>
    </w:p>
    <w:p w14:paraId="0FEB5F30">
      <w:pPr>
        <w:keepNext w:val="0"/>
        <w:keepLines w:val="0"/>
        <w:pageBreakBefore w:val="0"/>
        <w:wordWrap/>
        <w:overflowPunct/>
        <w:topLinePunct w:val="0"/>
        <w:bidi w:val="0"/>
        <w:snapToGrid w:val="0"/>
        <w:spacing w:line="312" w:lineRule="auto"/>
        <w:ind w:left="483"/>
        <w:jc w:val="both"/>
        <w:rPr>
          <w:rFonts w:hint="eastAsia" w:ascii="宋体" w:hAnsi="宋体" w:eastAsia="宋体" w:cs="宋体"/>
          <w:b/>
          <w:bCs/>
          <w:color w:val="auto"/>
          <w:sz w:val="21"/>
          <w:szCs w:val="21"/>
          <w:highlight w:val="none"/>
          <w:u w:val="single"/>
          <w:lang w:eastAsia="zh-CN"/>
        </w:rPr>
      </w:pPr>
      <w:r>
        <w:rPr>
          <w:rFonts w:hint="eastAsia" w:ascii="宋体" w:hAnsi="宋体" w:eastAsia="宋体" w:cs="宋体"/>
          <w:color w:val="auto"/>
          <w:sz w:val="21"/>
          <w:szCs w:val="21"/>
          <w:highlight w:val="none"/>
        </w:rPr>
        <w:t>地  址：</w:t>
      </w:r>
      <w:r>
        <w:rPr>
          <w:rFonts w:hint="eastAsia" w:ascii="宋体" w:hAnsi="宋体" w:eastAsia="宋体" w:cs="宋体"/>
          <w:b/>
          <w:bCs/>
          <w:color w:val="auto"/>
          <w:spacing w:val="-20"/>
          <w:sz w:val="21"/>
          <w:szCs w:val="21"/>
          <w:highlight w:val="none"/>
          <w:u w:val="single"/>
          <w:lang w:eastAsia="zh-CN"/>
        </w:rPr>
        <w:t>绍兴市越城区胜利西路1234号</w:t>
      </w:r>
      <w:r>
        <w:rPr>
          <w:rFonts w:hint="eastAsia" w:ascii="宋体" w:hAnsi="宋体" w:eastAsia="宋体" w:cs="宋体"/>
          <w:b/>
          <w:bCs/>
          <w:color w:val="auto"/>
          <w:spacing w:val="-20"/>
          <w:sz w:val="21"/>
          <w:szCs w:val="21"/>
          <w:highlight w:val="none"/>
          <w:u w:val="single"/>
          <w:lang w:val="en-US" w:eastAsia="zh-CN"/>
        </w:rPr>
        <w:t xml:space="preserve">   </w:t>
      </w:r>
      <w:r>
        <w:rPr>
          <w:rFonts w:hint="eastAsia" w:ascii="宋体" w:hAnsi="宋体" w:eastAsia="宋体" w:cs="宋体"/>
          <w:color w:val="auto"/>
          <w:sz w:val="21"/>
          <w:szCs w:val="21"/>
          <w:highlight w:val="none"/>
        </w:rPr>
        <w:t>地 址：</w:t>
      </w:r>
      <w:r>
        <w:rPr>
          <w:rFonts w:hint="eastAsia" w:ascii="宋体" w:hAnsi="宋体" w:eastAsia="宋体" w:cs="宋体"/>
          <w:b/>
          <w:bCs/>
          <w:color w:val="auto"/>
          <w:sz w:val="21"/>
          <w:szCs w:val="21"/>
          <w:highlight w:val="none"/>
          <w:u w:val="single"/>
          <w:lang w:eastAsia="zh-CN"/>
        </w:rPr>
        <w:t>绍兴市解放大道177号21层</w:t>
      </w:r>
    </w:p>
    <w:p w14:paraId="094641FD">
      <w:pPr>
        <w:keepNext w:val="0"/>
        <w:keepLines w:val="0"/>
        <w:pageBreakBefore w:val="0"/>
        <w:wordWrap/>
        <w:overflowPunct/>
        <w:topLinePunct w:val="0"/>
        <w:bidi w:val="0"/>
        <w:snapToGrid w:val="0"/>
        <w:spacing w:line="312" w:lineRule="auto"/>
        <w:ind w:left="483"/>
        <w:jc w:val="both"/>
        <w:rPr>
          <w:rFonts w:hint="eastAsia" w:ascii="宋体" w:hAnsi="宋体" w:eastAsia="宋体" w:cs="宋体"/>
          <w:color w:val="auto"/>
          <w:sz w:val="21"/>
          <w:szCs w:val="21"/>
          <w:highlight w:val="none"/>
        </w:rPr>
      </w:pPr>
    </w:p>
    <w:p w14:paraId="64281A6F">
      <w:pPr>
        <w:keepNext w:val="0"/>
        <w:keepLines w:val="0"/>
        <w:pageBreakBefore w:val="0"/>
        <w:tabs>
          <w:tab w:val="left" w:pos="6089"/>
        </w:tabs>
        <w:wordWrap/>
        <w:overflowPunct/>
        <w:topLinePunct w:val="0"/>
        <w:bidi w:val="0"/>
        <w:snapToGrid w:val="0"/>
        <w:spacing w:line="312" w:lineRule="auto"/>
        <w:ind w:left="559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8</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17</w:t>
      </w:r>
      <w:r>
        <w:rPr>
          <w:rFonts w:hint="eastAsia" w:ascii="宋体" w:hAnsi="宋体" w:eastAsia="宋体" w:cs="宋体"/>
          <w:color w:val="auto"/>
          <w:sz w:val="21"/>
          <w:szCs w:val="21"/>
          <w:highlight w:val="none"/>
        </w:rPr>
        <w:t>日</w:t>
      </w:r>
    </w:p>
    <w:p w14:paraId="44C0F105">
      <w:pPr>
        <w:keepNext w:val="0"/>
        <w:keepLines w:val="0"/>
        <w:pageBreakBefore w:val="0"/>
        <w:wordWrap/>
        <w:overflowPunct/>
        <w:topLinePunct w:val="0"/>
        <w:bidi w:val="0"/>
        <w:snapToGrid w:val="0"/>
        <w:spacing w:line="312" w:lineRule="auto"/>
        <w:jc w:val="both"/>
        <w:rPr>
          <w:rFonts w:hint="eastAsia" w:ascii="宋体" w:hAnsi="宋体" w:eastAsia="宋体" w:cs="宋体"/>
          <w:color w:val="auto"/>
          <w:sz w:val="21"/>
          <w:szCs w:val="21"/>
          <w:highlight w:val="none"/>
        </w:rPr>
      </w:pPr>
    </w:p>
    <w:p w14:paraId="59E37323">
      <w:pPr>
        <w:spacing w:line="265" w:lineRule="auto"/>
        <w:jc w:val="both"/>
        <w:rPr>
          <w:rFonts w:hint="eastAsia" w:ascii="宋体" w:hAnsi="宋体" w:eastAsia="宋体" w:cs="宋体"/>
          <w:color w:val="auto"/>
          <w:sz w:val="24"/>
          <w:szCs w:val="24"/>
          <w:highlight w:val="none"/>
        </w:rPr>
      </w:pPr>
    </w:p>
    <w:p w14:paraId="71905622">
      <w:pPr>
        <w:jc w:val="both"/>
        <w:rPr>
          <w:rFonts w:hint="eastAsia" w:ascii="宋体" w:hAnsi="宋体" w:eastAsia="宋体" w:cs="宋体"/>
          <w:color w:val="auto"/>
          <w:sz w:val="24"/>
          <w:szCs w:val="24"/>
          <w:highlight w:val="none"/>
        </w:rPr>
        <w:sectPr>
          <w:footerReference r:id="rId4" w:type="default"/>
          <w:pgSz w:w="11906" w:h="16839"/>
          <w:pgMar w:top="1418" w:right="1559" w:bottom="1418" w:left="1474" w:header="0" w:footer="1032" w:gutter="0"/>
          <w:pgNumType w:start="1"/>
          <w:cols w:space="720" w:num="1"/>
        </w:sectPr>
      </w:pPr>
    </w:p>
    <w:p w14:paraId="4EB5C567">
      <w:pPr>
        <w:spacing w:before="318" w:line="225" w:lineRule="auto"/>
        <w:ind w:left="3604"/>
        <w:jc w:val="both"/>
        <w:outlineLvl w:val="0"/>
        <w:rPr>
          <w:rFonts w:hint="eastAsia" w:ascii="宋体" w:hAnsi="宋体" w:eastAsia="宋体" w:cs="宋体"/>
          <w:color w:val="auto"/>
          <w:sz w:val="31"/>
          <w:szCs w:val="31"/>
          <w:highlight w:val="none"/>
        </w:rPr>
      </w:pPr>
      <w:bookmarkStart w:id="1" w:name="_bookmark2"/>
      <w:bookmarkEnd w:id="1"/>
      <w:r>
        <w:rPr>
          <w:rFonts w:hint="eastAsia" w:ascii="宋体" w:hAnsi="宋体" w:eastAsia="宋体" w:cs="宋体"/>
          <w:color w:val="auto"/>
          <w:sz w:val="31"/>
          <w:szCs w:val="31"/>
          <w:highlight w:val="none"/>
        </w:rPr>
        <w:t>第二章投标人须知</w:t>
      </w:r>
    </w:p>
    <w:p w14:paraId="15BED93A">
      <w:pPr>
        <w:spacing w:before="236" w:line="220" w:lineRule="auto"/>
        <w:ind w:left="3329"/>
        <w:jc w:val="both"/>
        <w:outlineLvl w:val="1"/>
        <w:rPr>
          <w:rFonts w:hint="eastAsia" w:ascii="宋体" w:hAnsi="宋体" w:eastAsia="宋体" w:cs="宋体"/>
          <w:color w:val="auto"/>
          <w:sz w:val="28"/>
          <w:szCs w:val="28"/>
          <w:highlight w:val="none"/>
        </w:rPr>
      </w:pPr>
      <w:bookmarkStart w:id="2" w:name="_bookmark3"/>
      <w:bookmarkEnd w:id="2"/>
      <w:r>
        <w:rPr>
          <w:rFonts w:hint="eastAsia" w:ascii="宋体" w:hAnsi="宋体" w:eastAsia="宋体" w:cs="宋体"/>
          <w:color w:val="auto"/>
          <w:sz w:val="28"/>
          <w:szCs w:val="28"/>
          <w:highlight w:val="none"/>
        </w:rPr>
        <w:t>第一节投标人须知前附表</w:t>
      </w:r>
    </w:p>
    <w:p w14:paraId="5F092614">
      <w:pPr>
        <w:spacing w:line="170" w:lineRule="exact"/>
        <w:jc w:val="both"/>
        <w:rPr>
          <w:rFonts w:hint="eastAsia" w:ascii="宋体" w:hAnsi="宋体" w:eastAsia="宋体" w:cs="宋体"/>
          <w:color w:val="auto"/>
          <w:highlight w:val="none"/>
        </w:rPr>
      </w:pPr>
    </w:p>
    <w:tbl>
      <w:tblPr>
        <w:tblStyle w:val="53"/>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1"/>
        <w:gridCol w:w="2050"/>
        <w:gridCol w:w="5596"/>
      </w:tblGrid>
      <w:tr w14:paraId="69936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9F40C98">
            <w:pPr>
              <w:keepNext w:val="0"/>
              <w:keepLines w:val="0"/>
              <w:pageBreakBefore w:val="0"/>
              <w:kinsoku/>
              <w:overflowPunct w:val="0"/>
              <w:topLinePunct/>
              <w:bidi w:val="0"/>
              <w:snapToGrid w:val="0"/>
              <w:spacing w:line="336"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条款号</w:t>
            </w:r>
          </w:p>
        </w:tc>
        <w:tc>
          <w:tcPr>
            <w:tcW w:w="2050" w:type="dxa"/>
            <w:noWrap w:val="0"/>
            <w:vAlign w:val="center"/>
          </w:tcPr>
          <w:p w14:paraId="180B31F6">
            <w:pPr>
              <w:keepNext w:val="0"/>
              <w:keepLines w:val="0"/>
              <w:pageBreakBefore w:val="0"/>
              <w:tabs>
                <w:tab w:val="left" w:pos="1480"/>
              </w:tabs>
              <w:kinsoku/>
              <w:overflowPunct w:val="0"/>
              <w:topLinePunct/>
              <w:bidi w:val="0"/>
              <w:snapToGrid w:val="0"/>
              <w:spacing w:line="336"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条款名称</w:t>
            </w:r>
          </w:p>
        </w:tc>
        <w:tc>
          <w:tcPr>
            <w:tcW w:w="5596" w:type="dxa"/>
            <w:noWrap w:val="0"/>
            <w:vAlign w:val="center"/>
          </w:tcPr>
          <w:p w14:paraId="69FBDE7E">
            <w:pPr>
              <w:keepNext w:val="0"/>
              <w:keepLines w:val="0"/>
              <w:pageBreakBefore w:val="0"/>
              <w:tabs>
                <w:tab w:val="left" w:pos="5680"/>
              </w:tabs>
              <w:kinsoku/>
              <w:overflowPunct w:val="0"/>
              <w:topLinePunct/>
              <w:bidi w:val="0"/>
              <w:snapToGrid w:val="0"/>
              <w:spacing w:line="336"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编列内容</w:t>
            </w:r>
          </w:p>
        </w:tc>
      </w:tr>
      <w:tr w14:paraId="73ACE4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AB6B442">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2050" w:type="dxa"/>
            <w:noWrap w:val="0"/>
            <w:vAlign w:val="center"/>
          </w:tcPr>
          <w:p w14:paraId="380444C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p>
        </w:tc>
        <w:tc>
          <w:tcPr>
            <w:tcW w:w="5596" w:type="dxa"/>
            <w:noWrap w:val="0"/>
            <w:vAlign w:val="center"/>
          </w:tcPr>
          <w:p w14:paraId="0E6F6C2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val="en-US" w:eastAsia="zh-CN"/>
              </w:rPr>
              <w:t>绍兴市第七人民医院</w:t>
            </w:r>
          </w:p>
          <w:p w14:paraId="1E5CA34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val="en-US" w:eastAsia="zh-CN"/>
              </w:rPr>
              <w:t>绍兴市越城区胜利西路1234号</w:t>
            </w:r>
          </w:p>
          <w:p w14:paraId="453A26E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戴潇洋</w:t>
            </w:r>
          </w:p>
          <w:p w14:paraId="07EF885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val="en-US" w:eastAsia="zh-CN"/>
              </w:rPr>
              <w:t>0575-85397725</w:t>
            </w:r>
          </w:p>
          <w:p w14:paraId="55754C6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lang w:val="en-US" w:eastAsia="zh-CN"/>
              </w:rPr>
              <w:t>/</w:t>
            </w:r>
          </w:p>
        </w:tc>
      </w:tr>
      <w:tr w14:paraId="4C445E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CBAEA7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2050" w:type="dxa"/>
            <w:noWrap w:val="0"/>
            <w:vAlign w:val="center"/>
          </w:tcPr>
          <w:p w14:paraId="648C3D9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招标代理机构</w:t>
            </w:r>
          </w:p>
        </w:tc>
        <w:tc>
          <w:tcPr>
            <w:tcW w:w="5596" w:type="dxa"/>
            <w:noWrap w:val="0"/>
            <w:vAlign w:val="center"/>
          </w:tcPr>
          <w:p w14:paraId="156CA5A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名称：华汇工程设计集团股份有限公司</w:t>
            </w:r>
          </w:p>
          <w:p w14:paraId="1D26900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地址：绍兴市解放大道177号21层</w:t>
            </w:r>
          </w:p>
          <w:p w14:paraId="2CB6E8E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韩钦</w:t>
            </w:r>
          </w:p>
          <w:p w14:paraId="114E9EE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val="en-US" w:eastAsia="zh-CN"/>
              </w:rPr>
              <w:t xml:space="preserve">15785860983 </w:t>
            </w:r>
          </w:p>
          <w:p w14:paraId="63235B3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lang w:val="en-US" w:eastAsia="zh-CN"/>
              </w:rPr>
              <w:t>3937356533@qq.com</w:t>
            </w:r>
          </w:p>
        </w:tc>
      </w:tr>
      <w:tr w14:paraId="4643B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0DE39F1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2050" w:type="dxa"/>
            <w:noWrap w:val="0"/>
            <w:vAlign w:val="center"/>
          </w:tcPr>
          <w:p w14:paraId="28625DC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5596" w:type="dxa"/>
            <w:noWrap w:val="0"/>
            <w:vAlign w:val="center"/>
          </w:tcPr>
          <w:p w14:paraId="727B405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绍兴市第七人民医院新院区建设工程医用净化、实验室及放射防护项目</w:t>
            </w:r>
          </w:p>
        </w:tc>
      </w:tr>
      <w:tr w14:paraId="02331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A5A4F55">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2050" w:type="dxa"/>
            <w:noWrap w:val="0"/>
            <w:vAlign w:val="center"/>
          </w:tcPr>
          <w:p w14:paraId="14EC204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建设地点</w:t>
            </w:r>
          </w:p>
        </w:tc>
        <w:tc>
          <w:tcPr>
            <w:tcW w:w="5596" w:type="dxa"/>
            <w:noWrap w:val="0"/>
            <w:vAlign w:val="center"/>
          </w:tcPr>
          <w:p w14:paraId="6FE9A27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项目位于越城区东浦街道、东至滚塘，南至十公溇，西至二环西路高架，北至西郊路。</w:t>
            </w:r>
          </w:p>
        </w:tc>
      </w:tr>
      <w:tr w14:paraId="6AD20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E8295E8">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2050" w:type="dxa"/>
            <w:noWrap w:val="0"/>
            <w:vAlign w:val="center"/>
          </w:tcPr>
          <w:p w14:paraId="7256481C">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资金来源及比例</w:t>
            </w:r>
          </w:p>
        </w:tc>
        <w:tc>
          <w:tcPr>
            <w:tcW w:w="5596" w:type="dxa"/>
            <w:noWrap w:val="0"/>
            <w:vAlign w:val="center"/>
          </w:tcPr>
          <w:p w14:paraId="7F6FEAC3">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财政拨款100%</w:t>
            </w:r>
          </w:p>
        </w:tc>
      </w:tr>
      <w:tr w14:paraId="2B295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44E52B0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w:t>
            </w:r>
          </w:p>
        </w:tc>
        <w:tc>
          <w:tcPr>
            <w:tcW w:w="2050" w:type="dxa"/>
            <w:noWrap w:val="0"/>
            <w:vAlign w:val="center"/>
          </w:tcPr>
          <w:p w14:paraId="1D3C84E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5596" w:type="dxa"/>
            <w:noWrap w:val="0"/>
            <w:vAlign w:val="center"/>
          </w:tcPr>
          <w:p w14:paraId="242A0CD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已落实</w:t>
            </w:r>
          </w:p>
        </w:tc>
      </w:tr>
      <w:tr w14:paraId="4AA8F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FDB59B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2050" w:type="dxa"/>
            <w:noWrap w:val="0"/>
            <w:vAlign w:val="center"/>
          </w:tcPr>
          <w:p w14:paraId="0DB0E48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招标范围</w:t>
            </w:r>
          </w:p>
        </w:tc>
        <w:tc>
          <w:tcPr>
            <w:tcW w:w="5596" w:type="dxa"/>
            <w:noWrap w:val="0"/>
            <w:vAlign w:val="center"/>
          </w:tcPr>
          <w:p w14:paraId="6F3B1BF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见招标公告内容</w:t>
            </w:r>
          </w:p>
        </w:tc>
      </w:tr>
      <w:tr w14:paraId="76BD7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F0A8326">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2050" w:type="dxa"/>
            <w:noWrap w:val="0"/>
            <w:vAlign w:val="center"/>
          </w:tcPr>
          <w:p w14:paraId="60BCF37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交货期</w:t>
            </w:r>
          </w:p>
        </w:tc>
        <w:tc>
          <w:tcPr>
            <w:tcW w:w="5596" w:type="dxa"/>
            <w:noWrap w:val="0"/>
            <w:vAlign w:val="center"/>
          </w:tcPr>
          <w:p w14:paraId="402DF3D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210日历天，并不得影响总包总进度计划（开工日期以招标人发出的开工指令为准，竣工日期以单项验收通过日期为准）。</w:t>
            </w:r>
          </w:p>
          <w:p w14:paraId="0575ABB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dstrike w:val="0"/>
                <w:color w:val="auto"/>
                <w:sz w:val="21"/>
                <w:szCs w:val="21"/>
                <w:highlight w:val="none"/>
                <w:u w:val="none"/>
              </w:rPr>
              <w:t>不超过       个日历天/      月。</w:t>
            </w:r>
          </w:p>
        </w:tc>
      </w:tr>
      <w:tr w14:paraId="51786B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89E41E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2050" w:type="dxa"/>
            <w:noWrap w:val="0"/>
            <w:vAlign w:val="center"/>
          </w:tcPr>
          <w:p w14:paraId="13E1893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质量保证期</w:t>
            </w:r>
          </w:p>
        </w:tc>
        <w:tc>
          <w:tcPr>
            <w:tcW w:w="5596" w:type="dxa"/>
            <w:noWrap w:val="0"/>
            <w:vAlign w:val="center"/>
          </w:tcPr>
          <w:p w14:paraId="0B4D112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dstrike w:val="0"/>
                <w:color w:val="auto"/>
                <w:sz w:val="21"/>
                <w:szCs w:val="21"/>
                <w:highlight w:val="none"/>
              </w:rPr>
              <w:t>不少于</w:t>
            </w:r>
            <w:r>
              <w:rPr>
                <w:rFonts w:hint="eastAsia" w:ascii="宋体" w:hAnsi="宋体" w:eastAsia="宋体" w:cs="宋体"/>
                <w:strike/>
                <w:dstrike w:val="0"/>
                <w:color w:val="auto"/>
                <w:sz w:val="21"/>
                <w:szCs w:val="21"/>
                <w:highlight w:val="none"/>
                <w:u w:val="single"/>
              </w:rPr>
              <w:t xml:space="preserve">      </w:t>
            </w:r>
            <w:r>
              <w:rPr>
                <w:rFonts w:hint="eastAsia" w:ascii="宋体" w:hAnsi="宋体" w:eastAsia="宋体" w:cs="宋体"/>
                <w:strike/>
                <w:dstrike w:val="0"/>
                <w:color w:val="auto"/>
                <w:sz w:val="21"/>
                <w:szCs w:val="21"/>
                <w:highlight w:val="none"/>
              </w:rPr>
              <w:t>个月，时间从</w:t>
            </w:r>
            <w:r>
              <w:rPr>
                <w:rFonts w:hint="eastAsia" w:ascii="宋体" w:hAnsi="宋体" w:eastAsia="宋体" w:cs="宋体"/>
                <w:strike/>
                <w:dstrike w:val="0"/>
                <w:color w:val="auto"/>
                <w:sz w:val="21"/>
                <w:szCs w:val="21"/>
                <w:highlight w:val="none"/>
                <w:u w:val="single"/>
              </w:rPr>
              <w:t xml:space="preserve">          </w:t>
            </w:r>
            <w:r>
              <w:rPr>
                <w:rFonts w:hint="eastAsia" w:ascii="宋体" w:hAnsi="宋体" w:eastAsia="宋体" w:cs="宋体"/>
                <w:strike/>
                <w:dstrike w:val="0"/>
                <w:color w:val="auto"/>
                <w:sz w:val="21"/>
                <w:szCs w:val="21"/>
                <w:highlight w:val="none"/>
              </w:rPr>
              <w:t>起算。</w:t>
            </w:r>
          </w:p>
        </w:tc>
      </w:tr>
      <w:tr w14:paraId="30E5E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0351E8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2050" w:type="dxa"/>
            <w:noWrap w:val="0"/>
            <w:vAlign w:val="center"/>
          </w:tcPr>
          <w:p w14:paraId="1D7F09F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投标人资格条件、要求</w:t>
            </w:r>
          </w:p>
        </w:tc>
        <w:tc>
          <w:tcPr>
            <w:tcW w:w="5596" w:type="dxa"/>
            <w:noWrap w:val="0"/>
            <w:vAlign w:val="center"/>
          </w:tcPr>
          <w:p w14:paraId="23CE318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见招标公告内容</w:t>
            </w:r>
          </w:p>
        </w:tc>
      </w:tr>
      <w:tr w14:paraId="4FB49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F62319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2050" w:type="dxa"/>
            <w:noWrap w:val="0"/>
            <w:vAlign w:val="center"/>
          </w:tcPr>
          <w:p w14:paraId="455C1EBB">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5596" w:type="dxa"/>
            <w:noWrap w:val="0"/>
            <w:vAlign w:val="center"/>
          </w:tcPr>
          <w:p w14:paraId="7DA4758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不接受</w:t>
            </w:r>
          </w:p>
          <w:p w14:paraId="5C1E8C5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接受，应满足下列要求：</w:t>
            </w:r>
          </w:p>
          <w:p w14:paraId="22DE868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①联合体投标的，联合体各方应签订联合体协议书，明确联合体牵头人、以牵头人的名义递交投标保证金；各成员单位的权利义务等事项；</w:t>
            </w:r>
          </w:p>
          <w:p w14:paraId="1C119F0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②项目负责人由联合体牵头人委派；</w:t>
            </w:r>
          </w:p>
          <w:p w14:paraId="6FDCB8B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③联合体成员总数（含牵头人）不得超过3家；</w:t>
            </w:r>
          </w:p>
          <w:p w14:paraId="744E275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④联合体各方需具备与所承担工作内容相适应的资格；</w:t>
            </w:r>
          </w:p>
          <w:p w14:paraId="6483515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lang w:val="en-US" w:eastAsia="zh-CN"/>
              </w:rPr>
              <w:t>⑤联合体各方不得再以自己的名义单独或组建新的联合体参与本合同段投标。。</w:t>
            </w:r>
          </w:p>
        </w:tc>
      </w:tr>
      <w:tr w14:paraId="48F33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429134E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p>
        </w:tc>
        <w:tc>
          <w:tcPr>
            <w:tcW w:w="2050" w:type="dxa"/>
            <w:noWrap w:val="0"/>
            <w:vAlign w:val="center"/>
          </w:tcPr>
          <w:p w14:paraId="1D6FA8B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踏勘现场</w:t>
            </w:r>
          </w:p>
        </w:tc>
        <w:tc>
          <w:tcPr>
            <w:tcW w:w="5596" w:type="dxa"/>
            <w:noWrap w:val="0"/>
            <w:vAlign w:val="center"/>
          </w:tcPr>
          <w:p w14:paraId="79D8647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不组织。</w:t>
            </w:r>
          </w:p>
          <w:p w14:paraId="70856A5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组织。联系人：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踏勘时间：</w:t>
            </w:r>
            <w:r>
              <w:rPr>
                <w:rFonts w:hint="eastAsia" w:ascii="宋体" w:hAnsi="宋体" w:eastAsia="宋体" w:cs="宋体"/>
                <w:color w:val="auto"/>
                <w:sz w:val="21"/>
                <w:szCs w:val="21"/>
                <w:highlight w:val="none"/>
                <w:u w:val="single"/>
              </w:rPr>
              <w:t xml:space="preserve">                  </w:t>
            </w:r>
          </w:p>
          <w:p w14:paraId="6937FD9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踏勘集中地点：</w:t>
            </w:r>
            <w:r>
              <w:rPr>
                <w:rFonts w:hint="eastAsia" w:ascii="宋体" w:hAnsi="宋体" w:eastAsia="宋体" w:cs="宋体"/>
                <w:color w:val="auto"/>
                <w:sz w:val="21"/>
                <w:szCs w:val="21"/>
                <w:highlight w:val="none"/>
                <w:u w:val="single"/>
              </w:rPr>
              <w:t xml:space="preserve">                  </w:t>
            </w:r>
          </w:p>
        </w:tc>
      </w:tr>
      <w:tr w14:paraId="16457E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373083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w:t>
            </w:r>
          </w:p>
        </w:tc>
        <w:tc>
          <w:tcPr>
            <w:tcW w:w="2050" w:type="dxa"/>
            <w:noWrap w:val="0"/>
            <w:vAlign w:val="center"/>
          </w:tcPr>
          <w:p w14:paraId="5901B5F3">
            <w:pPr>
              <w:keepNext w:val="0"/>
              <w:keepLines w:val="0"/>
              <w:pageBreakBefore w:val="0"/>
              <w:widowControl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投标预备会</w:t>
            </w:r>
          </w:p>
        </w:tc>
        <w:tc>
          <w:tcPr>
            <w:tcW w:w="5596" w:type="dxa"/>
            <w:noWrap w:val="0"/>
            <w:vAlign w:val="center"/>
          </w:tcPr>
          <w:p w14:paraId="34BEEC5E">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不召开。</w:t>
            </w:r>
          </w:p>
          <w:p w14:paraId="253FBEF6">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召开。召开时间：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召开地点：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tc>
      </w:tr>
      <w:tr w14:paraId="20D46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F850875">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w:t>
            </w:r>
          </w:p>
        </w:tc>
        <w:tc>
          <w:tcPr>
            <w:tcW w:w="2050" w:type="dxa"/>
            <w:noWrap w:val="0"/>
            <w:vAlign w:val="center"/>
          </w:tcPr>
          <w:p w14:paraId="769AA7BB">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投标人提出问题的截止时间、上传疑问方式</w:t>
            </w:r>
          </w:p>
        </w:tc>
        <w:tc>
          <w:tcPr>
            <w:tcW w:w="5596" w:type="dxa"/>
            <w:noWrap w:val="0"/>
            <w:vAlign w:val="center"/>
          </w:tcPr>
          <w:p w14:paraId="548546A2">
            <w:pPr>
              <w:keepNext w:val="0"/>
              <w:keepLines w:val="0"/>
              <w:pageBreakBefore w:val="0"/>
              <w:kinsoku/>
              <w:overflowPunct w:val="0"/>
              <w:topLinePunct/>
              <w:bidi w:val="0"/>
              <w:snapToGrid w:val="0"/>
              <w:spacing w:line="336" w:lineRule="auto"/>
              <w:ind w:left="218" w:leftChars="104" w:firstLine="0" w:firstLineChars="0"/>
              <w:jc w:val="both"/>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提问截止时间：</w:t>
            </w: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8</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u w:val="single"/>
                <w:lang w:val="en-US" w:eastAsia="zh-CN"/>
              </w:rPr>
              <w:t>17</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 xml:space="preserve">分。（投标人在截止时间以后提出的澄清招标文件的要求，招标人可以拒绝受理），提交方式: </w:t>
            </w:r>
            <w:r>
              <w:rPr>
                <w:rFonts w:hint="eastAsia" w:ascii="宋体" w:hAnsi="宋体" w:eastAsia="宋体" w:cs="宋体"/>
                <w:i/>
                <w:color w:val="auto"/>
                <w:sz w:val="21"/>
                <w:szCs w:val="21"/>
                <w:highlight w:val="none"/>
                <w:u w:val="single"/>
              </w:rPr>
              <w:t xml:space="preserve">请在上述时间截止前将加盖公章的PDF电子格式的投标提问书发送至 </w:t>
            </w:r>
            <w:r>
              <w:rPr>
                <w:rFonts w:hint="eastAsia" w:ascii="宋体" w:hAnsi="宋体" w:eastAsia="宋体" w:cs="宋体"/>
                <w:b/>
                <w:bCs/>
                <w:i/>
                <w:color w:val="auto"/>
                <w:sz w:val="21"/>
                <w:szCs w:val="21"/>
                <w:highlight w:val="none"/>
                <w:u w:val="single"/>
                <w:lang w:val="en-US" w:eastAsia="zh-CN"/>
              </w:rPr>
              <w:t>3937356533@qq.com</w:t>
            </w:r>
            <w:r>
              <w:rPr>
                <w:rFonts w:hint="eastAsia" w:ascii="宋体" w:hAnsi="宋体" w:eastAsia="宋体" w:cs="宋体"/>
                <w:b/>
                <w:bCs/>
                <w:i/>
                <w:color w:val="auto"/>
                <w:sz w:val="21"/>
                <w:szCs w:val="21"/>
                <w:highlight w:val="none"/>
                <w:u w:val="single"/>
              </w:rPr>
              <w:t xml:space="preserve"> 。</w:t>
            </w:r>
          </w:p>
          <w:p w14:paraId="08A99424">
            <w:pPr>
              <w:keepNext w:val="0"/>
              <w:keepLines w:val="0"/>
              <w:pageBreakBefore w:val="0"/>
              <w:kinsoku/>
              <w:overflowPunct w:val="0"/>
              <w:topLinePunct/>
              <w:bidi w:val="0"/>
              <w:snapToGrid w:val="0"/>
              <w:spacing w:line="336" w:lineRule="auto"/>
              <w:ind w:left="218" w:leftChars="104"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r>
              <w:rPr>
                <w:rFonts w:hint="eastAsia" w:ascii="宋体" w:hAnsi="宋体" w:eastAsia="宋体" w:cs="宋体"/>
                <w:i/>
                <w:color w:val="auto"/>
                <w:sz w:val="21"/>
                <w:szCs w:val="21"/>
                <w:highlight w:val="none"/>
                <w:u w:val="single"/>
              </w:rPr>
              <w:t xml:space="preserve">  </w:t>
            </w:r>
            <w:r>
              <w:rPr>
                <w:rFonts w:hint="eastAsia" w:ascii="宋体" w:hAnsi="宋体" w:eastAsia="宋体" w:cs="宋体"/>
                <w:b/>
                <w:bCs/>
                <w:i w:val="0"/>
                <w:iCs/>
                <w:color w:val="auto"/>
                <w:sz w:val="21"/>
                <w:szCs w:val="21"/>
                <w:highlight w:val="none"/>
                <w:u w:val="single"/>
                <w:lang w:val="en-US" w:eastAsia="zh-CN"/>
              </w:rPr>
              <w:t xml:space="preserve">15785860983 </w:t>
            </w:r>
            <w:r>
              <w:rPr>
                <w:rFonts w:hint="eastAsia" w:ascii="宋体" w:hAnsi="宋体" w:eastAsia="宋体" w:cs="宋体"/>
                <w:i/>
                <w:color w:val="auto"/>
                <w:sz w:val="21"/>
                <w:szCs w:val="21"/>
                <w:highlight w:val="none"/>
                <w:u w:val="single"/>
              </w:rPr>
              <w:t xml:space="preserve"> </w:t>
            </w:r>
            <w:r>
              <w:rPr>
                <w:rFonts w:hint="eastAsia" w:ascii="宋体" w:hAnsi="宋体" w:eastAsia="宋体" w:cs="宋体"/>
                <w:color w:val="auto"/>
                <w:sz w:val="21"/>
                <w:szCs w:val="21"/>
                <w:highlight w:val="none"/>
              </w:rPr>
              <w:t>联系人：</w:t>
            </w:r>
            <w:r>
              <w:rPr>
                <w:rFonts w:hint="eastAsia" w:ascii="宋体" w:hAnsi="宋体" w:eastAsia="宋体" w:cs="宋体"/>
                <w:i/>
                <w:color w:val="auto"/>
                <w:sz w:val="21"/>
                <w:szCs w:val="21"/>
                <w:highlight w:val="none"/>
                <w:u w:val="single"/>
              </w:rPr>
              <w:t xml:space="preserve"> </w:t>
            </w:r>
            <w:r>
              <w:rPr>
                <w:rFonts w:hint="eastAsia" w:ascii="宋体" w:hAnsi="宋体" w:eastAsia="宋体" w:cs="宋体"/>
                <w:b/>
                <w:bCs/>
                <w:i w:val="0"/>
                <w:iCs/>
                <w:color w:val="auto"/>
                <w:sz w:val="21"/>
                <w:szCs w:val="21"/>
                <w:highlight w:val="none"/>
                <w:u w:val="single"/>
                <w:lang w:val="en-US" w:eastAsia="zh-CN"/>
              </w:rPr>
              <w:t>韩钦</w:t>
            </w:r>
            <w:r>
              <w:rPr>
                <w:rFonts w:hint="eastAsia" w:ascii="宋体" w:hAnsi="宋体" w:eastAsia="宋体" w:cs="宋体"/>
                <w:i/>
                <w:color w:val="auto"/>
                <w:sz w:val="21"/>
                <w:szCs w:val="21"/>
                <w:highlight w:val="none"/>
                <w:u w:val="single"/>
              </w:rPr>
              <w:t>。</w:t>
            </w:r>
          </w:p>
        </w:tc>
      </w:tr>
      <w:tr w14:paraId="4B741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73EEE0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w:t>
            </w:r>
          </w:p>
        </w:tc>
        <w:tc>
          <w:tcPr>
            <w:tcW w:w="2050" w:type="dxa"/>
            <w:noWrap w:val="0"/>
            <w:vAlign w:val="center"/>
          </w:tcPr>
          <w:p w14:paraId="6FA35860">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招标文件的澄清、补充、修改的时间，澄清、修改、补充文件的下载网址</w:t>
            </w:r>
          </w:p>
        </w:tc>
        <w:tc>
          <w:tcPr>
            <w:tcW w:w="5596" w:type="dxa"/>
            <w:noWrap w:val="0"/>
            <w:vAlign w:val="center"/>
          </w:tcPr>
          <w:p w14:paraId="77F992E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0EFEE6C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澄清、补充、修改的内容不影响投标文件编制的，将在投标文件递交截止时间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5</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天前，以上款相同的形式发布。</w:t>
            </w:r>
          </w:p>
          <w:p w14:paraId="62A0BE6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潜在投标人应自行关注绍兴公共资源交易网，招标人不再逐一通知。投标人因自身贻误行为导致投标失败的，责任自负。</w:t>
            </w:r>
          </w:p>
          <w:p w14:paraId="7818B9EB">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公布、下载网址：绍兴市公共资源交易中心电子招投标交易平台(</w:t>
            </w:r>
            <w:r>
              <w:rPr>
                <w:rFonts w:hint="eastAsia" w:ascii="宋体" w:hAnsi="宋体" w:eastAsia="宋体" w:cs="宋体"/>
                <w:color w:val="auto"/>
                <w:sz w:val="21"/>
                <w:szCs w:val="21"/>
                <w:highlight w:val="none"/>
                <w:lang w:eastAsia="zh-CN"/>
              </w:rPr>
              <w:t>http://220.187.225.202:8088/TPBidder-ztk/memberlogin</w:t>
            </w:r>
            <w:r>
              <w:rPr>
                <w:rFonts w:hint="eastAsia" w:ascii="宋体" w:hAnsi="宋体" w:eastAsia="宋体" w:cs="宋体"/>
                <w:color w:val="auto"/>
                <w:sz w:val="21"/>
                <w:szCs w:val="21"/>
                <w:highlight w:val="none"/>
              </w:rPr>
              <w:t>)</w:t>
            </w:r>
          </w:p>
        </w:tc>
      </w:tr>
      <w:tr w14:paraId="379890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02C8ECEA">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2050" w:type="dxa"/>
            <w:noWrap w:val="0"/>
            <w:vAlign w:val="center"/>
          </w:tcPr>
          <w:p w14:paraId="62ADCCD5">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5596" w:type="dxa"/>
            <w:noWrap w:val="0"/>
            <w:vAlign w:val="center"/>
          </w:tcPr>
          <w:p w14:paraId="77267DB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14:paraId="39FDB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BAD043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2050" w:type="dxa"/>
            <w:noWrap w:val="0"/>
            <w:vAlign w:val="center"/>
          </w:tcPr>
          <w:p w14:paraId="74526E5F">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w:t>
            </w:r>
          </w:p>
        </w:tc>
        <w:tc>
          <w:tcPr>
            <w:tcW w:w="5596" w:type="dxa"/>
            <w:noWrap w:val="0"/>
            <w:vAlign w:val="center"/>
          </w:tcPr>
          <w:p w14:paraId="13C65F7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46524C5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允许。允许偏离的内容、偏离范围和幅度：</w:t>
            </w:r>
            <w:r>
              <w:rPr>
                <w:rFonts w:hint="eastAsia" w:ascii="宋体" w:hAnsi="宋体" w:eastAsia="宋体" w:cs="宋体"/>
                <w:b/>
                <w:bCs/>
                <w:color w:val="auto"/>
                <w:highlight w:val="none"/>
                <w:u w:val="single"/>
              </w:rPr>
              <w:t>实质性要求允许正偏离</w:t>
            </w:r>
            <w:r>
              <w:rPr>
                <w:rFonts w:hint="eastAsia" w:ascii="宋体" w:hAnsi="宋体" w:eastAsia="宋体" w:cs="宋体"/>
                <w:b/>
                <w:bCs/>
                <w:color w:val="auto"/>
                <w:highlight w:val="none"/>
                <w:u w:val="single"/>
                <w:lang w:eastAsia="zh-CN"/>
              </w:rPr>
              <w:t>。</w:t>
            </w:r>
          </w:p>
        </w:tc>
      </w:tr>
      <w:tr w14:paraId="56121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36D17D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2050" w:type="dxa"/>
            <w:noWrap w:val="0"/>
            <w:vAlign w:val="center"/>
          </w:tcPr>
          <w:p w14:paraId="16602250">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构成招标文件的其他材料</w:t>
            </w:r>
          </w:p>
        </w:tc>
        <w:tc>
          <w:tcPr>
            <w:tcW w:w="5596" w:type="dxa"/>
            <w:noWrap w:val="0"/>
            <w:vAlign w:val="center"/>
          </w:tcPr>
          <w:p w14:paraId="3C57B1F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48028F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B020A3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2050" w:type="dxa"/>
            <w:noWrap w:val="0"/>
            <w:vAlign w:val="center"/>
          </w:tcPr>
          <w:p w14:paraId="1E7A66D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投标人要求澄清招标文件的截止时间</w:t>
            </w:r>
          </w:p>
        </w:tc>
        <w:tc>
          <w:tcPr>
            <w:tcW w:w="5596" w:type="dxa"/>
            <w:noWrap w:val="0"/>
            <w:vAlign w:val="center"/>
          </w:tcPr>
          <w:p w14:paraId="581D4F0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同投标人须知前附表第1.10.2项</w:t>
            </w:r>
          </w:p>
        </w:tc>
      </w:tr>
      <w:tr w14:paraId="5153A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4203ED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2050" w:type="dxa"/>
            <w:noWrap w:val="0"/>
            <w:vAlign w:val="center"/>
          </w:tcPr>
          <w:p w14:paraId="7061CBD6">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w:t>
            </w:r>
          </w:p>
        </w:tc>
        <w:tc>
          <w:tcPr>
            <w:tcW w:w="5596" w:type="dxa"/>
            <w:noWrap w:val="0"/>
            <w:vAlign w:val="center"/>
          </w:tcPr>
          <w:p w14:paraId="72A75B16">
            <w:pPr>
              <w:keepNext w:val="0"/>
              <w:keepLines w:val="0"/>
              <w:pageBreakBefore w:val="0"/>
              <w:tabs>
                <w:tab w:val="left" w:pos="558"/>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详见招标公告</w:t>
            </w:r>
          </w:p>
        </w:tc>
      </w:tr>
      <w:tr w14:paraId="205B1E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5F444A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2050" w:type="dxa"/>
            <w:noWrap w:val="0"/>
            <w:vAlign w:val="center"/>
          </w:tcPr>
          <w:p w14:paraId="6BCC3D8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投标人确认收到招标文件澄清的时间</w:t>
            </w:r>
          </w:p>
        </w:tc>
        <w:tc>
          <w:tcPr>
            <w:tcW w:w="5596" w:type="dxa"/>
            <w:noWrap w:val="0"/>
            <w:vAlign w:val="center"/>
          </w:tcPr>
          <w:p w14:paraId="1587672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潜在投标人应自行关注绍兴公共资源交易网(http://ggb.sx.gov.cn/)和绍兴市公共资源交易中心电子招投标交易平台</w:t>
            </w:r>
          </w:p>
          <w:p w14:paraId="7056507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sz w:val="21"/>
                <w:szCs w:val="21"/>
                <w:highlight w:val="none"/>
              </w:rPr>
              <w:t>)，招标人不再一一通知。投标人因自身贻误行为导致投标失败的，责任自负。</w:t>
            </w:r>
          </w:p>
        </w:tc>
      </w:tr>
      <w:tr w14:paraId="630C60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86B518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tc>
        <w:tc>
          <w:tcPr>
            <w:tcW w:w="2050" w:type="dxa"/>
            <w:noWrap w:val="0"/>
            <w:vAlign w:val="center"/>
          </w:tcPr>
          <w:p w14:paraId="2D32977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构成投标文件</w:t>
            </w:r>
          </w:p>
          <w:p w14:paraId="4A541B69">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其他材料</w:t>
            </w:r>
          </w:p>
        </w:tc>
        <w:tc>
          <w:tcPr>
            <w:tcW w:w="5596" w:type="dxa"/>
            <w:noWrap w:val="0"/>
            <w:vAlign w:val="center"/>
          </w:tcPr>
          <w:p w14:paraId="2DF6B69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42BC2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098C800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w:t>
            </w:r>
          </w:p>
        </w:tc>
        <w:tc>
          <w:tcPr>
            <w:tcW w:w="2050" w:type="dxa"/>
            <w:noWrap w:val="0"/>
            <w:vAlign w:val="center"/>
          </w:tcPr>
          <w:p w14:paraId="055C75C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p>
        </w:tc>
        <w:tc>
          <w:tcPr>
            <w:tcW w:w="5596" w:type="dxa"/>
            <w:noWrap w:val="0"/>
            <w:vAlign w:val="center"/>
          </w:tcPr>
          <w:p w14:paraId="73F34DB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本次招标最高投标限价为：</w:t>
            </w:r>
            <w:r>
              <w:rPr>
                <w:rFonts w:hint="eastAsia" w:ascii="宋体" w:hAnsi="宋体" w:eastAsia="宋体" w:cs="宋体"/>
                <w:color w:val="auto"/>
                <w:sz w:val="21"/>
                <w:szCs w:val="21"/>
                <w:highlight w:val="none"/>
                <w:u w:val="single"/>
                <w:lang w:val="en-US" w:eastAsia="zh-CN"/>
              </w:rPr>
              <w:t>2333.4973</w:t>
            </w:r>
            <w:r>
              <w:rPr>
                <w:rFonts w:hint="eastAsia" w:ascii="宋体" w:hAnsi="宋体" w:eastAsia="宋体" w:cs="宋体"/>
                <w:color w:val="auto"/>
                <w:sz w:val="21"/>
                <w:szCs w:val="21"/>
                <w:highlight w:val="none"/>
              </w:rPr>
              <w:t>万元</w:t>
            </w:r>
          </w:p>
          <w:p w14:paraId="1DB36E0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在投标截止时间15个日历天前以补充文件的形式公布</w:t>
            </w:r>
          </w:p>
          <w:p w14:paraId="2E84251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本次招标最高投标限价的计算方法：。</w:t>
            </w:r>
          </w:p>
        </w:tc>
      </w:tr>
      <w:tr w14:paraId="60376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0883189">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w:t>
            </w:r>
          </w:p>
        </w:tc>
        <w:tc>
          <w:tcPr>
            <w:tcW w:w="2050" w:type="dxa"/>
            <w:noWrap w:val="0"/>
            <w:vAlign w:val="center"/>
          </w:tcPr>
          <w:p w14:paraId="65652B19">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投标报价的</w:t>
            </w:r>
          </w:p>
          <w:p w14:paraId="1109807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其他要求</w:t>
            </w:r>
          </w:p>
        </w:tc>
        <w:tc>
          <w:tcPr>
            <w:tcW w:w="5596" w:type="dxa"/>
            <w:noWrap w:val="0"/>
            <w:vAlign w:val="center"/>
          </w:tcPr>
          <w:p w14:paraId="7B37C58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w:t>
            </w:r>
          </w:p>
        </w:tc>
      </w:tr>
      <w:tr w14:paraId="6B996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442BE912">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2050" w:type="dxa"/>
            <w:noWrap w:val="0"/>
            <w:vAlign w:val="center"/>
          </w:tcPr>
          <w:p w14:paraId="66075783">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5596" w:type="dxa"/>
            <w:noWrap w:val="0"/>
            <w:vAlign w:val="center"/>
          </w:tcPr>
          <w:p w14:paraId="6930F34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不少于</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90 </w:t>
            </w:r>
            <w:r>
              <w:rPr>
                <w:rFonts w:hint="eastAsia" w:ascii="宋体" w:hAnsi="宋体" w:eastAsia="宋体" w:cs="宋体"/>
                <w:color w:val="auto"/>
                <w:sz w:val="21"/>
                <w:szCs w:val="21"/>
                <w:highlight w:val="none"/>
              </w:rPr>
              <w:t>个日历天(从投标截止之日起算)。</w:t>
            </w:r>
          </w:p>
        </w:tc>
      </w:tr>
      <w:tr w14:paraId="6E8123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423D6D8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w:t>
            </w:r>
          </w:p>
        </w:tc>
        <w:tc>
          <w:tcPr>
            <w:tcW w:w="2050" w:type="dxa"/>
            <w:noWrap w:val="0"/>
            <w:vAlign w:val="center"/>
          </w:tcPr>
          <w:p w14:paraId="2CFF2B4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投标保证金数额</w:t>
            </w:r>
          </w:p>
        </w:tc>
        <w:tc>
          <w:tcPr>
            <w:tcW w:w="5596" w:type="dxa"/>
            <w:noWrap w:val="0"/>
            <w:vAlign w:val="center"/>
          </w:tcPr>
          <w:p w14:paraId="7F40941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投标保证金的金额与形式：见公告。</w:t>
            </w:r>
          </w:p>
        </w:tc>
      </w:tr>
      <w:tr w14:paraId="6E1B9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6E23CD2">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w:t>
            </w:r>
          </w:p>
        </w:tc>
        <w:tc>
          <w:tcPr>
            <w:tcW w:w="2050" w:type="dxa"/>
            <w:noWrap w:val="0"/>
            <w:vAlign w:val="center"/>
          </w:tcPr>
          <w:p w14:paraId="2987B55A">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近年财务状况的年份要求</w:t>
            </w:r>
          </w:p>
        </w:tc>
        <w:tc>
          <w:tcPr>
            <w:tcW w:w="5596" w:type="dxa"/>
            <w:noWrap w:val="0"/>
            <w:vAlign w:val="center"/>
          </w:tcPr>
          <w:p w14:paraId="68D59E1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w:t>
            </w:r>
          </w:p>
        </w:tc>
      </w:tr>
      <w:tr w14:paraId="33AB56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DA12535">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3.5.3</w:t>
            </w:r>
          </w:p>
        </w:tc>
        <w:tc>
          <w:tcPr>
            <w:tcW w:w="2050" w:type="dxa"/>
            <w:noWrap w:val="0"/>
            <w:vAlign w:val="center"/>
          </w:tcPr>
          <w:p w14:paraId="13F6C9A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近年完成的类似项目的年份要求</w:t>
            </w:r>
          </w:p>
        </w:tc>
        <w:tc>
          <w:tcPr>
            <w:tcW w:w="5596" w:type="dxa"/>
            <w:noWrap w:val="0"/>
            <w:vAlign w:val="center"/>
          </w:tcPr>
          <w:p w14:paraId="6000072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w:t>
            </w:r>
          </w:p>
        </w:tc>
      </w:tr>
      <w:tr w14:paraId="532E5A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71F736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3.5.5</w:t>
            </w:r>
          </w:p>
        </w:tc>
        <w:tc>
          <w:tcPr>
            <w:tcW w:w="2050" w:type="dxa"/>
            <w:noWrap w:val="0"/>
            <w:vAlign w:val="center"/>
          </w:tcPr>
          <w:p w14:paraId="2066E0C5">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近年发生的重大诉讼及仲裁情况的年份要求</w:t>
            </w:r>
          </w:p>
        </w:tc>
        <w:tc>
          <w:tcPr>
            <w:tcW w:w="5596" w:type="dxa"/>
            <w:noWrap w:val="0"/>
            <w:vAlign w:val="center"/>
          </w:tcPr>
          <w:p w14:paraId="012E848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w:t>
            </w:r>
          </w:p>
        </w:tc>
      </w:tr>
      <w:tr w14:paraId="60CC6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F4C8FD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3.5.7</w:t>
            </w:r>
          </w:p>
        </w:tc>
        <w:tc>
          <w:tcPr>
            <w:tcW w:w="2050" w:type="dxa"/>
            <w:noWrap w:val="0"/>
            <w:vAlign w:val="center"/>
          </w:tcPr>
          <w:p w14:paraId="5912E25F">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实质性响应招标文件及评审打分资料</w:t>
            </w:r>
          </w:p>
        </w:tc>
        <w:tc>
          <w:tcPr>
            <w:tcW w:w="5596" w:type="dxa"/>
            <w:noWrap w:val="0"/>
            <w:vAlign w:val="center"/>
          </w:tcPr>
          <w:p w14:paraId="3E32380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2"/>
                <w:sz w:val="21"/>
                <w:szCs w:val="21"/>
                <w:highlight w:val="none"/>
              </w:rPr>
              <w:t>一、实质性响应招标文件资料</w:t>
            </w:r>
          </w:p>
          <w:p w14:paraId="731FF94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1.企业法人营业执照；</w:t>
            </w:r>
          </w:p>
          <w:p w14:paraId="4FABFB5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2.法定代表人授权委托书(投标文件委托代理人签字的提供)；</w:t>
            </w:r>
          </w:p>
          <w:p w14:paraId="01143B6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3.联合体各方签订的共同投标协议(联合体投标的提供)；</w:t>
            </w:r>
          </w:p>
          <w:p w14:paraId="09C4403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4.投标保证金缴纳证明资料；</w:t>
            </w:r>
          </w:p>
          <w:p w14:paraId="12C96DF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5.中小企业声明函；</w:t>
            </w:r>
          </w:p>
          <w:p w14:paraId="253CFE7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6.投标承诺书</w:t>
            </w:r>
            <w:r>
              <w:rPr>
                <w:rFonts w:hint="eastAsia" w:ascii="宋体" w:hAnsi="宋体" w:eastAsia="宋体" w:cs="宋体"/>
                <w:strike w:val="0"/>
                <w:color w:val="auto"/>
                <w:sz w:val="21"/>
                <w:szCs w:val="21"/>
                <w:highlight w:val="none"/>
                <w:lang w:eastAsia="zh-CN"/>
              </w:rPr>
              <w:t>；</w:t>
            </w:r>
          </w:p>
          <w:p w14:paraId="5A83C9C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lang w:val="en-US" w:eastAsia="zh-CN"/>
              </w:rPr>
              <w:t>7</w:t>
            </w:r>
            <w:r>
              <w:rPr>
                <w:rFonts w:hint="eastAsia" w:ascii="宋体" w:hAnsi="宋体" w:eastAsia="宋体" w:cs="宋体"/>
                <w:strike w:val="0"/>
                <w:dstrike w:val="0"/>
                <w:color w:val="auto"/>
                <w:sz w:val="21"/>
                <w:szCs w:val="21"/>
                <w:highlight w:val="none"/>
              </w:rPr>
              <w:t>.(招标人认为需要增加的符合法律法规规定的其他实质性响应的资料)。</w:t>
            </w:r>
          </w:p>
          <w:p w14:paraId="7407E06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投标人具备</w:t>
            </w:r>
          </w:p>
          <w:p w14:paraId="310A93C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（1）①医疗器械生产许可证,或②同时具有医疗器械经营许可证和医疗器械经营备案凭证；</w:t>
            </w:r>
          </w:p>
          <w:p w14:paraId="054FFCB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注：本项目中生物安全柜属于Ⅲ类医疗器械、洁净工作台（超净工作台）属于Ⅱ类医疗器械。联合体投标的，要求承接生物安全柜的成员单位具备医疗器械生产许可证或医疗器械经营许可证，要求承接洁净工作台（超净工作台）的成员单位具备医疗器械生产许可证或医疗器械经营备案凭证）</w:t>
            </w:r>
          </w:p>
          <w:p w14:paraId="7B32392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（2）业绩要求：</w:t>
            </w:r>
          </w:p>
          <w:p w14:paraId="3AD9E62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投标人自2021年7月1日（时间以单项验收证明或整体竣工验收证明时间为准）至今完成过单个合同金额1100万元及以上的医疗净化业绩（合同中的实施内容包含手术室或实验室或静配中心等特殊需要空气净化的科室或功能用房）。（联合体投标的，指联合体牵头人业绩）</w:t>
            </w:r>
          </w:p>
          <w:p w14:paraId="1DA8EE3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注：①业绩证明材料必须同时提供：</w:t>
            </w:r>
          </w:p>
          <w:p w14:paraId="234E0C6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A:中标通知书；</w:t>
            </w:r>
          </w:p>
          <w:p w14:paraId="789A3F2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B:合同协议书；</w:t>
            </w:r>
          </w:p>
          <w:p w14:paraId="3044348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C:检测报告：具有CMA认证的第三方检测机构出具的洁净室综合性能合格检测报告；</w:t>
            </w:r>
          </w:p>
          <w:p w14:paraId="2C97346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D:验收证明：单项验收证明（要求至少建设单位盖章）或整体竣工验收证明【整体验收证明材料包括：交（竣）工验收记录或交（竣）工验收证书或交（竣）工验收报告或交（竣）工验收备案表，如提供交（竣）工验收记录，还需提供完工证明并加盖业主公章】；</w:t>
            </w:r>
          </w:p>
          <w:p w14:paraId="3A05A06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以上资料需扫描件加盖投标人公章，若缺其中任何一项则业绩不予认可。</w:t>
            </w:r>
          </w:p>
          <w:p w14:paraId="64B1A29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②业绩金额以合同为准，合同中未明确相关专项具体金额的，需另行提供业主证明加盖业主公章。</w:t>
            </w:r>
          </w:p>
          <w:p w14:paraId="41ACBEB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③如投标人提供联合体业绩，需同时提供联合体协议书，并且联合体协议书中明确投标人负责的施工内容。</w:t>
            </w:r>
          </w:p>
          <w:p w14:paraId="35027C4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dstrike w:val="0"/>
                <w:color w:val="auto"/>
                <w:sz w:val="21"/>
                <w:szCs w:val="21"/>
                <w:highlight w:val="none"/>
              </w:rPr>
            </w:pPr>
            <w:r>
              <w:rPr>
                <w:rFonts w:hint="eastAsia" w:ascii="宋体" w:hAnsi="宋体" w:eastAsia="宋体" w:cs="宋体"/>
                <w:b/>
                <w:bCs/>
                <w:color w:val="auto"/>
                <w:sz w:val="21"/>
                <w:szCs w:val="21"/>
                <w:highlight w:val="none"/>
                <w:u w:val="single"/>
                <w:lang w:val="en-US" w:eastAsia="zh-CN"/>
              </w:rPr>
              <w:t>④若以上证明资料仍未体现相关要求的需另行提供业主证明加盖业主公章。</w:t>
            </w:r>
          </w:p>
          <w:p w14:paraId="5A93BE9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二、评审打分资料</w:t>
            </w:r>
          </w:p>
          <w:p w14:paraId="031A22E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1.招标文件对提供的资料有打分内容的填写。</w:t>
            </w:r>
          </w:p>
          <w:p w14:paraId="4EB6535C">
            <w:pPr>
              <w:keepNext w:val="0"/>
              <w:keepLines w:val="0"/>
              <w:pageBreakBefore w:val="0"/>
              <w:tabs>
                <w:tab w:val="left" w:pos="5680"/>
              </w:tabs>
              <w:kinsoku/>
              <w:overflowPunct w:val="0"/>
              <w:topLinePunct/>
              <w:bidi w:val="0"/>
              <w:snapToGrid w:val="0"/>
              <w:spacing w:line="336" w:lineRule="auto"/>
              <w:ind w:left="105" w:leftChars="50" w:right="105" w:rightChars="5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p>
        </w:tc>
      </w:tr>
      <w:tr w14:paraId="0901F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FB999D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w:t>
            </w:r>
          </w:p>
        </w:tc>
        <w:tc>
          <w:tcPr>
            <w:tcW w:w="2050" w:type="dxa"/>
            <w:noWrap w:val="0"/>
            <w:vAlign w:val="center"/>
          </w:tcPr>
          <w:p w14:paraId="71DEF70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2"/>
                <w:sz w:val="21"/>
                <w:szCs w:val="21"/>
                <w:highlight w:val="none"/>
              </w:rPr>
              <w:t>是否允许递交</w:t>
            </w:r>
          </w:p>
          <w:p w14:paraId="05D70F10">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备选投标方案</w:t>
            </w:r>
          </w:p>
        </w:tc>
        <w:tc>
          <w:tcPr>
            <w:tcW w:w="5596" w:type="dxa"/>
            <w:noWrap w:val="0"/>
            <w:vAlign w:val="center"/>
          </w:tcPr>
          <w:p w14:paraId="4503D4A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5596F15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允许。</w:t>
            </w:r>
          </w:p>
        </w:tc>
      </w:tr>
      <w:tr w14:paraId="105B87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4B4AB0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3.7.3（1）</w:t>
            </w:r>
          </w:p>
        </w:tc>
        <w:tc>
          <w:tcPr>
            <w:tcW w:w="2050" w:type="dxa"/>
            <w:noWrap w:val="0"/>
            <w:vAlign w:val="center"/>
          </w:tcPr>
          <w:p w14:paraId="7D3D197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纸质投标文件签字或盖章要求</w:t>
            </w:r>
          </w:p>
        </w:tc>
        <w:tc>
          <w:tcPr>
            <w:tcW w:w="5596" w:type="dxa"/>
            <w:noWrap w:val="0"/>
            <w:vAlign w:val="center"/>
          </w:tcPr>
          <w:p w14:paraId="1F86283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按招标文件要求盖单位公章、法定代表人签字或盖章。委托代理人签字的，投标文件应附法定代表人签署的授权委托书。</w:t>
            </w:r>
          </w:p>
        </w:tc>
      </w:tr>
      <w:tr w14:paraId="67996D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noWrap w:val="0"/>
            <w:vAlign w:val="center"/>
          </w:tcPr>
          <w:p w14:paraId="689410C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3.7.3（2）</w:t>
            </w:r>
          </w:p>
        </w:tc>
        <w:tc>
          <w:tcPr>
            <w:tcW w:w="2050" w:type="dxa"/>
            <w:noWrap w:val="0"/>
            <w:vAlign w:val="center"/>
          </w:tcPr>
          <w:p w14:paraId="533FDBA4">
            <w:pPr>
              <w:pStyle w:val="5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电子投标文件盖章要求</w:t>
            </w:r>
          </w:p>
        </w:tc>
        <w:tc>
          <w:tcPr>
            <w:tcW w:w="5596" w:type="dxa"/>
            <w:noWrap w:val="0"/>
            <w:vAlign w:val="center"/>
          </w:tcPr>
          <w:p w14:paraId="54746F12">
            <w:pPr>
              <w:pStyle w:val="5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7486DBB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投标文件所附证书证件、业绩证明文件、投标保证金等证明材料用原件扫描件并加盖投标单位电子印章；</w:t>
            </w:r>
          </w:p>
        </w:tc>
      </w:tr>
      <w:tr w14:paraId="5BB1F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noWrap w:val="0"/>
            <w:vAlign w:val="center"/>
          </w:tcPr>
          <w:p w14:paraId="291C0F06">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2050" w:type="dxa"/>
            <w:noWrap w:val="0"/>
            <w:vAlign w:val="center"/>
          </w:tcPr>
          <w:p w14:paraId="089FE23C">
            <w:pPr>
              <w:pStyle w:val="5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电子投标文件加密章要求</w:t>
            </w:r>
          </w:p>
        </w:tc>
        <w:tc>
          <w:tcPr>
            <w:tcW w:w="5596" w:type="dxa"/>
            <w:noWrap w:val="0"/>
            <w:vAlign w:val="center"/>
          </w:tcPr>
          <w:p w14:paraId="31D11C3F">
            <w:pPr>
              <w:pStyle w:val="5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电子投标的项目，在投标截止时间前，将由投标工具软件制作生成的加密投标文件上传至绍兴市公共资源交易中心电子招投标交易平台。</w:t>
            </w:r>
          </w:p>
          <w:p w14:paraId="3CCE7E12">
            <w:pPr>
              <w:pStyle w:val="5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w:t>
            </w:r>
          </w:p>
        </w:tc>
      </w:tr>
      <w:tr w14:paraId="1423A0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693B071">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w:t>
            </w:r>
          </w:p>
        </w:tc>
        <w:tc>
          <w:tcPr>
            <w:tcW w:w="2050" w:type="dxa"/>
            <w:noWrap w:val="0"/>
            <w:vAlign w:val="center"/>
          </w:tcPr>
          <w:p w14:paraId="5496E08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投标文件份数</w:t>
            </w:r>
          </w:p>
        </w:tc>
        <w:tc>
          <w:tcPr>
            <w:tcW w:w="5596" w:type="dxa"/>
            <w:noWrap w:val="0"/>
            <w:vAlign w:val="center"/>
          </w:tcPr>
          <w:p w14:paraId="6FA1D4E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46409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D04E368">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w:t>
            </w:r>
          </w:p>
        </w:tc>
        <w:tc>
          <w:tcPr>
            <w:tcW w:w="2050" w:type="dxa"/>
            <w:noWrap w:val="0"/>
            <w:vAlign w:val="center"/>
          </w:tcPr>
          <w:p w14:paraId="1936E55C">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光盘、样品等材料的包装和标记</w:t>
            </w:r>
          </w:p>
        </w:tc>
        <w:tc>
          <w:tcPr>
            <w:tcW w:w="5596" w:type="dxa"/>
            <w:noWrap w:val="0"/>
            <w:vAlign w:val="center"/>
          </w:tcPr>
          <w:p w14:paraId="50F51D4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strike/>
                <w:dstrike w:val="0"/>
                <w:color w:val="auto"/>
                <w:sz w:val="21"/>
                <w:szCs w:val="21"/>
                <w:highlight w:val="none"/>
                <w:lang w:eastAsia="zh-CN"/>
              </w:rPr>
              <w:t>演示视频</w:t>
            </w:r>
            <w:r>
              <w:rPr>
                <w:rFonts w:hint="eastAsia" w:ascii="宋体" w:hAnsi="宋体" w:eastAsia="宋体" w:cs="宋体"/>
                <w:b/>
                <w:bCs/>
                <w:strike/>
                <w:dstrike w:val="0"/>
                <w:color w:val="auto"/>
                <w:sz w:val="21"/>
                <w:szCs w:val="21"/>
                <w:highlight w:val="none"/>
                <w:lang w:val="en-US" w:eastAsia="zh-CN"/>
              </w:rPr>
              <w:t>U盘形式密封包装，并在包封外标明“项目名称”、“投标人名称”、“演示视频U盘”等字样，并加盖投标人公章。</w:t>
            </w:r>
          </w:p>
        </w:tc>
      </w:tr>
      <w:tr w14:paraId="3994FD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925C13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p>
        </w:tc>
        <w:tc>
          <w:tcPr>
            <w:tcW w:w="2050" w:type="dxa"/>
            <w:noWrap w:val="0"/>
            <w:vAlign w:val="center"/>
          </w:tcPr>
          <w:p w14:paraId="3101BE98">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电子投标文件加密要求</w:t>
            </w:r>
          </w:p>
        </w:tc>
        <w:tc>
          <w:tcPr>
            <w:tcW w:w="5596" w:type="dxa"/>
            <w:noWrap w:val="0"/>
            <w:vAlign w:val="center"/>
          </w:tcPr>
          <w:p w14:paraId="4CC96DB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使用投标工具软件编制生成的电子投标文件。</w:t>
            </w:r>
          </w:p>
        </w:tc>
      </w:tr>
      <w:tr w14:paraId="21B454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noWrap w:val="0"/>
            <w:vAlign w:val="center"/>
          </w:tcPr>
          <w:p w14:paraId="0E7EA837">
            <w:pPr>
              <w:keepNext w:val="0"/>
              <w:keepLines w:val="0"/>
              <w:pageBreakBefore w:val="0"/>
              <w:kinsoku/>
              <w:overflowPunct w:val="0"/>
              <w:topLinePunct/>
              <w:bidi w:val="0"/>
              <w:snapToGrid w:val="0"/>
              <w:spacing w:line="336" w:lineRule="auto"/>
              <w:ind w:right="105" w:rightChars="50"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w:t>
            </w:r>
          </w:p>
        </w:tc>
        <w:tc>
          <w:tcPr>
            <w:tcW w:w="2050" w:type="dxa"/>
            <w:vMerge w:val="restart"/>
            <w:noWrap w:val="0"/>
            <w:vAlign w:val="center"/>
          </w:tcPr>
          <w:p w14:paraId="7455FA2B">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递交投标文件方式和地点</w:t>
            </w:r>
          </w:p>
        </w:tc>
        <w:tc>
          <w:tcPr>
            <w:tcW w:w="5596" w:type="dxa"/>
            <w:noWrap w:val="0"/>
            <w:vAlign w:val="center"/>
          </w:tcPr>
          <w:p w14:paraId="715F796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截止时间：</w:t>
            </w:r>
            <w:r>
              <w:rPr>
                <w:rFonts w:hint="eastAsia" w:ascii="宋体" w:hAnsi="宋体" w:eastAsia="宋体" w:cs="宋体"/>
                <w:color w:val="auto"/>
                <w:sz w:val="21"/>
                <w:szCs w:val="21"/>
                <w:highlight w:val="none"/>
                <w:u w:val="none"/>
                <w:lang w:val="en-US" w:eastAsia="zh-CN"/>
              </w:rPr>
              <w:t>详见招标公告</w:t>
            </w:r>
          </w:p>
        </w:tc>
      </w:tr>
      <w:tr w14:paraId="03C1C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noWrap w:val="0"/>
            <w:vAlign w:val="center"/>
          </w:tcPr>
          <w:p w14:paraId="6EB3863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2050" w:type="dxa"/>
            <w:vMerge w:val="continue"/>
            <w:noWrap w:val="0"/>
            <w:vAlign w:val="center"/>
          </w:tcPr>
          <w:p w14:paraId="593831B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5596" w:type="dxa"/>
            <w:noWrap w:val="0"/>
            <w:vAlign w:val="center"/>
          </w:tcPr>
          <w:p w14:paraId="4956CEA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本项目投标文件投标人采用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现场递交/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电子投标文件上传平台。</w:t>
            </w:r>
          </w:p>
          <w:p w14:paraId="23FD5EB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现场递交：投标人将密封的投标文件在开标当日09:00时至09:30时递交至绍兴市公共资源交易中心</w:t>
            </w:r>
            <w:r>
              <w:rPr>
                <w:rFonts w:hint="eastAsia" w:ascii="宋体" w:hAnsi="宋体" w:eastAsia="宋体" w:cs="宋体"/>
                <w:strike w:val="0"/>
                <w:dstrike w:val="0"/>
                <w:color w:val="auto"/>
                <w:sz w:val="21"/>
                <w:szCs w:val="21"/>
                <w:highlight w:val="none"/>
                <w:lang w:eastAsia="zh-CN"/>
              </w:rPr>
              <w:t>二</w:t>
            </w:r>
            <w:r>
              <w:rPr>
                <w:rFonts w:hint="eastAsia" w:ascii="宋体" w:hAnsi="宋体" w:eastAsia="宋体" w:cs="宋体"/>
                <w:strike w:val="0"/>
                <w:dstrike w:val="0"/>
                <w:color w:val="auto"/>
                <w:sz w:val="21"/>
                <w:szCs w:val="21"/>
                <w:highlight w:val="none"/>
              </w:rPr>
              <w:t>楼指定开标室，投标文件递交后即交即走。投标文件递交地址：</w:t>
            </w:r>
            <w:r>
              <w:rPr>
                <w:rFonts w:hint="eastAsia" w:ascii="宋体" w:hAnsi="宋体" w:eastAsia="宋体" w:cs="宋体"/>
                <w:b/>
                <w:bCs/>
                <w:strike w:val="0"/>
                <w:dstrike w:val="0"/>
                <w:color w:val="auto"/>
                <w:sz w:val="21"/>
                <w:szCs w:val="21"/>
                <w:highlight w:val="none"/>
              </w:rPr>
              <w:t>绍兴市越城区洋江西路 699 号梅山春晓 2 楼 开标室</w:t>
            </w:r>
            <w:r>
              <w:rPr>
                <w:rFonts w:hint="eastAsia" w:ascii="宋体" w:hAnsi="宋体" w:eastAsia="宋体" w:cs="宋体"/>
                <w:strike w:val="0"/>
                <w:dstrike w:val="0"/>
                <w:color w:val="auto"/>
                <w:sz w:val="21"/>
                <w:szCs w:val="21"/>
                <w:highlight w:val="none"/>
              </w:rPr>
              <w:t>（绍兴市公共资源交易中心）。</w:t>
            </w:r>
          </w:p>
        </w:tc>
      </w:tr>
      <w:tr w14:paraId="7B5B4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noWrap w:val="0"/>
            <w:vAlign w:val="center"/>
          </w:tcPr>
          <w:p w14:paraId="12268CE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2050" w:type="dxa"/>
            <w:vMerge w:val="continue"/>
            <w:noWrap w:val="0"/>
            <w:vAlign w:val="center"/>
          </w:tcPr>
          <w:p w14:paraId="7986A3F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5596" w:type="dxa"/>
            <w:noWrap w:val="0"/>
            <w:vAlign w:val="center"/>
          </w:tcPr>
          <w:p w14:paraId="0E9D3586">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使用专用密钥上传至 绍兴市公共资源交易中心电子招投标交易平台（</w:t>
            </w:r>
            <w:r>
              <w:rPr>
                <w:rFonts w:hint="eastAsia" w:ascii="宋体" w:hAnsi="宋体" w:eastAsia="宋体" w:cs="宋体"/>
                <w:strike w:val="0"/>
                <w:dstrike w:val="0"/>
                <w:color w:val="auto"/>
                <w:highlight w:val="none"/>
                <w:lang w:eastAsia="zh-CN"/>
              </w:rPr>
              <w:t>http://220.187.225.202:8088/TPBidder-ztk/memberlogin</w:t>
            </w:r>
            <w:r>
              <w:rPr>
                <w:rFonts w:hint="eastAsia" w:ascii="宋体" w:hAnsi="宋体" w:eastAsia="宋体" w:cs="宋体"/>
                <w:color w:val="auto"/>
                <w:sz w:val="21"/>
                <w:szCs w:val="21"/>
                <w:highlight w:val="none"/>
              </w:rPr>
              <w:t>）</w:t>
            </w:r>
          </w:p>
        </w:tc>
      </w:tr>
      <w:tr w14:paraId="30898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B29D33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w:t>
            </w:r>
          </w:p>
        </w:tc>
        <w:tc>
          <w:tcPr>
            <w:tcW w:w="2050" w:type="dxa"/>
            <w:noWrap w:val="0"/>
            <w:vAlign w:val="center"/>
          </w:tcPr>
          <w:p w14:paraId="7FA8E9D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是否退还投标文件</w:t>
            </w:r>
          </w:p>
        </w:tc>
        <w:tc>
          <w:tcPr>
            <w:tcW w:w="5596" w:type="dxa"/>
            <w:noWrap w:val="0"/>
            <w:vAlign w:val="center"/>
          </w:tcPr>
          <w:p w14:paraId="6FE1F1C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p w14:paraId="5B8D2F6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是。未中标的投标文件将予以退还。</w:t>
            </w:r>
          </w:p>
        </w:tc>
      </w:tr>
      <w:tr w14:paraId="29E6F1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noWrap w:val="0"/>
            <w:vAlign w:val="center"/>
          </w:tcPr>
          <w:p w14:paraId="4FF75C0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w:t>
            </w:r>
          </w:p>
        </w:tc>
        <w:tc>
          <w:tcPr>
            <w:tcW w:w="2050" w:type="dxa"/>
            <w:noWrap w:val="0"/>
            <w:vAlign w:val="center"/>
          </w:tcPr>
          <w:p w14:paraId="76777D7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投标文件的拒收情形</w:t>
            </w:r>
          </w:p>
        </w:tc>
        <w:tc>
          <w:tcPr>
            <w:tcW w:w="5596" w:type="dxa"/>
            <w:noWrap w:val="0"/>
            <w:vAlign w:val="center"/>
          </w:tcPr>
          <w:p w14:paraId="294E1A5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position w:val="2"/>
                <w:sz w:val="21"/>
                <w:szCs w:val="21"/>
                <w:highlight w:val="none"/>
              </w:rPr>
            </w:pPr>
            <w:r>
              <w:rPr>
                <w:rFonts w:hint="eastAsia" w:ascii="宋体" w:hAnsi="宋体" w:eastAsia="宋体" w:cs="宋体"/>
                <w:strike w:val="0"/>
                <w:dstrike w:val="0"/>
                <w:color w:val="auto"/>
                <w:position w:val="2"/>
                <w:sz w:val="21"/>
                <w:szCs w:val="21"/>
                <w:highlight w:val="none"/>
              </w:rPr>
              <w:t>一、投标人未按规定密封或封套外信息与所投标段内容不符的投标文件。</w:t>
            </w:r>
          </w:p>
          <w:p w14:paraId="6AC98F7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position w:val="2"/>
                <w:sz w:val="21"/>
                <w:szCs w:val="21"/>
                <w:highlight w:val="none"/>
              </w:rPr>
            </w:pPr>
            <w:r>
              <w:rPr>
                <w:rFonts w:hint="eastAsia" w:ascii="宋体" w:hAnsi="宋体" w:eastAsia="宋体" w:cs="宋体"/>
                <w:strike w:val="0"/>
                <w:dstrike w:val="0"/>
                <w:color w:val="auto"/>
                <w:position w:val="2"/>
                <w:sz w:val="21"/>
                <w:szCs w:val="21"/>
                <w:highlight w:val="none"/>
              </w:rPr>
              <w:t>二、未在投标截止时间前递交的投标文件。</w:t>
            </w:r>
          </w:p>
        </w:tc>
      </w:tr>
      <w:tr w14:paraId="6647C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noWrap w:val="0"/>
            <w:vAlign w:val="center"/>
          </w:tcPr>
          <w:p w14:paraId="2FEDF91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2050" w:type="dxa"/>
            <w:noWrap w:val="0"/>
            <w:vAlign w:val="center"/>
          </w:tcPr>
          <w:p w14:paraId="2D9C672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电子投标文件的拒收情形</w:t>
            </w:r>
          </w:p>
        </w:tc>
        <w:tc>
          <w:tcPr>
            <w:tcW w:w="5596" w:type="dxa"/>
            <w:noWrap w:val="0"/>
            <w:vAlign w:val="center"/>
          </w:tcPr>
          <w:p w14:paraId="57A74FB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1.投标截止时间后送达（上传）的投标文件、未按招标文件要求上传的；</w:t>
            </w:r>
          </w:p>
          <w:p w14:paraId="2E3A3FF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2.投标人未按规定加密的投标文件，应当拒收并提示。</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3.存在下列情况之一的，视为拒收：</w:t>
            </w:r>
          </w:p>
          <w:p w14:paraId="50993F0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（1）电子投标文件无法解密的；</w:t>
            </w:r>
          </w:p>
          <w:p w14:paraId="4DBB23E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（2）电子投标文件解密后无法正确读取的；</w:t>
            </w:r>
          </w:p>
          <w:p w14:paraId="388B980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（3）电子投标文件无法导入成功的；</w:t>
            </w:r>
          </w:p>
          <w:p w14:paraId="05ED717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w:t>
            </w: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未被邀请的申请人提交的投标文件</w:t>
            </w:r>
          </w:p>
          <w:p w14:paraId="04D0990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  法律、法规所规定的其他情形   。</w:t>
            </w:r>
          </w:p>
        </w:tc>
      </w:tr>
      <w:tr w14:paraId="1D0E1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A26BD4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2050" w:type="dxa"/>
            <w:noWrap w:val="0"/>
            <w:vAlign w:val="center"/>
          </w:tcPr>
          <w:p w14:paraId="52864F99">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开标时间和地点、参加开标会议的要求</w:t>
            </w:r>
          </w:p>
        </w:tc>
        <w:tc>
          <w:tcPr>
            <w:tcW w:w="5596" w:type="dxa"/>
            <w:noWrap w:val="0"/>
            <w:vAlign w:val="center"/>
          </w:tcPr>
          <w:p w14:paraId="40C7A69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2"/>
                <w:sz w:val="21"/>
                <w:szCs w:val="21"/>
                <w:highlight w:val="none"/>
              </w:rPr>
              <w:t>一、开标时间：同投标截止时间。</w:t>
            </w:r>
          </w:p>
          <w:p w14:paraId="6BDC47C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二、开标地点：绍兴市公共资源交易中心指定开标室</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绍兴市越城区洋江西路 699 号梅山春晓</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p>
          <w:p w14:paraId="11B986F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三、开标平台:绍兴市公共资源交易中心电子招投标交易平台</w:t>
            </w:r>
          </w:p>
          <w:p w14:paraId="2DD2A725">
            <w:pPr>
              <w:keepNext w:val="0"/>
              <w:keepLines w:val="0"/>
              <w:pageBreakBefore w:val="0"/>
              <w:numPr>
                <w:ilvl w:val="0"/>
                <w:numId w:val="4"/>
              </w:numPr>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position w:val="1"/>
                <w:sz w:val="21"/>
                <w:szCs w:val="21"/>
                <w:highlight w:val="none"/>
              </w:rPr>
            </w:pPr>
            <w:r>
              <w:rPr>
                <w:rFonts w:hint="eastAsia" w:ascii="宋体" w:hAnsi="宋体" w:eastAsia="宋体" w:cs="宋体"/>
                <w:color w:val="auto"/>
                <w:position w:val="1"/>
                <w:sz w:val="21"/>
                <w:szCs w:val="21"/>
                <w:highlight w:val="none"/>
              </w:rPr>
              <w:t>参加开标会议的要求</w:t>
            </w:r>
          </w:p>
          <w:p w14:paraId="4F980B1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3971A6C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2、开标过程中要求投标人进行澄清、说明或者补正的，须通过指定的电子邮箱</w:t>
            </w:r>
            <w:r>
              <w:rPr>
                <w:rFonts w:hint="eastAsia" w:ascii="宋体" w:hAnsi="宋体" w:eastAsia="宋体" w:cs="宋体"/>
                <w:b/>
                <w:bCs/>
                <w:i w:val="0"/>
                <w:iCs/>
                <w:color w:val="auto"/>
                <w:sz w:val="21"/>
                <w:szCs w:val="21"/>
                <w:highlight w:val="none"/>
                <w:u w:val="single"/>
                <w:lang w:val="en-US" w:eastAsia="zh-CN"/>
              </w:rPr>
              <w:t>3937356533@qq.com</w:t>
            </w:r>
            <w:r>
              <w:rPr>
                <w:rFonts w:hint="eastAsia" w:ascii="宋体" w:hAnsi="宋体" w:eastAsia="宋体" w:cs="宋体"/>
                <w:b/>
                <w:bCs/>
                <w:i/>
                <w:color w:val="auto"/>
                <w:sz w:val="21"/>
                <w:szCs w:val="21"/>
                <w:highlight w:val="none"/>
                <w:u w:val="single"/>
              </w:rPr>
              <w:t xml:space="preserve"> </w:t>
            </w:r>
            <w:r>
              <w:rPr>
                <w:rFonts w:hint="eastAsia" w:ascii="宋体" w:hAnsi="宋体" w:eastAsia="宋体" w:cs="宋体"/>
                <w:color w:val="auto"/>
                <w:sz w:val="21"/>
                <w:szCs w:val="21"/>
                <w:highlight w:val="none"/>
              </w:rPr>
              <w:t>作出澄清、说明或者补正，提交澄清、说明或补正的时间为接到工作人员电话通知后半小时内。请投标单位期间电话保持畅通，如未及时接听电话，视为放弃澄清、说明或补正的权利；</w:t>
            </w:r>
          </w:p>
          <w:p w14:paraId="6E122D9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3、取消投标人法定代表人或授权委托人到场签字要求，取消开标记录表签字要求；</w:t>
            </w:r>
          </w:p>
          <w:p w14:paraId="3D817F3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i/>
                <w:color w:val="auto"/>
                <w:sz w:val="21"/>
                <w:szCs w:val="21"/>
                <w:highlight w:val="none"/>
              </w:rPr>
            </w:pPr>
            <w:r>
              <w:rPr>
                <w:rFonts w:hint="eastAsia" w:ascii="宋体" w:hAnsi="宋体" w:eastAsia="宋体" w:cs="宋体"/>
                <w:strike w:val="0"/>
                <w:dstrike w:val="0"/>
                <w:color w:val="auto"/>
                <w:sz w:val="21"/>
                <w:szCs w:val="21"/>
                <w:highlight w:val="none"/>
              </w:rPr>
              <w:t>4、由代理机构工作人员现场在监督部门、公证处监督下</w:t>
            </w:r>
            <w:r>
              <w:rPr>
                <w:rFonts w:hint="eastAsia" w:ascii="宋体" w:hAnsi="宋体" w:eastAsia="宋体" w:cs="宋体"/>
                <w:strike/>
                <w:dstrike w:val="0"/>
                <w:color w:val="auto"/>
                <w:sz w:val="21"/>
                <w:szCs w:val="21"/>
                <w:highlight w:val="none"/>
              </w:rPr>
              <w:t>核验投标文件密封性并开启投标文件，</w:t>
            </w:r>
            <w:r>
              <w:rPr>
                <w:rFonts w:hint="eastAsia" w:ascii="宋体" w:hAnsi="宋体" w:eastAsia="宋体" w:cs="宋体"/>
                <w:strike w:val="0"/>
                <w:dstrike w:val="0"/>
                <w:color w:val="auto"/>
                <w:sz w:val="21"/>
                <w:szCs w:val="21"/>
                <w:highlight w:val="none"/>
              </w:rPr>
              <w:t>组织评审，并对开评标活动进行全程录音录像。</w:t>
            </w:r>
          </w:p>
        </w:tc>
      </w:tr>
      <w:tr w14:paraId="5FA15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3A7B4AE">
            <w:pPr>
              <w:spacing w:line="312"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lang w:val="en-US" w:eastAsia="zh-CN"/>
              </w:rPr>
              <w:t>5.2</w:t>
            </w:r>
          </w:p>
        </w:tc>
        <w:tc>
          <w:tcPr>
            <w:tcW w:w="2050" w:type="dxa"/>
            <w:noWrap w:val="0"/>
            <w:vAlign w:val="center"/>
          </w:tcPr>
          <w:p w14:paraId="4F215859">
            <w:pPr>
              <w:tabs>
                <w:tab w:val="left" w:pos="1480"/>
              </w:tabs>
              <w:spacing w:line="312"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rPr>
              <w:t>开标程序</w:t>
            </w:r>
          </w:p>
        </w:tc>
        <w:tc>
          <w:tcPr>
            <w:tcW w:w="5596" w:type="dxa"/>
            <w:noWrap w:val="0"/>
            <w:vAlign w:val="top"/>
          </w:tcPr>
          <w:p w14:paraId="50B7E910">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（一）宣布开标</w:t>
            </w:r>
          </w:p>
          <w:p w14:paraId="2682B29F">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（二）公布投标人数量</w:t>
            </w:r>
          </w:p>
          <w:p w14:paraId="5B624DAF">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（三）投标人解密（投标文件解密在 </w:t>
            </w:r>
            <w:r>
              <w:rPr>
                <w:rFonts w:hint="eastAsia" w:ascii="宋体" w:hAnsi="宋体" w:eastAsia="宋体" w:cs="宋体"/>
                <w:b/>
                <w:bCs/>
                <w:color w:val="auto"/>
                <w:highlight w:val="none"/>
                <w:lang w:val="en-US" w:eastAsia="zh-CN"/>
              </w:rPr>
              <w:t>60</w:t>
            </w:r>
            <w:r>
              <w:rPr>
                <w:rFonts w:hint="eastAsia" w:ascii="宋体" w:hAnsi="宋体" w:eastAsia="宋体" w:cs="宋体"/>
                <w:b/>
                <w:bCs/>
                <w:color w:val="auto"/>
                <w:highlight w:val="none"/>
              </w:rPr>
              <w:t xml:space="preserve"> 分钟内完成，具体以电子招投标交易平台系统时间为准）</w:t>
            </w:r>
          </w:p>
          <w:p w14:paraId="559BDD64">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（四）参数录入。</w:t>
            </w:r>
          </w:p>
          <w:p w14:paraId="1E7B724A">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（五）公布开标结果</w:t>
            </w:r>
          </w:p>
          <w:p w14:paraId="74BBB2AF">
            <w:pPr>
              <w:tabs>
                <w:tab w:val="left" w:pos="5680"/>
              </w:tabs>
              <w:spacing w:line="312" w:lineRule="auto"/>
              <w:ind w:left="105" w:leftChars="50" w:right="105" w:rightChars="50"/>
              <w:jc w:val="both"/>
              <w:rPr>
                <w:rFonts w:hint="eastAsia" w:ascii="宋体" w:hAnsi="宋体" w:eastAsia="宋体" w:cs="宋体"/>
                <w:b/>
                <w:bCs/>
                <w:strike w:val="0"/>
                <w:dstrike w:val="0"/>
                <w:color w:val="auto"/>
                <w:sz w:val="21"/>
                <w:szCs w:val="21"/>
                <w:highlight w:val="none"/>
              </w:rPr>
            </w:pPr>
            <w:r>
              <w:rPr>
                <w:rFonts w:hint="eastAsia" w:ascii="宋体" w:hAnsi="宋体" w:eastAsia="宋体" w:cs="宋体"/>
                <w:b/>
                <w:bCs/>
                <w:color w:val="auto"/>
                <w:highlight w:val="none"/>
              </w:rPr>
              <w:t>（六）开标结束</w:t>
            </w:r>
          </w:p>
        </w:tc>
      </w:tr>
      <w:tr w14:paraId="5A3D21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D88E1DE">
            <w:pPr>
              <w:pStyle w:val="5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w:t>
            </w:r>
          </w:p>
        </w:tc>
        <w:tc>
          <w:tcPr>
            <w:tcW w:w="2050" w:type="dxa"/>
            <w:noWrap w:val="0"/>
            <w:vAlign w:val="center"/>
          </w:tcPr>
          <w:p w14:paraId="7EF2526D">
            <w:pPr>
              <w:pStyle w:val="5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特殊情况处置</w:t>
            </w:r>
          </w:p>
        </w:tc>
        <w:tc>
          <w:tcPr>
            <w:tcW w:w="5596" w:type="dxa"/>
            <w:noWrap w:val="0"/>
            <w:vAlign w:val="center"/>
          </w:tcPr>
          <w:p w14:paraId="2556C12D">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1.因网络、系统、电力等不可抗力因素延期开标的，需更新制作投标文件并按招标文件要求重新递交。</w:t>
            </w:r>
          </w:p>
          <w:p w14:paraId="3CC7C7B2">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4AC3074F">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（2）投标人必须使用生成电子投标文件的CA数字证书加密电子投标文件，未加密的视为撤销其投标文件。</w:t>
            </w:r>
          </w:p>
          <w:p w14:paraId="5BDAC198">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3.其他：电子投标项目开标的其他相关程序按照我市相关规定《绍兴市区工程建设项目电子招标投标管理暂行办法》执行 。</w:t>
            </w:r>
          </w:p>
        </w:tc>
      </w:tr>
      <w:tr w14:paraId="45B6F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3" w:hRule="atLeast"/>
        </w:trPr>
        <w:tc>
          <w:tcPr>
            <w:tcW w:w="1521" w:type="dxa"/>
            <w:noWrap w:val="0"/>
            <w:vAlign w:val="center"/>
          </w:tcPr>
          <w:p w14:paraId="3947C3F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w:t>
            </w:r>
          </w:p>
        </w:tc>
        <w:tc>
          <w:tcPr>
            <w:tcW w:w="2050" w:type="dxa"/>
            <w:noWrap w:val="0"/>
            <w:vAlign w:val="center"/>
          </w:tcPr>
          <w:p w14:paraId="66E5AAB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评标委员会的组建</w:t>
            </w:r>
          </w:p>
        </w:tc>
        <w:tc>
          <w:tcPr>
            <w:tcW w:w="5596" w:type="dxa"/>
            <w:noWrap w:val="0"/>
            <w:vAlign w:val="center"/>
          </w:tcPr>
          <w:p w14:paraId="6658F5E5">
            <w:pPr>
              <w:keepNext w:val="0"/>
              <w:keepLines w:val="0"/>
              <w:pageBreakBefore w:val="0"/>
              <w:kinsoku/>
              <w:overflowPunct w:val="0"/>
              <w:topLinePunct/>
              <w:bidi w:val="0"/>
              <w:snapToGrid w:val="0"/>
              <w:spacing w:line="336" w:lineRule="auto"/>
              <w:ind w:left="525" w:hanging="525" w:hangingChars="2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i w:val="0"/>
                <w:iCs/>
                <w:color w:val="auto"/>
                <w:sz w:val="21"/>
                <w:szCs w:val="21"/>
                <w:highlight w:val="none"/>
                <w:u w:val="single"/>
                <w:lang w:val="en-US" w:eastAsia="zh-CN"/>
              </w:rPr>
              <w:t xml:space="preserve">7  </w:t>
            </w:r>
            <w:r>
              <w:rPr>
                <w:rFonts w:hint="eastAsia" w:ascii="宋体" w:hAnsi="宋体" w:eastAsia="宋体" w:cs="宋体"/>
                <w:color w:val="auto"/>
                <w:sz w:val="21"/>
                <w:szCs w:val="21"/>
                <w:highlight w:val="none"/>
              </w:rPr>
              <w:t>人。</w:t>
            </w:r>
          </w:p>
          <w:p w14:paraId="415470A0">
            <w:pPr>
              <w:keepNext w:val="0"/>
              <w:keepLines w:val="0"/>
              <w:pageBreakBefore w:val="0"/>
              <w:kinsoku/>
              <w:overflowPunct w:val="0"/>
              <w:topLinePunct/>
              <w:bidi w:val="0"/>
              <w:snapToGrid w:val="0"/>
              <w:spacing w:line="336" w:lineRule="auto"/>
              <w:ind w:left="525" w:hanging="525" w:hangingChars="2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其中招标人代表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人；专家</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w:t>
            </w:r>
          </w:p>
          <w:p w14:paraId="3426B6C0">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bookmarkStart w:id="3" w:name="OLE_LINK3"/>
            <w:r>
              <w:rPr>
                <w:rFonts w:hint="eastAsia" w:ascii="宋体" w:hAnsi="宋体" w:eastAsia="宋体" w:cs="宋体"/>
                <w:b/>
                <w:bCs/>
                <w:i w:val="0"/>
                <w:iCs/>
                <w:color w:val="auto"/>
                <w:sz w:val="21"/>
                <w:szCs w:val="21"/>
                <w:highlight w:val="none"/>
                <w:u w:val="single"/>
                <w:lang w:val="en-US" w:eastAsia="zh-CN"/>
              </w:rPr>
              <w:t>按规定</w:t>
            </w:r>
            <w:bookmarkEnd w:id="3"/>
            <w:r>
              <w:rPr>
                <w:rFonts w:hint="eastAsia" w:ascii="宋体" w:hAnsi="宋体" w:eastAsia="宋体" w:cs="宋体"/>
                <w:b/>
                <w:bCs/>
                <w:i w:val="0"/>
                <w:iCs/>
                <w:color w:val="auto"/>
                <w:sz w:val="21"/>
                <w:szCs w:val="21"/>
                <w:highlight w:val="none"/>
                <w:u w:val="single"/>
                <w:lang w:val="en-US" w:eastAsia="zh-CN"/>
              </w:rPr>
              <w:t xml:space="preserve">执行 </w:t>
            </w:r>
            <w:r>
              <w:rPr>
                <w:rFonts w:hint="eastAsia" w:ascii="宋体" w:hAnsi="宋体" w:eastAsia="宋体" w:cs="宋体"/>
                <w:color w:val="auto"/>
                <w:sz w:val="21"/>
                <w:szCs w:val="21"/>
                <w:highlight w:val="none"/>
              </w:rPr>
              <w:t>。</w:t>
            </w:r>
          </w:p>
        </w:tc>
      </w:tr>
      <w:tr w14:paraId="288362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D513069">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w:t>
            </w:r>
          </w:p>
        </w:tc>
        <w:tc>
          <w:tcPr>
            <w:tcW w:w="2050" w:type="dxa"/>
            <w:noWrap w:val="0"/>
            <w:vAlign w:val="center"/>
          </w:tcPr>
          <w:p w14:paraId="3838F8E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评标方法</w:t>
            </w:r>
          </w:p>
        </w:tc>
        <w:tc>
          <w:tcPr>
            <w:tcW w:w="5596" w:type="dxa"/>
            <w:noWrap w:val="0"/>
            <w:vAlign w:val="center"/>
          </w:tcPr>
          <w:p w14:paraId="451EF116">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lang w:eastAsia="zh-CN"/>
              </w:rPr>
              <w:t>□</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"http://218.108.28.22/zjgcjy/infodetail/?infoid=25b0d8ef-782f-44f1-a7c2-cdfa059b2aa2&amp;siteid=1&amp;categoryNum=032003"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position w:val="3"/>
                <w:sz w:val="21"/>
                <w:szCs w:val="21"/>
                <w:highlight w:val="none"/>
              </w:rPr>
              <w:t>经评审的最低投标价法</w:t>
            </w:r>
            <w:r>
              <w:rPr>
                <w:rFonts w:hint="eastAsia" w:ascii="宋体" w:hAnsi="宋体" w:eastAsia="宋体" w:cs="宋体"/>
                <w:color w:val="auto"/>
                <w:position w:val="3"/>
                <w:sz w:val="21"/>
                <w:szCs w:val="21"/>
                <w:highlight w:val="none"/>
              </w:rPr>
              <w:fldChar w:fldCharType="end"/>
            </w:r>
            <w:r>
              <w:rPr>
                <w:rFonts w:hint="eastAsia" w:ascii="宋体" w:hAnsi="宋体" w:eastAsia="宋体" w:cs="宋体"/>
                <w:color w:val="auto"/>
                <w:position w:val="3"/>
                <w:sz w:val="21"/>
                <w:szCs w:val="21"/>
                <w:highlight w:val="none"/>
              </w:rPr>
              <w:t>。</w:t>
            </w:r>
          </w:p>
          <w:p w14:paraId="6781FF01">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4"/>
                <w:sz w:val="21"/>
                <w:szCs w:val="21"/>
                <w:highlight w:val="none"/>
                <w:lang w:eastAsia="zh-CN"/>
              </w:rPr>
              <w:t>☑</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"http://218.108.28.22/zjgcjy/infodetail/?infoid=3561d4c5-1965-4914-8d10-bfd371957ee6&amp;siteid=1&amp;categoryNum=032003"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position w:val="4"/>
                <w:sz w:val="21"/>
                <w:szCs w:val="21"/>
                <w:highlight w:val="none"/>
              </w:rPr>
              <w:t>综合评估法</w:t>
            </w:r>
            <w:r>
              <w:rPr>
                <w:rFonts w:hint="eastAsia" w:ascii="宋体" w:hAnsi="宋体" w:eastAsia="宋体" w:cs="宋体"/>
                <w:color w:val="auto"/>
                <w:position w:val="4"/>
                <w:sz w:val="21"/>
                <w:szCs w:val="21"/>
                <w:highlight w:val="none"/>
              </w:rPr>
              <w:fldChar w:fldCharType="end"/>
            </w:r>
            <w:r>
              <w:rPr>
                <w:rFonts w:hint="eastAsia" w:ascii="宋体" w:hAnsi="宋体" w:eastAsia="宋体" w:cs="宋体"/>
                <w:color w:val="auto"/>
                <w:position w:val="4"/>
                <w:sz w:val="21"/>
                <w:szCs w:val="21"/>
                <w:highlight w:val="none"/>
              </w:rPr>
              <w:t>。</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"http://218.108.28.22/zjgcjy/infodetail/?infoid=3561d4c5-1965-4914-8d10-bfd371957ee6&amp;siteid=1&amp;categoryNum=032003"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fldChar w:fldCharType="end"/>
            </w:r>
          </w:p>
        </w:tc>
      </w:tr>
      <w:tr w14:paraId="0A186C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2A6591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6.4.2</w:t>
            </w:r>
          </w:p>
        </w:tc>
        <w:tc>
          <w:tcPr>
            <w:tcW w:w="2050" w:type="dxa"/>
            <w:noWrap w:val="0"/>
            <w:vAlign w:val="center"/>
          </w:tcPr>
          <w:p w14:paraId="34627EB6">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评标委员会推荐</w:t>
            </w:r>
          </w:p>
          <w:p w14:paraId="11209D2F">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w:t>
            </w:r>
          </w:p>
        </w:tc>
        <w:tc>
          <w:tcPr>
            <w:tcW w:w="5596" w:type="dxa"/>
            <w:noWrap w:val="0"/>
            <w:vAlign w:val="center"/>
          </w:tcPr>
          <w:p w14:paraId="02D0E1F5">
            <w:pPr>
              <w:pStyle w:val="18"/>
              <w:keepNext w:val="0"/>
              <w:keepLines w:val="0"/>
              <w:pageBreakBefore w:val="0"/>
              <w:tabs>
                <w:tab w:val="left" w:pos="5680"/>
              </w:tabs>
              <w:kinsoku/>
              <w:overflowPunct w:val="0"/>
              <w:topLinePunct/>
              <w:bidi w:val="0"/>
              <w:snapToGrid w:val="0"/>
              <w:spacing w:after="0"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推荐的中标候选人数量：</w:t>
            </w:r>
            <w:r>
              <w:rPr>
                <w:rFonts w:hint="eastAsia"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rPr>
              <w:t>家。</w:t>
            </w:r>
          </w:p>
          <w:p w14:paraId="4C7DABE4">
            <w:pPr>
              <w:pStyle w:val="18"/>
              <w:keepNext w:val="0"/>
              <w:keepLines w:val="0"/>
              <w:pageBreakBefore w:val="0"/>
              <w:tabs>
                <w:tab w:val="left" w:pos="5680"/>
              </w:tabs>
              <w:kinsoku/>
              <w:overflowPunct w:val="0"/>
              <w:topLinePunct/>
              <w:bidi w:val="0"/>
              <w:snapToGrid w:val="0"/>
              <w:spacing w:after="0"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推荐入围定标的中标候选人：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人。（适用于“评定分离”。注：原则上推荐3名中标候选人，最多不超过5个。推荐名单的中标候选人不排名次。）</w:t>
            </w:r>
          </w:p>
        </w:tc>
      </w:tr>
      <w:tr w14:paraId="53C74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1937489">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2050" w:type="dxa"/>
            <w:noWrap w:val="0"/>
            <w:vAlign w:val="center"/>
          </w:tcPr>
          <w:p w14:paraId="656AA82E">
            <w:pPr>
              <w:pStyle w:val="5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确定中标人</w:t>
            </w:r>
          </w:p>
        </w:tc>
        <w:tc>
          <w:tcPr>
            <w:tcW w:w="5596" w:type="dxa"/>
            <w:noWrap w:val="0"/>
            <w:vAlign w:val="center"/>
          </w:tcPr>
          <w:p w14:paraId="7546CB3E">
            <w:pPr>
              <w:pStyle w:val="5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授权评标委员会确定中标人。</w:t>
            </w:r>
          </w:p>
          <w:p w14:paraId="0CAB2BFF">
            <w:pPr>
              <w:pStyle w:val="5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根据评标委员会推荐，由招标人确定中标人。</w:t>
            </w:r>
          </w:p>
          <w:p w14:paraId="5EDB2AE9">
            <w:pPr>
              <w:pStyle w:val="5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评定分离，根据评标委员会推荐，另行组织定标会议，由定标委员会确定中标人。</w:t>
            </w:r>
          </w:p>
          <w:p w14:paraId="77C9EB08">
            <w:pPr>
              <w:pStyle w:val="5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              。</w:t>
            </w:r>
          </w:p>
        </w:tc>
      </w:tr>
      <w:tr w14:paraId="2ADFA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6D0024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7.1.4</w:t>
            </w:r>
          </w:p>
        </w:tc>
        <w:tc>
          <w:tcPr>
            <w:tcW w:w="2050" w:type="dxa"/>
            <w:noWrap w:val="0"/>
            <w:vAlign w:val="center"/>
          </w:tcPr>
          <w:p w14:paraId="18688236">
            <w:pPr>
              <w:pStyle w:val="56"/>
              <w:keepNext w:val="0"/>
              <w:keepLines w:val="0"/>
              <w:pageBreakBefore w:val="0"/>
              <w:kinsoku/>
              <w:overflowPunct w:val="0"/>
              <w:topLinePunct/>
              <w:bidi w:val="0"/>
              <w:snapToGrid w:val="0"/>
              <w:spacing w:line="336" w:lineRule="auto"/>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sz w:val="21"/>
                <w:szCs w:val="21"/>
                <w:highlight w:val="none"/>
              </w:rPr>
              <w:t>中</w:t>
            </w:r>
            <w:r>
              <w:rPr>
                <w:rFonts w:hint="eastAsia" w:ascii="宋体" w:hAnsi="宋体" w:eastAsia="宋体" w:cs="宋体"/>
                <w:color w:val="auto"/>
                <w:sz w:val="21"/>
                <w:szCs w:val="21"/>
                <w:highlight w:val="none"/>
              </w:rPr>
              <w:t>标公告媒介及期限</w:t>
            </w:r>
          </w:p>
        </w:tc>
        <w:tc>
          <w:tcPr>
            <w:tcW w:w="5596" w:type="dxa"/>
            <w:noWrap w:val="0"/>
            <w:vAlign w:val="center"/>
          </w:tcPr>
          <w:p w14:paraId="20F4DA3E">
            <w:pPr>
              <w:keepNext w:val="0"/>
              <w:keepLines w:val="0"/>
              <w:pageBreakBefore w:val="0"/>
              <w:kinsoku/>
              <w:overflowPunct w:val="0"/>
              <w:topLinePunct/>
              <w:bidi w:val="0"/>
              <w:snapToGrid w:val="0"/>
              <w:spacing w:line="336" w:lineRule="auto"/>
              <w:jc w:val="left"/>
              <w:rPr>
                <w:rFonts w:hint="eastAsia" w:ascii="宋体" w:hAnsi="宋体" w:eastAsia="宋体" w:cs="宋体"/>
                <w:b/>
                <w:bCs/>
                <w:i w:val="0"/>
                <w:iCs/>
                <w:color w:val="auto"/>
                <w:sz w:val="21"/>
                <w:szCs w:val="21"/>
                <w:highlight w:val="none"/>
                <w:u w:val="single"/>
                <w:lang w:val="en-US" w:eastAsia="zh-CN"/>
              </w:rPr>
            </w:pPr>
            <w:r>
              <w:rPr>
                <w:rFonts w:hint="eastAsia" w:ascii="宋体" w:hAnsi="宋体" w:eastAsia="宋体" w:cs="宋体"/>
                <w:color w:val="auto"/>
                <w:sz w:val="21"/>
                <w:szCs w:val="21"/>
                <w:highlight w:val="none"/>
              </w:rPr>
              <w:t>公</w:t>
            </w:r>
            <w:r>
              <w:rPr>
                <w:rFonts w:hint="eastAsia" w:ascii="宋体" w:hAnsi="宋体" w:eastAsia="宋体" w:cs="宋体"/>
                <w:color w:val="auto"/>
                <w:spacing w:val="-2"/>
                <w:sz w:val="21"/>
                <w:szCs w:val="21"/>
                <w:highlight w:val="none"/>
              </w:rPr>
              <w:t>告</w:t>
            </w:r>
            <w:r>
              <w:rPr>
                <w:rFonts w:hint="eastAsia" w:ascii="宋体" w:hAnsi="宋体" w:eastAsia="宋体" w:cs="宋体"/>
                <w:color w:val="auto"/>
                <w:sz w:val="21"/>
                <w:szCs w:val="21"/>
                <w:highlight w:val="none"/>
              </w:rPr>
              <w:t>媒介：</w:t>
            </w:r>
            <w:r>
              <w:rPr>
                <w:rFonts w:hint="eastAsia" w:ascii="宋体" w:hAnsi="宋体" w:eastAsia="宋体" w:cs="宋体"/>
                <w:b/>
                <w:bCs/>
                <w:i w:val="0"/>
                <w:iCs/>
                <w:color w:val="auto"/>
                <w:sz w:val="21"/>
                <w:szCs w:val="21"/>
                <w:highlight w:val="none"/>
                <w:u w:val="single"/>
                <w:lang w:val="en-US" w:eastAsia="zh-CN"/>
              </w:rPr>
              <w:t>绍兴公共资源交易网（https://ggb.sx.gov.cn/）</w:t>
            </w:r>
          </w:p>
          <w:p w14:paraId="1F956DE9">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公告期限：不少于3日。如遇国家法定休假日，应顺延至法定休假日后第一个工作日。</w:t>
            </w:r>
          </w:p>
        </w:tc>
      </w:tr>
      <w:tr w14:paraId="14992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4A13A2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w:t>
            </w:r>
          </w:p>
        </w:tc>
        <w:tc>
          <w:tcPr>
            <w:tcW w:w="2050" w:type="dxa"/>
            <w:noWrap w:val="0"/>
            <w:vAlign w:val="center"/>
          </w:tcPr>
          <w:p w14:paraId="00847D23">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中标候选人公示</w:t>
            </w:r>
          </w:p>
        </w:tc>
        <w:tc>
          <w:tcPr>
            <w:tcW w:w="5596" w:type="dxa"/>
            <w:noWrap w:val="0"/>
            <w:vAlign w:val="center"/>
          </w:tcPr>
          <w:p w14:paraId="405DC768">
            <w:pPr>
              <w:keepNext w:val="0"/>
              <w:keepLines w:val="0"/>
              <w:pageBreakBefore w:val="0"/>
              <w:tabs>
                <w:tab w:val="left" w:pos="2150"/>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4E025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2FECC4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7.4.1</w:t>
            </w:r>
          </w:p>
        </w:tc>
        <w:tc>
          <w:tcPr>
            <w:tcW w:w="2050" w:type="dxa"/>
            <w:noWrap w:val="0"/>
            <w:vAlign w:val="center"/>
          </w:tcPr>
          <w:p w14:paraId="5240F3B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5596" w:type="dxa"/>
            <w:noWrap w:val="0"/>
            <w:vAlign w:val="center"/>
          </w:tcPr>
          <w:p w14:paraId="7EA93A0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履约保证金的形式：</w:t>
            </w:r>
            <w:bookmarkStart w:id="4" w:name="EB729f8822ed244be9b6cbf8c77e802a6c"/>
            <w:r>
              <w:rPr>
                <w:rFonts w:hint="eastAsia" w:ascii="宋体" w:hAnsi="宋体" w:eastAsia="宋体" w:cs="宋体"/>
                <w:color w:val="auto"/>
                <w:sz w:val="21"/>
                <w:szCs w:val="21"/>
                <w:highlight w:val="none"/>
              </w:rPr>
              <w:t>现金、支票、汇票、转账、银行保函、融资担保公司保函或者保险机构保证、保险、保单。</w:t>
            </w:r>
            <w:bookmarkEnd w:id="4"/>
          </w:p>
          <w:p w14:paraId="5F99186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履约保证金的金额：合同总价的</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2</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%(不得超过2%)。</w:t>
            </w:r>
          </w:p>
        </w:tc>
      </w:tr>
      <w:tr w14:paraId="271F4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ACC5B0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w:t>
            </w:r>
          </w:p>
        </w:tc>
        <w:tc>
          <w:tcPr>
            <w:tcW w:w="2050" w:type="dxa"/>
            <w:noWrap w:val="0"/>
            <w:vAlign w:val="center"/>
          </w:tcPr>
          <w:p w14:paraId="163C255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不再招标的情形</w:t>
            </w:r>
          </w:p>
        </w:tc>
        <w:tc>
          <w:tcPr>
            <w:tcW w:w="5596" w:type="dxa"/>
            <w:noWrap w:val="0"/>
            <w:vAlign w:val="center"/>
          </w:tcPr>
          <w:p w14:paraId="48996B4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重新招标后投标人仍少于3个，属于必须审批、核准的工程建设项目，经报相关部门批准后，可以不再进行招标。</w:t>
            </w:r>
          </w:p>
        </w:tc>
      </w:tr>
      <w:tr w14:paraId="4BC97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05E76DF">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2050" w:type="dxa"/>
            <w:noWrap w:val="0"/>
            <w:vAlign w:val="center"/>
          </w:tcPr>
          <w:p w14:paraId="77C2F6BC">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异议和投诉</w:t>
            </w:r>
          </w:p>
        </w:tc>
        <w:tc>
          <w:tcPr>
            <w:tcW w:w="5596" w:type="dxa"/>
            <w:noWrap w:val="0"/>
            <w:vAlign w:val="center"/>
          </w:tcPr>
          <w:p w14:paraId="1C1B871D">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9.5.1异议</w:t>
            </w:r>
          </w:p>
          <w:p w14:paraId="0EF19DB6">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3A9CD645">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（2）投标人认为开标不符合有关规定的，应当在开标时提出异议。招标人将当场对异议给予处理或者告知处理的办法。异议和答复应记入开标记录或者制作专门记录以存档备查。</w:t>
            </w:r>
          </w:p>
          <w:p w14:paraId="31B03B0B">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（3）投标人及其他利害关系人对评标结果有异议的，应当在中标候选人公示期内以书面形式向招标人提出。招标人将在收到异议之日起3日内作出书面答复；作出答复前，暂停招标投标活动。</w:t>
            </w:r>
          </w:p>
          <w:p w14:paraId="59CEA8A6">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9.5.2投诉</w:t>
            </w:r>
          </w:p>
          <w:p w14:paraId="6F556BE4">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1BF37011">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上述时限最后一日如遇国家法定休假日的，顺延至法定休假日后的第一个工作日。</w:t>
            </w:r>
          </w:p>
        </w:tc>
      </w:tr>
      <w:tr w14:paraId="06F9D2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048869AB">
            <w:pPr>
              <w:pStyle w:val="5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2050" w:type="dxa"/>
            <w:noWrap w:val="0"/>
            <w:vAlign w:val="center"/>
          </w:tcPr>
          <w:p w14:paraId="3551BA8F">
            <w:pPr>
              <w:pStyle w:val="56"/>
              <w:keepNext w:val="0"/>
              <w:keepLines w:val="0"/>
              <w:pageBreakBefore w:val="0"/>
              <w:kinsoku/>
              <w:overflowPunct w:val="0"/>
              <w:topLinePunct/>
              <w:bidi w:val="0"/>
              <w:snapToGrid w:val="0"/>
              <w:spacing w:line="336" w:lineRule="auto"/>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p>
        </w:tc>
        <w:tc>
          <w:tcPr>
            <w:tcW w:w="5596" w:type="dxa"/>
            <w:noWrap w:val="0"/>
            <w:vAlign w:val="center"/>
          </w:tcPr>
          <w:p w14:paraId="29327DD0">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投诉受理的具体部门及电话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绍兴市住房和城乡建设局，</w:t>
            </w:r>
            <w:r>
              <w:rPr>
                <w:rFonts w:hint="eastAsia" w:ascii="宋体" w:hAnsi="宋体" w:eastAsia="宋体" w:cs="宋体"/>
                <w:b/>
                <w:bCs/>
                <w:color w:val="auto"/>
                <w:sz w:val="21"/>
                <w:szCs w:val="21"/>
                <w:highlight w:val="none"/>
                <w:u w:val="single"/>
                <w:lang w:val="en-US" w:eastAsia="zh-CN"/>
              </w:rPr>
              <w:t>0575-85115633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w:t>
            </w:r>
          </w:p>
        </w:tc>
      </w:tr>
      <w:tr w14:paraId="1BE7F6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0E0259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p>
        </w:tc>
        <w:tc>
          <w:tcPr>
            <w:tcW w:w="2050" w:type="dxa"/>
            <w:noWrap w:val="0"/>
            <w:vAlign w:val="center"/>
          </w:tcPr>
          <w:p w14:paraId="378803CA">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否决投标的情形</w:t>
            </w:r>
          </w:p>
        </w:tc>
        <w:tc>
          <w:tcPr>
            <w:tcW w:w="5596" w:type="dxa"/>
            <w:noWrap w:val="0"/>
            <w:vAlign w:val="center"/>
          </w:tcPr>
          <w:p w14:paraId="5D9F6D3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14:paraId="5053BCE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二、投标文件存在以下情形之一的，由评标委员会审核并经过询标程序，其投标文件将被否决：</w:t>
            </w:r>
          </w:p>
          <w:p w14:paraId="70FA66A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(一)符合性内容</w:t>
            </w:r>
          </w:p>
          <w:p w14:paraId="1CA21D9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1.投标人的资质、业绩、人员、设备(材料)等条件未满足招标文件实质性响应要求的(以投标人须知前附表3.5.7中“一、实质性响应招标文件资料”内容为准)；</w:t>
            </w:r>
          </w:p>
          <w:p w14:paraId="720A9C6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2.投标文件未按招标文件的要求(以投标人须知前附表第3.7.3项规定为准)签字或盖章的；</w:t>
            </w:r>
          </w:p>
          <w:p w14:paraId="31D02FF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lang w:eastAsia="zh-CN"/>
              </w:rPr>
              <w:t>☑</w:t>
            </w:r>
            <w:r>
              <w:rPr>
                <w:rFonts w:hint="eastAsia" w:ascii="宋体" w:hAnsi="宋体" w:eastAsia="宋体" w:cs="宋体"/>
                <w:color w:val="auto"/>
                <w:position w:val="1"/>
                <w:sz w:val="21"/>
                <w:szCs w:val="21"/>
                <w:highlight w:val="none"/>
              </w:rPr>
              <w:t>3.委托代理人无有效的</w:t>
            </w:r>
            <w:r>
              <w:rPr>
                <w:rFonts w:hint="eastAsia" w:ascii="宋体" w:hAnsi="宋体" w:eastAsia="宋体" w:cs="宋体"/>
                <w:color w:val="auto"/>
                <w:sz w:val="21"/>
                <w:szCs w:val="21"/>
                <w:highlight w:val="none"/>
              </w:rPr>
              <w:t>法定代表人</w:t>
            </w:r>
            <w:r>
              <w:rPr>
                <w:rFonts w:hint="eastAsia" w:ascii="宋体" w:hAnsi="宋体" w:eastAsia="宋体" w:cs="宋体"/>
                <w:color w:val="auto"/>
                <w:position w:val="1"/>
                <w:sz w:val="21"/>
                <w:szCs w:val="21"/>
                <w:highlight w:val="none"/>
              </w:rPr>
              <w:t>授权委托书的；</w:t>
            </w:r>
          </w:p>
          <w:p w14:paraId="2A4BFA4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4.投标人存在投标人须知第1.4.3项和投标人须知前附表第10.3款第五点规定情形的。</w:t>
            </w:r>
          </w:p>
          <w:p w14:paraId="5F25933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5.投标函载明的交货期不响应招标文件要求的；</w:t>
            </w:r>
          </w:p>
          <w:p w14:paraId="62323B3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6.投标人不以自己的名义或未按招标文件要求提供投标保证金，或提供的投标保证金有缺陷而不能接受的；</w:t>
            </w:r>
          </w:p>
          <w:p w14:paraId="1719CB7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7.投标报价高于招标文件设定的最高投标限价的；</w:t>
            </w:r>
          </w:p>
          <w:p w14:paraId="0B58099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8.改变招标人提供的设备(材料)清单内容的(货物名称、单位、数量)；</w:t>
            </w:r>
          </w:p>
          <w:p w14:paraId="7E0613A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9.投标人及其拟派项目负责人被列入建筑市场严重失信名单（以全国建筑市场监管公共服务平台黑名单记录、失信联合惩戒记录和浙江省建筑市场监管公共服务系统严重失信名单的信息为准）；</w:t>
            </w:r>
          </w:p>
          <w:p w14:paraId="5E72BE5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10.投标人为非中小企业的，投标人未提供《中小企业声明函》或未按照招标文件所附的《中小企业声明函》格式提供的；</w:t>
            </w:r>
          </w:p>
          <w:p w14:paraId="77AA34C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11.投标人存在行贿犯罪记录的；</w:t>
            </w:r>
          </w:p>
          <w:p w14:paraId="3220D5AE">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12.不同投标人的投标文件制作机器码、文件创建标识码一致的；（具体说明：</w:t>
            </w:r>
            <w:r>
              <w:rPr>
                <w:rFonts w:hint="eastAsia" w:ascii="宋体" w:hAnsi="宋体" w:eastAsia="宋体" w:cs="宋体"/>
                <w:b/>
                <w:bCs/>
                <w:color w:val="auto"/>
                <w:sz w:val="21"/>
                <w:szCs w:val="21"/>
                <w:highlight w:val="none"/>
                <w:u w:val="single"/>
              </w:rPr>
              <w:t xml:space="preserve">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 </w:t>
            </w:r>
            <w:r>
              <w:rPr>
                <w:rFonts w:hint="eastAsia" w:ascii="宋体" w:hAnsi="宋体" w:eastAsia="宋体" w:cs="宋体"/>
                <w:color w:val="auto"/>
                <w:sz w:val="21"/>
                <w:szCs w:val="21"/>
                <w:highlight w:val="none"/>
              </w:rPr>
              <w:t>）</w:t>
            </w:r>
          </w:p>
          <w:p w14:paraId="52436CA7">
            <w:pPr>
              <w:pStyle w:val="55"/>
              <w:keepNext w:val="0"/>
              <w:keepLines w:val="0"/>
              <w:pageBreakBefore w:val="0"/>
              <w:tabs>
                <w:tab w:val="left" w:pos="3376"/>
                <w:tab w:val="left" w:pos="5680"/>
              </w:tabs>
              <w:kinsoku/>
              <w:overflowPunct w:val="0"/>
              <w:topLinePunct/>
              <w:bidi w:val="0"/>
              <w:snapToGrid w:val="0"/>
              <w:spacing w:line="336" w:lineRule="auto"/>
              <w:ind w:left="105" w:leftChars="50" w:right="105" w:rightChars="50" w:firstLine="0" w:firstLineChars="0"/>
              <w:jc w:val="both"/>
              <w:rPr>
                <w:rFonts w:hint="eastAsia" w:ascii="宋体" w:hAnsi="宋体" w:eastAsia="宋体" w:cs="宋体"/>
                <w:strike w:val="0"/>
                <w:dstrike w:val="0"/>
                <w:color w:val="auto"/>
                <w:sz w:val="21"/>
                <w:szCs w:val="21"/>
                <w:highlight w:val="none"/>
              </w:rPr>
            </w:pPr>
            <w:r>
              <w:rPr>
                <w:rFonts w:hint="eastAsia"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13.投标人提供的纸质投标文件水印码与电子投标文件不一致的；</w:t>
            </w:r>
          </w:p>
          <w:p w14:paraId="09A1E207">
            <w:pPr>
              <w:pStyle w:val="55"/>
              <w:keepNext w:val="0"/>
              <w:keepLines w:val="0"/>
              <w:pageBreakBefore w:val="0"/>
              <w:tabs>
                <w:tab w:val="left" w:pos="3376"/>
                <w:tab w:val="left" w:pos="5680"/>
              </w:tabs>
              <w:kinsoku/>
              <w:overflowPunct w:val="0"/>
              <w:topLinePunct/>
              <w:bidi w:val="0"/>
              <w:snapToGrid w:val="0"/>
              <w:spacing w:line="336" w:lineRule="auto"/>
              <w:ind w:left="105" w:leftChars="50" w:right="105" w:rightChars="50" w:firstLine="0" w:firstLineChars="0"/>
              <w:jc w:val="both"/>
              <w:rPr>
                <w:rFonts w:hint="eastAsia" w:ascii="宋体" w:hAnsi="宋体" w:eastAsia="宋体" w:cs="宋体"/>
                <w:strike w:val="0"/>
                <w:dstrike w:val="0"/>
                <w:color w:val="auto"/>
                <w:sz w:val="21"/>
                <w:szCs w:val="21"/>
                <w:highlight w:val="none"/>
              </w:rPr>
            </w:pPr>
            <w:r>
              <w:rPr>
                <w:rFonts w:hint="eastAsia"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14. 经招标人核实，投标人不符合“免缴投标保证金的”的条件，视同为未缴纳投标保证金；</w:t>
            </w:r>
          </w:p>
          <w:p w14:paraId="514DFDB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15.存在法律、法规、规章规定的其它无效投标情况的。</w:t>
            </w:r>
          </w:p>
          <w:p w14:paraId="3FDA97F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(二)技术标内容</w:t>
            </w:r>
          </w:p>
          <w:p w14:paraId="0FA583E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1.采用的验收标准和方法、主要技术指标达不到国家强制性标准或要求的；</w:t>
            </w:r>
          </w:p>
          <w:p w14:paraId="211CE47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dstrike w:val="0"/>
                <w:color w:val="auto"/>
                <w:sz w:val="21"/>
                <w:szCs w:val="21"/>
                <w:highlight w:val="none"/>
                <w:u w:val="single"/>
              </w:rPr>
            </w:pPr>
            <w:r>
              <w:rPr>
                <w:rFonts w:hint="eastAsia" w:ascii="宋体" w:hAnsi="宋体" w:eastAsia="宋体" w:cs="宋体"/>
                <w:strike/>
                <w:dstrike w:val="0"/>
                <w:color w:val="auto"/>
                <w:sz w:val="21"/>
                <w:szCs w:val="21"/>
                <w:highlight w:val="none"/>
              </w:rPr>
              <w:t>2.不符合以下技术规格、标准或性能指标的(招标人认为需要增加的，无则删除本条)：</w:t>
            </w:r>
          </w:p>
          <w:p w14:paraId="0D4B3B6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strike/>
                <w:dstrike w:val="0"/>
                <w:color w:val="auto"/>
                <w:sz w:val="21"/>
                <w:szCs w:val="21"/>
                <w:highlight w:val="none"/>
              </w:rPr>
              <w:t>.投标文件载明的货物包装方式、检验标准和方法等不符合以下要求的(招标人需要增加的其他内容，无则删除本条)：</w:t>
            </w:r>
          </w:p>
          <w:p w14:paraId="1DB5659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4.存在评标办法规定的否决投标情况的；</w:t>
            </w:r>
          </w:p>
          <w:p w14:paraId="36722D8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dstrike w:val="0"/>
                <w:color w:val="auto"/>
                <w:sz w:val="21"/>
                <w:szCs w:val="21"/>
                <w:highlight w:val="none"/>
              </w:rPr>
            </w:pPr>
            <w:r>
              <w:rPr>
                <w:rFonts w:hint="eastAsia" w:ascii="宋体" w:hAnsi="宋体" w:eastAsia="宋体" w:cs="宋体"/>
                <w:strike/>
                <w:dstrike w:val="0"/>
                <w:color w:val="auto"/>
                <w:sz w:val="21"/>
                <w:szCs w:val="21"/>
                <w:highlight w:val="none"/>
              </w:rPr>
              <w:t>5.(招标人需要增加的符合法律法规规定的其他内容，无则删除本条)。</w:t>
            </w:r>
          </w:p>
          <w:p w14:paraId="374F3A1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(三)商务标内容</w:t>
            </w:r>
          </w:p>
          <w:p w14:paraId="197F247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1.同一投标人提交两个以上不同的投标文件或者投标报价的(招标文件要求提交备选投标的除外)；</w:t>
            </w:r>
          </w:p>
          <w:p w14:paraId="6CDBC98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rPr>
            </w:pPr>
            <w:r>
              <w:rPr>
                <w:rFonts w:hint="eastAsia" w:ascii="宋体" w:hAnsi="宋体" w:eastAsia="宋体" w:cs="宋体"/>
                <w:color w:val="auto"/>
                <w:position w:val="1"/>
                <w:sz w:val="21"/>
                <w:szCs w:val="21"/>
                <w:highlight w:val="none"/>
              </w:rPr>
              <w:t>2.报价评审时，投标人拒绝按以下条款修正的：</w:t>
            </w:r>
            <w:r>
              <w:rPr>
                <w:rFonts w:hint="eastAsia" w:ascii="宋体" w:hAnsi="宋体" w:eastAsia="宋体" w:cs="宋体"/>
                <w:b/>
                <w:bCs/>
                <w:color w:val="auto"/>
                <w:highlight w:val="none"/>
                <w:u w:val="single"/>
              </w:rPr>
              <w:t>ⅰ如果数字表示的金额和用文字表示的金额不一致时，将以文字表示的金额为准；ⅱ当合价与投标总价不一致时，以投标总价为准，调整相关合价；ⅲ当单价与数量的乘积与合价不一致时，以合价为准，并调整单价</w:t>
            </w:r>
            <w:r>
              <w:rPr>
                <w:rFonts w:hint="eastAsia" w:ascii="宋体" w:hAnsi="宋体" w:eastAsia="宋体" w:cs="宋体"/>
                <w:b/>
                <w:bCs/>
                <w:color w:val="auto"/>
                <w:highlight w:val="none"/>
                <w:u w:val="single"/>
                <w:lang w:eastAsia="zh-CN"/>
              </w:rPr>
              <w:t>；</w:t>
            </w:r>
          </w:p>
          <w:p w14:paraId="5B9DA29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3.投标函载明的投标报价或其它关键内容不全或有瑕疵的；</w:t>
            </w:r>
          </w:p>
          <w:p w14:paraId="79344CD8">
            <w:pPr>
              <w:tabs>
                <w:tab w:val="left" w:pos="5680"/>
              </w:tabs>
              <w:spacing w:line="312"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4.未按以下要求进行报价的(招标人认为需要增加的，无则删除本条)：</w:t>
            </w:r>
            <w:r>
              <w:rPr>
                <w:rFonts w:hint="eastAsia" w:ascii="宋体" w:hAnsi="宋体" w:eastAsia="宋体" w:cs="宋体"/>
                <w:b/>
                <w:bCs/>
                <w:color w:val="auto"/>
                <w:highlight w:val="none"/>
                <w:u w:val="single"/>
              </w:rPr>
              <w:t>ⅰ投标人所报的投标综合单价（如有修正，按修正后的单价）在合同执行过程中是固定不变的（税率调整除外），不得以任何理由予以变更；ⅱ招标人不接受任何折扣优惠报价，不接受任何赠送和选择性报价；ⅲ投标人递交的投标函及投标报价表中的投标总价必须一致</w:t>
            </w:r>
            <w:r>
              <w:rPr>
                <w:rFonts w:hint="eastAsia" w:ascii="宋体" w:hAnsi="宋体" w:eastAsia="宋体" w:cs="宋体"/>
                <w:b/>
                <w:bCs/>
                <w:color w:val="auto"/>
                <w:highlight w:val="none"/>
                <w:u w:val="single"/>
                <w:lang w:eastAsia="zh-CN"/>
              </w:rPr>
              <w:t>；</w:t>
            </w:r>
          </w:p>
          <w:p w14:paraId="26B9ACF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dstrike w:val="0"/>
                <w:color w:val="auto"/>
                <w:sz w:val="21"/>
                <w:szCs w:val="21"/>
                <w:highlight w:val="none"/>
              </w:rPr>
              <w:t>5.(招标人需要增加的其他商务标内容，无则删除本条)。</w:t>
            </w:r>
          </w:p>
        </w:tc>
      </w:tr>
      <w:tr w14:paraId="668DC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4072F20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w:t>
            </w:r>
          </w:p>
        </w:tc>
        <w:tc>
          <w:tcPr>
            <w:tcW w:w="2050" w:type="dxa"/>
            <w:noWrap w:val="0"/>
            <w:vAlign w:val="center"/>
          </w:tcPr>
          <w:p w14:paraId="30ACF8D8">
            <w:pPr>
              <w:keepNext w:val="0"/>
              <w:keepLines w:val="0"/>
              <w:pageBreakBefore w:val="0"/>
              <w:kinsoku/>
              <w:wordWrap w:val="0"/>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定标（适用于“评定分离”）</w:t>
            </w:r>
          </w:p>
        </w:tc>
        <w:tc>
          <w:tcPr>
            <w:tcW w:w="5596" w:type="dxa"/>
            <w:noWrap w:val="0"/>
            <w:vAlign w:val="center"/>
          </w:tcPr>
          <w:p w14:paraId="16215D87">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1.定标委员会：定标委员会由招标人负责组建，成员数量为5人及以上单数。定标委员会成员与中标候选人有利害关系的应主动说明并申请回避。</w:t>
            </w:r>
          </w:p>
          <w:p w14:paraId="48E122B2">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2.定标会议地点和时间：</w:t>
            </w:r>
          </w:p>
          <w:p w14:paraId="3EB05CA7">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2.1定标时间：                 。</w:t>
            </w:r>
          </w:p>
          <w:p w14:paraId="6212A993">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2.2定标地点：                 。</w:t>
            </w:r>
          </w:p>
          <w:p w14:paraId="2D84B817">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2.3招标人根据相关规定在评标结果公示结束后10日内召开定标会议。</w:t>
            </w:r>
          </w:p>
          <w:p w14:paraId="46F1E8F7">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3.考察、质询</w:t>
            </w:r>
          </w:p>
          <w:p w14:paraId="00318FC0">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3.1在定标会议前（考察、质询应给予中标候选人合理的准备时间。）对所有中标候选人进行考察、质询。</w:t>
            </w:r>
          </w:p>
          <w:p w14:paraId="6A280CDA">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3.2考察、质询小组由</w:t>
            </w:r>
            <w:r>
              <w:rPr>
                <w:rFonts w:hint="eastAsia" w:ascii="宋体" w:hAnsi="宋体" w:eastAsia="宋体" w:cs="宋体"/>
                <w:i/>
                <w:iCs/>
                <w:strike w:val="0"/>
                <w:dstrike w:val="0"/>
                <w:color w:val="auto"/>
                <w:sz w:val="21"/>
                <w:szCs w:val="21"/>
                <w:highlight w:val="none"/>
                <w:u w:val="single"/>
              </w:rPr>
              <w:t>（3人及以上单数）</w:t>
            </w:r>
            <w:r>
              <w:rPr>
                <w:rFonts w:hint="eastAsia" w:ascii="宋体" w:hAnsi="宋体" w:eastAsia="宋体" w:cs="宋体"/>
                <w:strike w:val="0"/>
                <w:dstrike w:val="0"/>
                <w:color w:val="auto"/>
                <w:sz w:val="21"/>
                <w:szCs w:val="21"/>
                <w:highlight w:val="none"/>
              </w:rPr>
              <w:t>组成。</w:t>
            </w:r>
          </w:p>
          <w:p w14:paraId="52236E19">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4.现场面试</w:t>
            </w:r>
          </w:p>
          <w:p w14:paraId="1538B616">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4.1面试时间：             ；</w:t>
            </w:r>
          </w:p>
          <w:p w14:paraId="63E0417E">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4.2面试内容：            ；</w:t>
            </w:r>
          </w:p>
          <w:p w14:paraId="2509DACE">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4.3面试方式：</w:t>
            </w:r>
          </w:p>
          <w:p w14:paraId="31481CD8">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14:paraId="1478914B">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4.3.2其他方式：                   。</w:t>
            </w:r>
          </w:p>
          <w:p w14:paraId="1BE19D47">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5.定标要素及具体内容</w:t>
            </w:r>
          </w:p>
          <w:p w14:paraId="3988E971">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5.1评标报告； </w:t>
            </w:r>
          </w:p>
          <w:p w14:paraId="20CF2A8B">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5.2考察或质询情况；</w:t>
            </w:r>
          </w:p>
          <w:p w14:paraId="0583294D">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5.3现场面试情况；</w:t>
            </w:r>
          </w:p>
          <w:p w14:paraId="4D572C51">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5.4价格因素； </w:t>
            </w:r>
          </w:p>
          <w:p w14:paraId="7978AC4E">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5.5企业实力；</w:t>
            </w:r>
          </w:p>
          <w:p w14:paraId="061563DF">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5.6企业信誉； </w:t>
            </w:r>
          </w:p>
          <w:p w14:paraId="4D79B2E3">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5.7投标方案； </w:t>
            </w:r>
          </w:p>
          <w:p w14:paraId="4A14033D">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5.8拟派团队能力与水平； </w:t>
            </w:r>
          </w:p>
          <w:p w14:paraId="67BB23D1">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5.9联合体投标的，联合体组成情况； </w:t>
            </w:r>
          </w:p>
          <w:p w14:paraId="10F9BE62">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F0A3"/>
            </w:r>
            <w:r>
              <w:rPr>
                <w:rFonts w:hint="eastAsia" w:ascii="宋体" w:hAnsi="宋体" w:eastAsia="宋体" w:cs="宋体"/>
                <w:strike w:val="0"/>
                <w:dstrike w:val="0"/>
                <w:color w:val="auto"/>
                <w:sz w:val="21"/>
                <w:szCs w:val="21"/>
                <w:highlight w:val="none"/>
              </w:rPr>
              <w:t>5.10招标人认为需要考量的其他因素。</w:t>
            </w:r>
          </w:p>
          <w:p w14:paraId="7B60C430">
            <w:pPr>
              <w:pStyle w:val="5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6.定标方式</w:t>
            </w:r>
          </w:p>
          <w:p w14:paraId="7B35A09B">
            <w:pPr>
              <w:keepNext w:val="0"/>
              <w:keepLines w:val="0"/>
              <w:pageBreakBefore w:val="0"/>
              <w:kinsoku/>
              <w:wordWrap w:val="0"/>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24A20F64">
            <w:pPr>
              <w:keepNext w:val="0"/>
              <w:keepLines w:val="0"/>
              <w:pageBreakBefore w:val="0"/>
              <w:kinsoku/>
              <w:wordWrap w:val="0"/>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6.1票决法：由定标委员会以直接票决或者逐轮票决的方式确定中标人。</w:t>
            </w:r>
          </w:p>
          <w:p w14:paraId="13CDBEF4">
            <w:pPr>
              <w:keepNext w:val="0"/>
              <w:keepLines w:val="0"/>
              <w:pageBreakBefore w:val="0"/>
              <w:kinsoku/>
              <w:wordWrap w:val="0"/>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14:paraId="151C6DCE">
            <w:pPr>
              <w:pStyle w:val="56"/>
              <w:keepNext w:val="0"/>
              <w:keepLines w:val="0"/>
              <w:pageBreakBefore w:val="0"/>
              <w:kinsoku/>
              <w:overflowPunct w:val="0"/>
              <w:topLinePunct/>
              <w:bidi w:val="0"/>
              <w:snapToGrid w:val="0"/>
              <w:spacing w:line="336" w:lineRule="auto"/>
              <w:ind w:firstLine="0" w:firstLineChars="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6.3其他定标办法：                  。</w:t>
            </w:r>
          </w:p>
          <w:p w14:paraId="19CE7B60">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7.中标人公告媒介及期限</w:t>
            </w:r>
          </w:p>
          <w:p w14:paraId="31DE07CF">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招标人应当将中标结果情况在投标须知前附表规定的媒介上公告不少于3日。</w:t>
            </w:r>
          </w:p>
          <w:p w14:paraId="2648D358">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7.1定标后有下列情形之一的，招标人可以组织原定标委员会从其他中标候选人中按原定标方法确定中标人：</w:t>
            </w:r>
          </w:p>
          <w:p w14:paraId="47F55AD2">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（1）中标人放弃中标资格或者拒不签订合同的； </w:t>
            </w:r>
          </w:p>
          <w:p w14:paraId="7F83CEA2">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（2）中标人被查实存在违法行为影响中标结果的； </w:t>
            </w:r>
          </w:p>
          <w:p w14:paraId="7762501F">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（3）投标须知前附表规定的其他情形。 </w:t>
            </w:r>
          </w:p>
          <w:p w14:paraId="777C27D7">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7.2定标后有下列情形之一的，应重新定标： </w:t>
            </w:r>
          </w:p>
          <w:p w14:paraId="4D0710B6">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（1）查实定标委员会未按定标办法公正履职的； </w:t>
            </w:r>
          </w:p>
          <w:p w14:paraId="1EECEFBA">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（2）有定标委员会成员与中标候选人有利害关系且未申请回避的； </w:t>
            </w:r>
          </w:p>
          <w:p w14:paraId="354C0255">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（3）投标须知前附表规定的其他情形。</w:t>
            </w:r>
          </w:p>
        </w:tc>
      </w:tr>
      <w:tr w14:paraId="50A312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9EF809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w:t>
            </w:r>
          </w:p>
        </w:tc>
        <w:tc>
          <w:tcPr>
            <w:tcW w:w="2050" w:type="dxa"/>
            <w:noWrap w:val="0"/>
            <w:vAlign w:val="center"/>
          </w:tcPr>
          <w:p w14:paraId="1CD17235">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特别说明</w:t>
            </w:r>
          </w:p>
        </w:tc>
        <w:tc>
          <w:tcPr>
            <w:tcW w:w="5596" w:type="dxa"/>
            <w:noWrap w:val="0"/>
            <w:vAlign w:val="center"/>
          </w:tcPr>
          <w:p w14:paraId="21713FA6">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一、本招标文件斜体字部分是根据本次招标内容的具体情况进行的相应填写。</w:t>
            </w:r>
          </w:p>
          <w:p w14:paraId="4322A417">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二、投标人须知具体内容如与本前附表不一致的，以本前附表为准。</w:t>
            </w:r>
          </w:p>
          <w:p w14:paraId="7CE73E2E">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三、投标人投标函与投标报价表不一致的，以投标人投标函为准。</w:t>
            </w:r>
          </w:p>
          <w:p w14:paraId="29D67B34">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四、除招标文件另有规定外，投标函的投标报价与清单汇总报价不一致时，以投标函报价为准。</w:t>
            </w:r>
          </w:p>
          <w:p w14:paraId="269EF347">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2ED619CD">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1.不同投标人的投标文件由同一单位或者个人编制；</w:t>
            </w:r>
          </w:p>
          <w:p w14:paraId="6B18B09C">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2.不同投标人委托同一单位或者个人办理投标事宜；</w:t>
            </w:r>
          </w:p>
          <w:p w14:paraId="1AB2919D">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3.不同投标人的投标文件载明的项目管理成员为同一人；</w:t>
            </w:r>
          </w:p>
          <w:p w14:paraId="748DC7EE">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4.不同投标人的投标文件异常一致或者投标报价呈规律性差异；</w:t>
            </w:r>
          </w:p>
          <w:p w14:paraId="6F775FF6">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5.不同投标人的投标文件相互混装；</w:t>
            </w:r>
          </w:p>
          <w:p w14:paraId="0F71ABBE">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6.不同投标人的投标保证金从同一单位或者个人的账户转出或者通过同一单位或者个人的账户购买电子保函；</w:t>
            </w:r>
          </w:p>
          <w:p w14:paraId="2665BF5B">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7.投标人之间协商投标报价等投标文件的实质性内容；</w:t>
            </w:r>
          </w:p>
          <w:p w14:paraId="56B25EB2">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8.投标人之间约定中标人；</w:t>
            </w:r>
          </w:p>
          <w:p w14:paraId="0B734F48">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9.投标人之间约定部分投标人放弃投标或者中标；</w:t>
            </w:r>
          </w:p>
          <w:p w14:paraId="4EF2CA97">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10.属于同一集团、协会、商会等组织成员的投标人按照该组织要求协同投标；</w:t>
            </w:r>
          </w:p>
          <w:p w14:paraId="21BA568B">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11.投标人之间为谋取中标或者排斥特定投标人而采取的其他联合行动。</w:t>
            </w:r>
          </w:p>
          <w:p w14:paraId="4E63B758">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12.本招标文件由招标人负责解释。</w:t>
            </w:r>
          </w:p>
        </w:tc>
      </w:tr>
      <w:tr w14:paraId="64B04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203552D">
            <w:pPr>
              <w:spacing w:line="312"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b/>
                <w:bCs/>
                <w:color w:val="auto"/>
                <w:highlight w:val="none"/>
              </w:rPr>
              <w:t>10.5</w:t>
            </w:r>
          </w:p>
        </w:tc>
        <w:tc>
          <w:tcPr>
            <w:tcW w:w="2050" w:type="dxa"/>
            <w:noWrap w:val="0"/>
            <w:vAlign w:val="center"/>
          </w:tcPr>
          <w:p w14:paraId="74EE1E62">
            <w:pPr>
              <w:rPr>
                <w:rFonts w:hint="eastAsia" w:ascii="宋体" w:hAnsi="宋体" w:eastAsia="宋体" w:cs="宋体"/>
                <w:color w:val="auto"/>
                <w:sz w:val="21"/>
                <w:szCs w:val="21"/>
                <w:highlight w:val="none"/>
              </w:rPr>
            </w:pPr>
            <w:r>
              <w:rPr>
                <w:rFonts w:hint="eastAsia" w:ascii="宋体" w:hAnsi="宋体" w:eastAsia="宋体" w:cs="宋体"/>
                <w:b/>
                <w:bCs/>
                <w:color w:val="auto"/>
                <w:highlight w:val="none"/>
              </w:rPr>
              <w:t>特别提醒</w:t>
            </w:r>
          </w:p>
        </w:tc>
        <w:tc>
          <w:tcPr>
            <w:tcW w:w="5596" w:type="dxa"/>
            <w:noWrap w:val="0"/>
            <w:vAlign w:val="top"/>
          </w:tcPr>
          <w:p w14:paraId="6D346B2F">
            <w:pPr>
              <w:tabs>
                <w:tab w:val="left" w:pos="5680"/>
              </w:tabs>
              <w:rPr>
                <w:rFonts w:hint="eastAsia" w:ascii="宋体" w:hAnsi="宋体" w:eastAsia="宋体" w:cs="宋体"/>
                <w:color w:val="auto"/>
                <w:sz w:val="21"/>
                <w:szCs w:val="21"/>
                <w:highlight w:val="none"/>
              </w:rPr>
            </w:pPr>
            <w:r>
              <w:rPr>
                <w:rFonts w:hint="eastAsia" w:ascii="宋体" w:hAnsi="宋体" w:eastAsia="宋体" w:cs="宋体"/>
                <w:b/>
                <w:bCs/>
                <w:color w:val="auto"/>
                <w:highlight w:val="none"/>
              </w:rPr>
              <w:t>请投标人仔细阅读第一章招标公告中“三、招标文件的获取和四、投标保证金的要求”。</w:t>
            </w:r>
          </w:p>
        </w:tc>
      </w:tr>
      <w:tr w14:paraId="6D4994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shd w:val="clear" w:color="auto" w:fill="auto"/>
            <w:noWrap w:val="0"/>
            <w:vAlign w:val="center"/>
          </w:tcPr>
          <w:p w14:paraId="7286E6AD">
            <w:pPr>
              <w:keepNext w:val="0"/>
              <w:keepLines w:val="0"/>
              <w:pageBreakBefore w:val="0"/>
              <w:kinsoku/>
              <w:overflowPunct w:val="0"/>
              <w:topLinePunct/>
              <w:bidi w:val="0"/>
              <w:snapToGrid w:val="0"/>
              <w:spacing w:line="336" w:lineRule="auto"/>
              <w:jc w:val="both"/>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w:t>
            </w:r>
          </w:p>
        </w:tc>
        <w:tc>
          <w:tcPr>
            <w:tcW w:w="2050" w:type="dxa"/>
            <w:shd w:val="clear" w:color="auto" w:fill="auto"/>
            <w:noWrap w:val="0"/>
            <w:vAlign w:val="center"/>
          </w:tcPr>
          <w:p w14:paraId="00D69A9E">
            <w:pPr>
              <w:keepNext w:val="0"/>
              <w:keepLines w:val="0"/>
              <w:pageBreakBefore w:val="0"/>
              <w:kinsoku/>
              <w:overflowPunct w:val="0"/>
              <w:topLinePunct/>
              <w:bidi w:val="0"/>
              <w:snapToGrid w:val="0"/>
              <w:spacing w:line="336" w:lineRule="auto"/>
              <w:jc w:val="both"/>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w:t>
            </w:r>
          </w:p>
        </w:tc>
        <w:tc>
          <w:tcPr>
            <w:tcW w:w="5596" w:type="dxa"/>
            <w:shd w:val="clear" w:color="auto" w:fill="auto"/>
            <w:noWrap w:val="0"/>
            <w:vAlign w:val="center"/>
          </w:tcPr>
          <w:p w14:paraId="419B35C3">
            <w:pPr>
              <w:keepNext w:val="0"/>
              <w:keepLines w:val="0"/>
              <w:pageBreakBefore w:val="0"/>
              <w:kinsoku/>
              <w:overflowPunct w:val="0"/>
              <w:topLinePunct/>
              <w:bidi w:val="0"/>
              <w:snapToGrid w:val="0"/>
              <w:spacing w:line="336" w:lineRule="auto"/>
              <w:jc w:val="both"/>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w:t>
            </w:r>
          </w:p>
        </w:tc>
      </w:tr>
    </w:tbl>
    <w:p w14:paraId="44F48632">
      <w:pPr>
        <w:jc w:val="both"/>
        <w:rPr>
          <w:rFonts w:hint="eastAsia" w:ascii="宋体" w:hAnsi="宋体" w:eastAsia="宋体" w:cs="宋体"/>
          <w:color w:val="auto"/>
          <w:highlight w:val="none"/>
        </w:rPr>
      </w:pPr>
    </w:p>
    <w:p w14:paraId="14D58D59">
      <w:pPr>
        <w:jc w:val="both"/>
        <w:rPr>
          <w:rFonts w:hint="eastAsia" w:ascii="宋体" w:hAnsi="宋体" w:eastAsia="宋体" w:cs="宋体"/>
          <w:color w:val="auto"/>
          <w:highlight w:val="none"/>
        </w:rPr>
        <w:sectPr>
          <w:footerReference r:id="rId5" w:type="default"/>
          <w:pgSz w:w="11906" w:h="16839"/>
          <w:pgMar w:top="1418" w:right="1559" w:bottom="1418" w:left="1474" w:header="0" w:footer="1035" w:gutter="0"/>
          <w:cols w:space="720" w:num="1"/>
        </w:sectPr>
      </w:pPr>
    </w:p>
    <w:p w14:paraId="175909AB">
      <w:pPr>
        <w:spacing w:line="287" w:lineRule="auto"/>
        <w:jc w:val="both"/>
        <w:rPr>
          <w:rFonts w:hint="eastAsia" w:ascii="宋体" w:hAnsi="宋体" w:eastAsia="宋体" w:cs="宋体"/>
          <w:color w:val="auto"/>
          <w:highlight w:val="none"/>
        </w:rPr>
      </w:pPr>
    </w:p>
    <w:p w14:paraId="25DA4B07">
      <w:pPr>
        <w:spacing w:before="91" w:line="221" w:lineRule="auto"/>
        <w:ind w:left="3171"/>
        <w:jc w:val="both"/>
        <w:rPr>
          <w:rFonts w:hint="eastAsia" w:ascii="宋体" w:hAnsi="宋体" w:eastAsia="宋体" w:cs="宋体"/>
          <w:color w:val="auto"/>
          <w:sz w:val="28"/>
          <w:szCs w:val="28"/>
          <w:highlight w:val="none"/>
        </w:rPr>
      </w:pPr>
      <w:bookmarkStart w:id="5" w:name="_bookmark4"/>
      <w:bookmarkEnd w:id="5"/>
      <w:r>
        <w:rPr>
          <w:rFonts w:hint="eastAsia" w:ascii="宋体" w:hAnsi="宋体" w:eastAsia="宋体" w:cs="宋体"/>
          <w:color w:val="auto"/>
          <w:sz w:val="28"/>
          <w:szCs w:val="28"/>
          <w:highlight w:val="none"/>
        </w:rPr>
        <w:t>第二节投标人须知</w:t>
      </w:r>
    </w:p>
    <w:p w14:paraId="7D87AF3A">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rPr>
        <w:t>总则</w:t>
      </w:r>
    </w:p>
    <w:p w14:paraId="419FD290">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w:t>
      </w:r>
      <w:r>
        <w:rPr>
          <w:rFonts w:hint="eastAsia" w:ascii="宋体" w:hAnsi="宋体" w:eastAsia="宋体" w:cs="宋体"/>
          <w:color w:val="auto"/>
          <w:sz w:val="24"/>
          <w:szCs w:val="24"/>
          <w:highlight w:val="none"/>
        </w:rPr>
        <w:t>项目概况</w:t>
      </w:r>
    </w:p>
    <w:p w14:paraId="4D3AC3EE">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14:paraId="656F33C3">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1.1.2本招标项目招标人：见投标人须知前附表。</w:t>
      </w:r>
    </w:p>
    <w:p w14:paraId="5A7FC011">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1.1.3本招标项目招标代理机构：见投标人须知前附表。</w:t>
      </w:r>
    </w:p>
    <w:p w14:paraId="07E6A12B">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1.1.4本招标项目名称：见投标人须知前附表。</w:t>
      </w:r>
    </w:p>
    <w:p w14:paraId="70761FF3">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1.1.5本招标项目建设地点：见投标人须知前附表。</w:t>
      </w:r>
    </w:p>
    <w:p w14:paraId="411FB904">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1.2</w:t>
      </w:r>
      <w:r>
        <w:rPr>
          <w:rFonts w:hint="eastAsia" w:ascii="宋体" w:hAnsi="宋体" w:eastAsia="宋体" w:cs="宋体"/>
          <w:color w:val="auto"/>
          <w:sz w:val="24"/>
          <w:szCs w:val="24"/>
          <w:highlight w:val="none"/>
        </w:rPr>
        <w:t>资金来源和落实情况</w:t>
      </w:r>
    </w:p>
    <w:p w14:paraId="57B932EF">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1.2.1本招标项目的资金来源及出资比例：见投标人须知前附表。</w:t>
      </w:r>
    </w:p>
    <w:p w14:paraId="3E8C1877">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1.2.2本招标项目的资金落实情况：见投标人须知前附表。</w:t>
      </w:r>
    </w:p>
    <w:p w14:paraId="19F6FC37">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1.3</w:t>
      </w:r>
      <w:r>
        <w:rPr>
          <w:rFonts w:hint="eastAsia" w:ascii="宋体" w:hAnsi="宋体" w:eastAsia="宋体" w:cs="宋体"/>
          <w:color w:val="auto"/>
          <w:sz w:val="24"/>
          <w:szCs w:val="24"/>
          <w:highlight w:val="none"/>
        </w:rPr>
        <w:t>招标范围及计划服务期</w:t>
      </w:r>
    </w:p>
    <w:p w14:paraId="1B5D502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1.3.1本次招标范围：见投标人须知前附表。</w:t>
      </w:r>
    </w:p>
    <w:p w14:paraId="3155B81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1.3.2本招标项目交货期：见投标人须知前附表。</w:t>
      </w:r>
    </w:p>
    <w:p w14:paraId="5D2369E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1.3.3本招标项目质量保质期：见投标人须知前附表。</w:t>
      </w:r>
    </w:p>
    <w:p w14:paraId="695ADD76">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1.4</w:t>
      </w:r>
      <w:r>
        <w:rPr>
          <w:rFonts w:hint="eastAsia" w:ascii="宋体" w:hAnsi="宋体" w:eastAsia="宋体" w:cs="宋体"/>
          <w:color w:val="auto"/>
          <w:sz w:val="24"/>
          <w:szCs w:val="24"/>
          <w:highlight w:val="none"/>
        </w:rPr>
        <w:t>投标人资格要求</w:t>
      </w:r>
    </w:p>
    <w:p w14:paraId="28C14745">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1.4.1投标人应具备承担本标段服务的资格条件、要求。</w:t>
      </w:r>
    </w:p>
    <w:p w14:paraId="6E44EA8C">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(1)资质条件：见投标人须知前附表；</w:t>
      </w:r>
    </w:p>
    <w:p w14:paraId="32A4DCB6">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(2)业绩要求：见投标人须知前附表；</w:t>
      </w:r>
    </w:p>
    <w:p w14:paraId="0704B021">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(3)信誉要求：见投标人须知前附表；</w:t>
      </w:r>
    </w:p>
    <w:p w14:paraId="5559E45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(4)其他要求：见投标人须知前附表。</w:t>
      </w:r>
    </w:p>
    <w:p w14:paraId="309D71D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1.4.2投标人须知前附表规定接受联合体投标的，除应符合本章第1.4.1项和投标人须知前附表的要求外，还应遵守以下规定：</w:t>
      </w:r>
    </w:p>
    <w:p w14:paraId="48EBCA11">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(1)联合体各方应按招标文件提供的格式签订联合体协议书，明确联合体牵头人和各方权利义务；</w:t>
      </w:r>
    </w:p>
    <w:p w14:paraId="1FFBA776">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(2)由同一专业的单位组成的联合体，按照资质等级较低的单位确定资质等级；</w:t>
      </w:r>
    </w:p>
    <w:p w14:paraId="43A63F6F">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(3)联合体各方不得再以自己名义单独或参加其他联合体在同一标段中投标。</w:t>
      </w:r>
    </w:p>
    <w:p w14:paraId="5E07D591">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1.4.3投标人(投标人是联合体的，指联合体各方)不得存在下列情形之一：</w:t>
      </w:r>
    </w:p>
    <w:p w14:paraId="61F7D9ED">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sectPr>
          <w:footerReference r:id="rId6" w:type="default"/>
          <w:pgSz w:w="11906" w:h="16839"/>
          <w:pgMar w:top="1418" w:right="1559" w:bottom="1418" w:left="1474" w:header="0" w:footer="1035" w:gutter="0"/>
          <w:cols w:space="720" w:num="1"/>
        </w:sectPr>
      </w:pPr>
    </w:p>
    <w:p w14:paraId="2B1AF8F7">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(1)为招标人不具有独立法人资格的附属机构(单位)；</w:t>
      </w:r>
    </w:p>
    <w:p w14:paraId="5DF20F16">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(2)为本标段的代建人；</w:t>
      </w:r>
    </w:p>
    <w:p w14:paraId="5287B1DE">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(3)为本标段提供招标代理服务的；</w:t>
      </w:r>
    </w:p>
    <w:p w14:paraId="7D9331B8">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(4)单位负责人为同一人或者存在控股、管理关系的不同单位，同时参加本标段投标的；</w:t>
      </w:r>
    </w:p>
    <w:p w14:paraId="3006F413">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(5)投标人及其法定代表人控股的其他公司，同时参加本标段投标的；</w:t>
      </w:r>
    </w:p>
    <w:p w14:paraId="72A897B4">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(6)与招标人存在利害关系可能影响招标公正性的法人、其他组织或者个人参加投标的；</w:t>
      </w:r>
    </w:p>
    <w:p w14:paraId="4481290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(7)被责令停业的；</w:t>
      </w:r>
    </w:p>
    <w:p w14:paraId="7BD3DCD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(8)被暂停或取消投标资格的；</w:t>
      </w:r>
    </w:p>
    <w:p w14:paraId="57512CD8">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(9)财产被接管或冻结的。</w:t>
      </w:r>
    </w:p>
    <w:p w14:paraId="52A65D04">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color w:val="auto"/>
          <w:sz w:val="24"/>
          <w:szCs w:val="24"/>
          <w:highlight w:val="none"/>
        </w:rPr>
        <w:t>费用承担</w:t>
      </w:r>
    </w:p>
    <w:p w14:paraId="103CA04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投标人准备和参加投标活动发生的费用自理。</w:t>
      </w:r>
    </w:p>
    <w:p w14:paraId="58C62702">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color w:val="auto"/>
          <w:sz w:val="24"/>
          <w:szCs w:val="24"/>
          <w:highlight w:val="none"/>
        </w:rPr>
        <w:t>保密</w:t>
      </w:r>
    </w:p>
    <w:p w14:paraId="459FD9C0">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14:paraId="0FF6DC3B">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color w:val="auto"/>
          <w:sz w:val="24"/>
          <w:szCs w:val="24"/>
          <w:highlight w:val="none"/>
        </w:rPr>
        <w:t>语言文字</w:t>
      </w:r>
    </w:p>
    <w:p w14:paraId="1A1368EC">
      <w:pPr>
        <w:pageBreakBefore w:val="0"/>
        <w:wordWrap/>
        <w:overflowPunct/>
        <w:topLinePunct w:val="0"/>
        <w:bidi w:val="0"/>
        <w:snapToGrid w:val="0"/>
        <w:spacing w:line="312" w:lineRule="auto"/>
        <w:ind w:firstLine="492"/>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除专用术语外，与招标投标有关的语言均使用中文。必要时专用术语应附有中文注释</w:t>
      </w:r>
      <w:r>
        <w:rPr>
          <w:rFonts w:hint="eastAsia" w:ascii="宋体" w:hAnsi="宋体" w:eastAsia="宋体" w:cs="宋体"/>
          <w:color w:val="auto"/>
          <w:sz w:val="24"/>
          <w:szCs w:val="24"/>
          <w:highlight w:val="none"/>
        </w:rPr>
        <w:t>。</w:t>
      </w:r>
    </w:p>
    <w:p w14:paraId="3B855765">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1.8</w:t>
      </w:r>
      <w:r>
        <w:rPr>
          <w:rFonts w:hint="eastAsia" w:ascii="宋体" w:hAnsi="宋体" w:eastAsia="宋体" w:cs="宋体"/>
          <w:color w:val="auto"/>
          <w:sz w:val="24"/>
          <w:szCs w:val="24"/>
          <w:highlight w:val="none"/>
        </w:rPr>
        <w:t>计量单位</w:t>
      </w:r>
    </w:p>
    <w:p w14:paraId="581DB8BA">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所有计量均采用中华人民共和国法定计量单位。</w:t>
      </w:r>
    </w:p>
    <w:p w14:paraId="58232DC7">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color w:val="auto"/>
          <w:sz w:val="24"/>
          <w:szCs w:val="24"/>
          <w:highlight w:val="none"/>
        </w:rPr>
        <w:t>踏勘现场</w:t>
      </w:r>
    </w:p>
    <w:p w14:paraId="60AAC1E7">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1.9.1投标人须知前附表规定组织踏勘现场的，招标人按投标人须知前附表规定的时间、地点组织投标人踏勘项目现场。</w:t>
      </w:r>
    </w:p>
    <w:p w14:paraId="10833CCF">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1.9.2投标人踏勘现场发生的费用自理。</w:t>
      </w:r>
    </w:p>
    <w:p w14:paraId="64A4479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1.9.3除招标人的原因外，投标人自行负责在踏勘现场中所发生的人员伤亡和财产损失。</w:t>
      </w:r>
    </w:p>
    <w:p w14:paraId="1D6BB51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14:paraId="06E891AD">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1.9.5招标人提供的本工程的相关参考资料，并不构成合同文件的组成部分，</w:t>
      </w:r>
    </w:p>
    <w:p w14:paraId="7B6FBEC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投标人应对上述资料的解释、推论和应用负责，招标人不对投标人据此作出的判断和决策承担任何责任。</w:t>
      </w:r>
    </w:p>
    <w:p w14:paraId="5739E7AC">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1.10</w:t>
      </w:r>
      <w:r>
        <w:rPr>
          <w:rFonts w:hint="eastAsia" w:ascii="宋体" w:hAnsi="宋体" w:eastAsia="宋体" w:cs="宋体"/>
          <w:color w:val="auto"/>
          <w:sz w:val="24"/>
          <w:szCs w:val="24"/>
          <w:highlight w:val="none"/>
        </w:rPr>
        <w:t>投标预备会</w:t>
      </w:r>
    </w:p>
    <w:p w14:paraId="7B7F8CAA">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14:paraId="7750051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1.10.2投标人提出问题的截止时间、上传疑问方式：见投标人须知前附表。</w:t>
      </w:r>
    </w:p>
    <w:p w14:paraId="6235736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1.10.3招标文件的澄清、补充、修改的时间及下载网址：见投标人须知前附表。</w:t>
      </w:r>
    </w:p>
    <w:p w14:paraId="10B2572C">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1.11</w:t>
      </w:r>
      <w:r>
        <w:rPr>
          <w:rFonts w:hint="eastAsia" w:ascii="宋体" w:hAnsi="宋体" w:eastAsia="宋体" w:cs="宋体"/>
          <w:color w:val="auto"/>
          <w:sz w:val="24"/>
          <w:szCs w:val="24"/>
          <w:highlight w:val="none"/>
        </w:rPr>
        <w:t>分包</w:t>
      </w:r>
    </w:p>
    <w:p w14:paraId="00DB455F">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本招标项目不允许分包。</w:t>
      </w:r>
    </w:p>
    <w:p w14:paraId="5E0EE463">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1.12</w:t>
      </w:r>
      <w:r>
        <w:rPr>
          <w:rFonts w:hint="eastAsia" w:ascii="宋体" w:hAnsi="宋体" w:eastAsia="宋体" w:cs="宋体"/>
          <w:color w:val="auto"/>
          <w:sz w:val="24"/>
          <w:szCs w:val="24"/>
          <w:highlight w:val="none"/>
        </w:rPr>
        <w:t>偏离</w:t>
      </w:r>
    </w:p>
    <w:p w14:paraId="20B5B19B">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投标人须知前附表允许投标文件偏离招标文件某些要求的，偏离应当符合招标文件规定的偏离范围和幅度。</w:t>
      </w:r>
    </w:p>
    <w:p w14:paraId="28A2BFAB">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color w:val="auto"/>
          <w:sz w:val="24"/>
          <w:szCs w:val="24"/>
          <w:highlight w:val="none"/>
        </w:rPr>
        <w:t>招标文件</w:t>
      </w:r>
    </w:p>
    <w:p w14:paraId="734A856B">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2.1</w:t>
      </w:r>
      <w:r>
        <w:rPr>
          <w:rFonts w:hint="eastAsia" w:ascii="宋体" w:hAnsi="宋体" w:eastAsia="宋体" w:cs="宋体"/>
          <w:color w:val="auto"/>
          <w:sz w:val="24"/>
          <w:szCs w:val="24"/>
          <w:highlight w:val="none"/>
        </w:rPr>
        <w:t>招标文件的组成</w:t>
      </w:r>
    </w:p>
    <w:p w14:paraId="532FD097">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本招标文件包括：</w:t>
      </w:r>
    </w:p>
    <w:p w14:paraId="18AB72BA">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(1)招标公告；</w:t>
      </w:r>
    </w:p>
    <w:p w14:paraId="5A227A1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(2)投标人须知；</w:t>
      </w:r>
    </w:p>
    <w:p w14:paraId="253A6FA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(3)评标定标办法；</w:t>
      </w:r>
    </w:p>
    <w:p w14:paraId="023518CA">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(4)合同条款及格式；</w:t>
      </w:r>
    </w:p>
    <w:p w14:paraId="23CBF7AD">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(5)招标内容和技术要求；</w:t>
      </w:r>
    </w:p>
    <w:p w14:paraId="6C37A12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(6)投标文件格式；</w:t>
      </w:r>
    </w:p>
    <w:p w14:paraId="207A7943">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(7)投标人须知前附表规定的其他材料。</w:t>
      </w:r>
    </w:p>
    <w:p w14:paraId="345142E5">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1934A595">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2.2招标文件的澄清和修改</w:t>
      </w:r>
    </w:p>
    <w:p w14:paraId="1A323F6F">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通过电子邮件的方式向招标人提出，要求招标人对招标文件予以澄清。</w:t>
      </w:r>
    </w:p>
    <w:p w14:paraId="0367994D">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2.2.2招标文件的澄清、修改可能影响投标文件编制的，招标人将在投标人须知前附表规定的投标截止时间15个日历天前通过绍兴公共资源交易网、绍兴市公共资源交易中心进行发布，但不指明澄清问题的来源。如果澄清发出的时间距投标截止时间不足15天，相应延长投标截止时间。</w:t>
      </w:r>
    </w:p>
    <w:p w14:paraId="767596B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2.2.3投标人确认收到招标文件澄清和修改内容的时间：见投标人须知前附表。</w:t>
      </w:r>
    </w:p>
    <w:p w14:paraId="112FEB5E">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color w:val="auto"/>
          <w:sz w:val="24"/>
          <w:szCs w:val="24"/>
          <w:highlight w:val="none"/>
        </w:rPr>
        <w:t>投标文件</w:t>
      </w:r>
    </w:p>
    <w:p w14:paraId="649F53EC">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3.1</w:t>
      </w:r>
      <w:r>
        <w:rPr>
          <w:rFonts w:hint="eastAsia" w:ascii="宋体" w:hAnsi="宋体" w:eastAsia="宋体" w:cs="宋体"/>
          <w:color w:val="auto"/>
          <w:sz w:val="24"/>
          <w:szCs w:val="24"/>
          <w:highlight w:val="none"/>
        </w:rPr>
        <w:t>投标文件的组成</w:t>
      </w:r>
    </w:p>
    <w:p w14:paraId="0C7D9BD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3.1.1商务标部分</w:t>
      </w:r>
    </w:p>
    <w:p w14:paraId="1082D991">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(1)投标函(</w:t>
      </w:r>
      <w:r>
        <w:rPr>
          <w:rFonts w:hint="eastAsia" w:ascii="宋体" w:hAnsi="宋体" w:eastAsia="宋体" w:cs="宋体"/>
          <w:color w:val="auto"/>
          <w:position w:val="1"/>
          <w:sz w:val="24"/>
          <w:szCs w:val="24"/>
          <w:highlight w:val="none"/>
          <w:lang w:val="en-US" w:eastAsia="zh-CN"/>
        </w:rPr>
        <w:t>放入系统内部格式投标函及其附录中</w:t>
      </w:r>
      <w:r>
        <w:rPr>
          <w:rFonts w:hint="eastAsia" w:ascii="宋体" w:hAnsi="宋体" w:eastAsia="宋体" w:cs="宋体"/>
          <w:color w:val="auto"/>
          <w:position w:val="1"/>
          <w:sz w:val="24"/>
          <w:szCs w:val="24"/>
          <w:highlight w:val="none"/>
        </w:rPr>
        <w:t>)；</w:t>
      </w:r>
    </w:p>
    <w:p w14:paraId="1388E5C5">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(2)投标报价表(</w:t>
      </w:r>
      <w:r>
        <w:rPr>
          <w:rFonts w:hint="eastAsia" w:ascii="宋体" w:hAnsi="宋体" w:eastAsia="宋体" w:cs="宋体"/>
          <w:color w:val="auto"/>
          <w:position w:val="1"/>
          <w:sz w:val="24"/>
          <w:szCs w:val="24"/>
          <w:highlight w:val="none"/>
          <w:lang w:val="en-US" w:eastAsia="zh-CN"/>
        </w:rPr>
        <w:t>放入系统内部格式投标函及其附录中</w:t>
      </w:r>
      <w:r>
        <w:rPr>
          <w:rFonts w:hint="eastAsia" w:ascii="宋体" w:hAnsi="宋体" w:eastAsia="宋体" w:cs="宋体"/>
          <w:color w:val="auto"/>
          <w:position w:val="1"/>
          <w:sz w:val="24"/>
          <w:szCs w:val="24"/>
          <w:highlight w:val="none"/>
        </w:rPr>
        <w:t>)；</w:t>
      </w:r>
    </w:p>
    <w:p w14:paraId="6EEB2F85">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(3)投标分项报价表；</w:t>
      </w:r>
    </w:p>
    <w:p w14:paraId="11440205">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(4)商务条款偏离表；</w:t>
      </w:r>
    </w:p>
    <w:p w14:paraId="5433B8B3">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(5)随机备品备件一览表；</w:t>
      </w:r>
    </w:p>
    <w:p w14:paraId="26F1353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(6)供招标人选购的备品备件一览表；</w:t>
      </w:r>
    </w:p>
    <w:p w14:paraId="2B35BD38">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(7)专用检测设备及专用维修工具一览表；</w:t>
      </w:r>
    </w:p>
    <w:p w14:paraId="5672A20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379730</wp:posOffset>
                </wp:positionH>
                <wp:positionV relativeFrom="paragraph">
                  <wp:posOffset>242570</wp:posOffset>
                </wp:positionV>
                <wp:extent cx="3365500" cy="7620"/>
                <wp:effectExtent l="0" t="0" r="0" b="0"/>
                <wp:wrapNone/>
                <wp:docPr id="1" name="矩形 5"/>
                <wp:cNvGraphicFramePr/>
                <a:graphic xmlns:a="http://schemas.openxmlformats.org/drawingml/2006/main">
                  <a:graphicData uri="http://schemas.microsoft.com/office/word/2010/wordprocessingShape">
                    <wps:wsp>
                      <wps:cNvSpPr/>
                      <wps:spPr>
                        <a:xfrm>
                          <a:off x="0" y="0"/>
                          <a:ext cx="3365500" cy="7620"/>
                        </a:xfrm>
                        <a:prstGeom prst="rect">
                          <a:avLst/>
                        </a:prstGeom>
                        <a:solidFill>
                          <a:srgbClr val="000000"/>
                        </a:solidFill>
                        <a:ln>
                          <a:noFill/>
                        </a:ln>
                      </wps:spPr>
                      <wps:bodyPr wrap="square" upright="1"/>
                    </wps:wsp>
                  </a:graphicData>
                </a:graphic>
              </wp:anchor>
            </w:drawing>
          </mc:Choice>
          <mc:Fallback>
            <w:pict>
              <v:rect id="矩形 5" o:spid="_x0000_s1026" o:spt="1" style="position:absolute;left:0pt;margin-left:29.9pt;margin-top:19.1pt;height:0.6pt;width:265pt;z-index:251659264;mso-width-relative:page;mso-height-relative:page;" fillcolor="#000000" filled="t" stroked="f" coordsize="21600,21600" o:gfxdata="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mi4BbXAAAACAEAAA8AAAAAAAAAAQAgAAAAIgAAAGRycy9kb3ducmV2LnhtbFBLAQIU&#10;ABQAAAAIAIdO4kB/T9PIuwEAAGsDAAAOAAAAAAAAAAEAIAAAACYBAABkcnMvZTJvRG9jLnhtbFBL&#10;BQYAAAAABgAGAFkBAABTBQA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(招标人需要增加的其他商务内容)。</w:t>
      </w:r>
    </w:p>
    <w:p w14:paraId="4857FAF9">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3.1.2技术标部分</w:t>
      </w:r>
    </w:p>
    <w:p w14:paraId="18A8E393">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(1)货物说明一览表；</w:t>
      </w:r>
    </w:p>
    <w:p w14:paraId="24EF1167">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(2)技术响应表；</w:t>
      </w:r>
    </w:p>
    <w:p w14:paraId="4474793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(3)主要配置说明一览表；</w:t>
      </w:r>
    </w:p>
    <w:p w14:paraId="181344F7">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(4)技术规格偏离表；</w:t>
      </w:r>
    </w:p>
    <w:p w14:paraId="466AFF9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(5)投标方案图纸、产品详细技术规格书及所投产品的样本及本招标文件中规定的其它必须提供的文件及资料；</w:t>
      </w:r>
    </w:p>
    <w:p w14:paraId="3A4B95B5">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(6)产品的主要技术、结构、性能、特点和质量水平的详细描述；</w:t>
      </w:r>
    </w:p>
    <w:p w14:paraId="7D49A8B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(7)产品制造、安装、验收标准；</w:t>
      </w:r>
    </w:p>
    <w:p w14:paraId="660ACFAE">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(8)主要工艺装备和主要检测设施的拥有情况和现状；</w:t>
      </w:r>
    </w:p>
    <w:p w14:paraId="0FA69CD9">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(9)质量手册或关于质量管理、质量体系、质量控制、质量保证的详细介绍；</w:t>
      </w:r>
    </w:p>
    <w:p w14:paraId="42E64CF9">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(10)产品的技术服务和售后服务的内容和措施；</w:t>
      </w:r>
    </w:p>
    <w:p w14:paraId="61EE6DF9">
      <w:pPr>
        <w:pageBreakBefore w:val="0"/>
        <w:wordWrap/>
        <w:overflowPunct/>
        <w:topLinePunct w:val="0"/>
        <w:bidi w:val="0"/>
        <w:snapToGrid w:val="0"/>
        <w:spacing w:line="312" w:lineRule="auto"/>
        <w:ind w:firstLine="480" w:firstLineChars="200"/>
        <w:jc w:val="both"/>
        <w:rPr>
          <w:rFonts w:hint="default" w:ascii="宋体" w:hAnsi="宋体" w:eastAsia="宋体" w:cs="宋体"/>
          <w:color w:val="auto"/>
          <w:position w:val="1"/>
          <w:sz w:val="24"/>
          <w:szCs w:val="24"/>
          <w:highlight w:val="none"/>
          <w:lang w:val="en-US" w:eastAsia="zh-CN"/>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lang w:val="en-US" w:eastAsia="zh-CN"/>
        </w:rPr>
        <w:t>11</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lang w:val="en-US" w:eastAsia="zh-CN"/>
        </w:rPr>
        <w:t>质保期承诺函（格式自拟），需加盖供应商公章。</w:t>
      </w:r>
    </w:p>
    <w:p w14:paraId="43CAA3B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303530</wp:posOffset>
                </wp:positionH>
                <wp:positionV relativeFrom="paragraph">
                  <wp:posOffset>242570</wp:posOffset>
                </wp:positionV>
                <wp:extent cx="3510280" cy="7620"/>
                <wp:effectExtent l="0" t="0" r="0" b="0"/>
                <wp:wrapNone/>
                <wp:docPr id="2" name="矩形 6"/>
                <wp:cNvGraphicFramePr/>
                <a:graphic xmlns:a="http://schemas.openxmlformats.org/drawingml/2006/main">
                  <a:graphicData uri="http://schemas.microsoft.com/office/word/2010/wordprocessingShape">
                    <wps:wsp>
                      <wps:cNvSpPr/>
                      <wps:spPr>
                        <a:xfrm>
                          <a:off x="0" y="0"/>
                          <a:ext cx="3510280" cy="7620"/>
                        </a:xfrm>
                        <a:prstGeom prst="rect">
                          <a:avLst/>
                        </a:prstGeom>
                        <a:solidFill>
                          <a:srgbClr val="000000"/>
                        </a:solidFill>
                        <a:ln>
                          <a:noFill/>
                        </a:ln>
                      </wps:spPr>
                      <wps:bodyPr wrap="square" upright="1"/>
                    </wps:wsp>
                  </a:graphicData>
                </a:graphic>
              </wp:anchor>
            </w:drawing>
          </mc:Choice>
          <mc:Fallback>
            <w:pict>
              <v:rect id="矩形 6" o:spid="_x0000_s1026" o:spt="1" style="position:absolute;left:0pt;margin-left:23.9pt;margin-top:19.1pt;height:0.6pt;width:276.4pt;z-index:251660288;mso-width-relative:page;mso-height-relative:page;" fillcolor="#000000" filled="t" stroked="f" coordsize="21600,21600" o:gfxdata="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NevlktcAAAAIAQAADwAAAAAAAAABACAAAAAiAAAAZHJzL2Rvd25yZXYueG1sUEsBAhQA&#10;FAAAAAgAh07iQMWUvCC6AQAAawMAAA4AAAAAAAAAAQAgAAAAJgEAAGRycy9lMm9Eb2MueG1sUEsF&#10;BgAAAAAGAAYAWQEAAFIFAA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(招标人需要增加的其他技术内容)。</w:t>
      </w:r>
    </w:p>
    <w:p w14:paraId="469F548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3.1.3资格审查资料</w:t>
      </w:r>
    </w:p>
    <w:p w14:paraId="2D90A74D">
      <w:pPr>
        <w:pageBreakBefore w:val="0"/>
        <w:numPr>
          <w:ilvl w:val="0"/>
          <w:numId w:val="0"/>
        </w:numPr>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（1）“投标人基本情况表”应附投标人营业执照和组织机构代码证的复制件（按照“三证合一”或“五证合一”登记制度进行登记的，可仅提供营业执照复制件）等材料的复制件；</w:t>
      </w:r>
    </w:p>
    <w:p w14:paraId="62354694">
      <w:pPr>
        <w:pageBreakBefore w:val="0"/>
        <w:shd w:val="clear" w:color="auto" w:fill="FFFFFF"/>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（2）法定代表人身份证明（格式见后）；</w:t>
      </w:r>
    </w:p>
    <w:p w14:paraId="3DA1C191">
      <w:pPr>
        <w:pageBreakBefore w:val="0"/>
        <w:shd w:val="clear" w:color="auto" w:fill="FFFFFF"/>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（3）联合体协议书(如以联合体形式投标的需提供)；</w:t>
      </w:r>
    </w:p>
    <w:p w14:paraId="242E0848">
      <w:pPr>
        <w:pageBreakBefore w:val="0"/>
        <w:shd w:val="clear" w:color="auto" w:fill="FFFFFF"/>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（4）法定代表人授权委托书（若有）；</w:t>
      </w:r>
    </w:p>
    <w:p w14:paraId="023AA396">
      <w:pPr>
        <w:pageBreakBefore w:val="0"/>
        <w:shd w:val="clear" w:color="auto" w:fill="FFFFFF"/>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（5）投标承诺书（格式见后）；</w:t>
      </w:r>
    </w:p>
    <w:p w14:paraId="5F1DA8C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（6）投标保证金缴纳证明资料；</w:t>
      </w:r>
    </w:p>
    <w:p w14:paraId="7E19A78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sym w:font="Wingdings 2" w:char="00A3"/>
      </w:r>
      <w:r>
        <w:rPr>
          <w:rFonts w:hint="eastAsia" w:ascii="宋体" w:hAnsi="宋体" w:eastAsia="宋体" w:cs="宋体"/>
          <w:color w:val="auto"/>
          <w:position w:val="1"/>
          <w:sz w:val="24"/>
          <w:szCs w:val="24"/>
          <w:highlight w:val="none"/>
        </w:rPr>
        <w:t>（</w:t>
      </w:r>
      <w:r>
        <w:rPr>
          <w:rFonts w:hint="eastAsia" w:ascii="宋体" w:hAnsi="宋体" w:eastAsia="宋体" w:cs="宋体"/>
          <w:color w:val="auto"/>
          <w:position w:val="1"/>
          <w:sz w:val="24"/>
          <w:szCs w:val="24"/>
          <w:highlight w:val="none"/>
          <w:lang w:val="en-US" w:eastAsia="zh-CN"/>
        </w:rPr>
        <w:t>7</w:t>
      </w:r>
      <w:r>
        <w:rPr>
          <w:rFonts w:hint="eastAsia" w:ascii="宋体" w:hAnsi="宋体" w:eastAsia="宋体" w:cs="宋体"/>
          <w:color w:val="auto"/>
          <w:position w:val="1"/>
          <w:sz w:val="24"/>
          <w:szCs w:val="24"/>
          <w:highlight w:val="none"/>
        </w:rPr>
        <w:t>）中小企业声明函。</w:t>
      </w:r>
    </w:p>
    <w:p w14:paraId="3D72BC07">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lang w:val="en-US" w:eastAsia="zh-CN"/>
        </w:rPr>
        <w:t>8</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其他资料：</w:t>
      </w:r>
      <w:r>
        <w:rPr>
          <w:rFonts w:hint="eastAsia" w:ascii="宋体" w:hAnsi="宋体" w:eastAsia="宋体" w:cs="宋体"/>
          <w:b/>
          <w:bCs/>
          <w:color w:val="auto"/>
          <w:position w:val="1"/>
          <w:sz w:val="24"/>
          <w:szCs w:val="24"/>
          <w:highlight w:val="none"/>
          <w:lang w:val="en-US" w:eastAsia="zh-CN"/>
        </w:rPr>
        <w:t>1.1①医疗器械生产许可证,或②同时具有医疗器械经营许可证和医疗器械经营备案凭证；</w:t>
      </w:r>
    </w:p>
    <w:p w14:paraId="27C2306F">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注：本项目中生物安全柜属于Ⅲ类医疗器械、洁净工作台（超净工作台）属于Ⅱ类医疗器械。联合体投标的，要求承接生物安全柜的成员单位具备医疗器械生产许可证或医疗器械经营许可证，要求承接洁净工作台（超净工作台）的成员单位具备医疗器械生产许可证或医疗器械经营备案凭证）</w:t>
      </w:r>
    </w:p>
    <w:p w14:paraId="74917E97">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1.2业绩要求：</w:t>
      </w:r>
    </w:p>
    <w:p w14:paraId="6E2DE568">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投标人自2021年7月1日（时间以单项验收证明或整体竣工验收证明时间为准）至今完成过单个合同金额1100万元及以上的医疗净化业绩（合同中的实施内容包含手术室或实验室或静配中心等特殊需要空气净化的科室或功能用房）。（联合体投标的，指联合体牵头人业绩）</w:t>
      </w:r>
    </w:p>
    <w:p w14:paraId="3B5D878C">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注：①业绩证明材料必须同时提供：</w:t>
      </w:r>
    </w:p>
    <w:p w14:paraId="3302595F">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A:中标通知书；</w:t>
      </w:r>
    </w:p>
    <w:p w14:paraId="00DD4EAC">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B:合同协议书；</w:t>
      </w:r>
    </w:p>
    <w:p w14:paraId="7C03BE7C">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C:检测报告：具有CMA认证的第三方检测机构出具的洁净室综合性能合格检测报告；</w:t>
      </w:r>
    </w:p>
    <w:p w14:paraId="63028F95">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D:验收证明：单项验收证明（要求至少建设单位盖章）或整体竣工验收证明【整体验收证明材料包括：交（竣）工验收记录或交（竣）工验收证书或交（竣）工验收报告或交（竣）工验收备案表，如提供交（竣）工验收记录，还需提供完工证明并加盖业主公章】；</w:t>
      </w:r>
    </w:p>
    <w:p w14:paraId="275A062C">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以上资料需扫描件加盖投标人公章，若缺其中任何一项则业绩不予认可。</w:t>
      </w:r>
    </w:p>
    <w:p w14:paraId="4559335A">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②业绩金额以合同为准，合同中未明确相关专项具体金额的，需另行提供业主证明加盖业主公章。</w:t>
      </w:r>
    </w:p>
    <w:p w14:paraId="4BA30418">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③如投标人提供联合体业绩，需同时提供联合体协议书，并且联合体协议书中明确投标人负责的施工内容。</w:t>
      </w:r>
    </w:p>
    <w:p w14:paraId="62CEE275">
      <w:pPr>
        <w:keepNext w:val="0"/>
        <w:keepLines w:val="0"/>
        <w:pageBreakBefore w:val="0"/>
        <w:numPr>
          <w:ilvl w:val="0"/>
          <w:numId w:val="0"/>
        </w:numPr>
        <w:tabs>
          <w:tab w:val="left" w:pos="5680"/>
        </w:tabs>
        <w:kinsoku/>
        <w:overflowPunct w:val="0"/>
        <w:topLinePunct/>
        <w:bidi w:val="0"/>
        <w:snapToGrid w:val="0"/>
        <w:spacing w:line="336" w:lineRule="auto"/>
        <w:ind w:right="105" w:rightChars="50"/>
        <w:jc w:val="both"/>
        <w:rPr>
          <w:rFonts w:hint="eastAsia" w:ascii="宋体" w:hAnsi="宋体" w:eastAsia="宋体" w:cs="宋体"/>
          <w:b/>
          <w:bCs/>
          <w:color w:val="auto"/>
          <w:position w:val="1"/>
          <w:sz w:val="24"/>
          <w:szCs w:val="24"/>
          <w:highlight w:val="none"/>
        </w:rPr>
      </w:pPr>
      <w:r>
        <w:rPr>
          <w:rFonts w:hint="eastAsia" w:ascii="宋体" w:hAnsi="宋体" w:eastAsia="宋体" w:cs="宋体"/>
          <w:b/>
          <w:bCs/>
          <w:color w:val="auto"/>
          <w:position w:val="1"/>
          <w:sz w:val="24"/>
          <w:szCs w:val="24"/>
          <w:highlight w:val="none"/>
          <w:lang w:val="en-US" w:eastAsia="zh-CN"/>
        </w:rPr>
        <w:t>④若以上证明资料仍未体现相关要求的需另行提供业主证明加盖业主公章。</w:t>
      </w:r>
    </w:p>
    <w:p w14:paraId="71FA63FC">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3.2</w:t>
      </w:r>
      <w:r>
        <w:rPr>
          <w:rFonts w:hint="eastAsia" w:ascii="宋体" w:hAnsi="宋体" w:eastAsia="宋体" w:cs="宋体"/>
          <w:color w:val="auto"/>
          <w:sz w:val="24"/>
          <w:szCs w:val="24"/>
          <w:highlight w:val="none"/>
        </w:rPr>
        <w:t>投标报价</w:t>
      </w:r>
    </w:p>
    <w:p w14:paraId="49E948F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3.2.1投标人应按本招标文件中“投标文件格式”的要求填写相应表格。</w:t>
      </w:r>
    </w:p>
    <w:p w14:paraId="19FBDA78">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14:paraId="3178F99A">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3.2.3招标人设有最高投标限价的，投标人的投标报价不得超过最高投标限价，最高投标限价详见投标人须知前附表。</w:t>
      </w:r>
    </w:p>
    <w:p w14:paraId="3EB9EAB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3.2.4投标报价的其他要求详见投标人须知前附表。</w:t>
      </w:r>
    </w:p>
    <w:p w14:paraId="42087871">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3.3</w:t>
      </w:r>
      <w:r>
        <w:rPr>
          <w:rFonts w:hint="eastAsia" w:ascii="宋体" w:hAnsi="宋体" w:eastAsia="宋体" w:cs="宋体"/>
          <w:color w:val="auto"/>
          <w:sz w:val="24"/>
          <w:szCs w:val="24"/>
          <w:highlight w:val="none"/>
        </w:rPr>
        <w:t>投标有效期</w:t>
      </w:r>
    </w:p>
    <w:p w14:paraId="2730C2B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3.3.1在投标人须知前附表规定的投标有效期内，投标人不得撤销其投标文件。</w:t>
      </w:r>
    </w:p>
    <w:p w14:paraId="40D7C5C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5C765BFD">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3.4</w:t>
      </w:r>
      <w:r>
        <w:rPr>
          <w:rFonts w:hint="eastAsia" w:ascii="宋体" w:hAnsi="宋体" w:eastAsia="宋体" w:cs="宋体"/>
          <w:color w:val="auto"/>
          <w:sz w:val="24"/>
          <w:szCs w:val="24"/>
          <w:highlight w:val="none"/>
        </w:rPr>
        <w:t>投标保证金</w:t>
      </w:r>
    </w:p>
    <w:p w14:paraId="1A6811EC">
      <w:pPr>
        <w:pageBreakBefore w:val="0"/>
        <w:wordWrap/>
        <w:overflowPunct/>
        <w:topLinePunct w:val="0"/>
        <w:bidi w:val="0"/>
        <w:snapToGrid w:val="0"/>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3.4.1投标人应按投标人须知前附表规定的金额、时间及形式递交投标保证金，并作为其投标文件的组成部分。</w:t>
      </w:r>
    </w:p>
    <w:p w14:paraId="7300F1F0">
      <w:pPr>
        <w:pageBreakBefore w:val="0"/>
        <w:wordWrap/>
        <w:overflowPunct/>
        <w:topLinePunct w:val="0"/>
        <w:bidi w:val="0"/>
        <w:snapToGrid w:val="0"/>
        <w:spacing w:line="312" w:lineRule="auto"/>
        <w:ind w:firstLine="479"/>
        <w:jc w:val="both"/>
        <w:rPr>
          <w:rFonts w:hint="eastAsia" w:ascii="宋体" w:hAnsi="宋体" w:eastAsia="宋体" w:cs="宋体"/>
          <w:strike w:val="0"/>
          <w:dstrike w:val="0"/>
          <w:color w:val="auto"/>
          <w:position w:val="1"/>
          <w:sz w:val="24"/>
          <w:szCs w:val="24"/>
          <w:highlight w:val="none"/>
        </w:rPr>
      </w:pPr>
      <w:r>
        <w:rPr>
          <w:rFonts w:hint="eastAsia" w:ascii="宋体" w:hAnsi="宋体" w:eastAsia="宋体" w:cs="宋体"/>
          <w:color w:val="auto"/>
          <w:position w:val="1"/>
          <w:sz w:val="24"/>
          <w:szCs w:val="24"/>
          <w:highlight w:val="none"/>
        </w:rPr>
        <w:t>提交投标保证金的，投标保证金须从投标人基本账户中转出</w:t>
      </w:r>
      <w:r>
        <w:rPr>
          <w:rFonts w:hint="eastAsia" w:ascii="宋体" w:hAnsi="宋体" w:eastAsia="宋体" w:cs="宋体"/>
          <w:strike w:val="0"/>
          <w:dstrike w:val="0"/>
          <w:color w:val="auto"/>
          <w:position w:val="1"/>
          <w:sz w:val="24"/>
          <w:szCs w:val="24"/>
          <w:highlight w:val="none"/>
        </w:rPr>
        <w:t>；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14:paraId="0AE16661">
      <w:pPr>
        <w:pageBreakBefore w:val="0"/>
        <w:wordWrap/>
        <w:overflowPunct/>
        <w:topLinePunct w:val="0"/>
        <w:bidi w:val="0"/>
        <w:snapToGrid w:val="0"/>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strike w:val="0"/>
          <w:dstrike w:val="0"/>
          <w:color w:val="auto"/>
          <w:position w:val="1"/>
          <w:sz w:val="24"/>
          <w:szCs w:val="24"/>
          <w:highlight w:val="none"/>
        </w:rPr>
        <w:t>提交投标保险、保函、担保的，保险、保函、担保中的被担保人与投标人必须一致；联合体投标的，被担保人或投保人与联合体牵头人必须一致</w:t>
      </w:r>
      <w:r>
        <w:rPr>
          <w:rFonts w:hint="eastAsia" w:ascii="宋体" w:hAnsi="宋体" w:eastAsia="宋体" w:cs="宋体"/>
          <w:color w:val="auto"/>
          <w:position w:val="1"/>
          <w:sz w:val="24"/>
          <w:szCs w:val="24"/>
          <w:highlight w:val="none"/>
        </w:rPr>
        <w:t>。保险、保函、担保中所担保的范围、金额、责任条件及有效期或保单中被保险人、保险金额、保险期限必须符合招标文件要求，否则招标人或指定机构不予接受。</w:t>
      </w:r>
    </w:p>
    <w:p w14:paraId="654B9968">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3.4.2投标人应按本章第3.4.1项要求提交投标保证金。</w:t>
      </w:r>
    </w:p>
    <w:p w14:paraId="2EE9D21B">
      <w:pPr>
        <w:pageBreakBefore w:val="0"/>
        <w:wordWrap/>
        <w:overflowPunct/>
        <w:topLinePunct w:val="0"/>
        <w:bidi w:val="0"/>
        <w:snapToGrid w:val="0"/>
        <w:spacing w:line="312" w:lineRule="auto"/>
        <w:ind w:firstLine="480" w:firstLineChars="200"/>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3.4.3投标保证金的退还：</w:t>
      </w:r>
    </w:p>
    <w:p w14:paraId="685A5DCA">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3.4.3.1 中标人的投标保证金将在本招标项目的合同签订后5日内予以退还。</w:t>
      </w:r>
    </w:p>
    <w:p w14:paraId="1FBDAD37">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3.4.3.2未中标人的投标保证金将在本招标项目中标通知书发出后5日内予以退还。</w:t>
      </w:r>
    </w:p>
    <w:p w14:paraId="1F49A44E">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3.4.3.3 退还的投标保证金，其利息计算执行中国人民银行规定的现行活期存款利率标准。</w:t>
      </w:r>
    </w:p>
    <w:p w14:paraId="43771342">
      <w:pPr>
        <w:pageBreakBefore w:val="0"/>
        <w:wordWrap/>
        <w:overflowPunct/>
        <w:topLinePunct w:val="0"/>
        <w:bidi w:val="0"/>
        <w:snapToGrid w:val="0"/>
        <w:spacing w:line="312"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3.4.4 </w:t>
      </w:r>
      <w:r>
        <w:rPr>
          <w:rFonts w:hint="eastAsia" w:ascii="宋体" w:hAnsi="宋体" w:eastAsia="宋体" w:cs="宋体"/>
          <w:b/>
          <w:color w:val="auto"/>
          <w:sz w:val="24"/>
          <w:szCs w:val="24"/>
          <w:highlight w:val="none"/>
        </w:rPr>
        <w:t xml:space="preserve">投标人有下列情况之一时，将不予退还投标保证金： </w:t>
      </w:r>
    </w:p>
    <w:p w14:paraId="5125B769">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3.4.4.1经查实，投标人在投标过程中存在串通投标或弄虚作假的；</w:t>
      </w:r>
    </w:p>
    <w:p w14:paraId="04BB585C">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3.4.4.2在提交投标文件截止时间后到招标文件规定的投标有效期终止之前，投标人撤销其投标文件的；</w:t>
      </w:r>
    </w:p>
    <w:p w14:paraId="34D7D5E5">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3.4.4.3中标人在收到中标通知书后，无正当理由不与招标人订立合同，在签订合同时向招标人提出附加条件，或者不按照招标文件要求提交履约保证金；</w:t>
      </w:r>
    </w:p>
    <w:p w14:paraId="0B50D741">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3.4.4.4 以现金转账形式，转账现金不予退还；</w:t>
      </w:r>
    </w:p>
    <w:p w14:paraId="781F8EA9">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3.4.4.5 以银行保函形式，招标人作为受益人向银行提起索赔；</w:t>
      </w:r>
    </w:p>
    <w:p w14:paraId="5C03DF4D">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3.4.4.6 以保证保险形式，招标人作为被保险人（受益人）向保险人提起索赔；</w:t>
      </w:r>
    </w:p>
    <w:p w14:paraId="2B5448E5">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3.4.4.7 以担保公司担保形式，招标人作为受益人向担保人提起索赔。</w:t>
      </w:r>
    </w:p>
    <w:p w14:paraId="1E59BCE8">
      <w:pPr>
        <w:pageBreakBefore w:val="0"/>
        <w:wordWrap/>
        <w:overflowPunct/>
        <w:topLinePunct w:val="0"/>
        <w:bidi w:val="0"/>
        <w:snapToGrid w:val="0"/>
        <w:spacing w:line="312" w:lineRule="auto"/>
        <w:ind w:firstLine="482" w:firstLineChars="200"/>
        <w:rPr>
          <w:rFonts w:hint="eastAsia" w:ascii="宋体" w:hAnsi="宋体" w:eastAsia="宋体" w:cs="宋体"/>
          <w:strike/>
          <w:dstrike w:val="0"/>
          <w:color w:val="auto"/>
          <w:position w:val="1"/>
          <w:sz w:val="24"/>
          <w:szCs w:val="24"/>
          <w:highlight w:val="none"/>
        </w:rPr>
      </w:pPr>
      <w:r>
        <w:rPr>
          <w:rFonts w:hint="eastAsia" w:ascii="宋体" w:hAnsi="宋体" w:eastAsia="宋体" w:cs="宋体"/>
          <w:b/>
          <w:strike/>
          <w:dstrike w:val="0"/>
          <w:color w:val="auto"/>
          <w:sz w:val="24"/>
          <w:szCs w:val="24"/>
          <w:highlight w:val="none"/>
        </w:rPr>
        <w:t>免缴投标保证金的投标人如出现上述不予退还投标保证金的情形时，应在承诺时限内补缴全额投标保证金。</w:t>
      </w:r>
    </w:p>
    <w:p w14:paraId="6F6BD540">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3.5</w:t>
      </w:r>
      <w:r>
        <w:rPr>
          <w:rFonts w:hint="eastAsia" w:ascii="宋体" w:hAnsi="宋体" w:eastAsia="宋体" w:cs="宋体"/>
          <w:color w:val="auto"/>
          <w:sz w:val="24"/>
          <w:szCs w:val="24"/>
          <w:highlight w:val="none"/>
        </w:rPr>
        <w:t>资格审查资料</w:t>
      </w:r>
    </w:p>
    <w:p w14:paraId="3596F44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3.5.1“投标人基本情况表”应附投标人营业执照副本等材料的复制件。</w:t>
      </w:r>
    </w:p>
    <w:p w14:paraId="620C96AD">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3.5.2“近年财务状况表”应附经会计师事务所审计出具的财务会计报告，包括资产负债表、现金流量表、利润表和财务情况说明书的复制件，具体年份要求见投标人须知前附表。格式自拟。</w:t>
      </w:r>
    </w:p>
    <w:p w14:paraId="5579B821">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3.5.3“近年完成的类似项目情况表”应附中标通知书、委托合同的复制件，具体年份要求见投标人须知前附表。每张表格只填写一个项目，并标明序号。格式自拟。</w:t>
      </w:r>
    </w:p>
    <w:p w14:paraId="74F9A2C1">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3.5.4“正在进行的项目和新承接的项目情况表”应附中标通知书和合同协议书复制件。每张表格只填写一个项目，并标明序号。格式自拟。</w:t>
      </w:r>
    </w:p>
    <w:p w14:paraId="3F3339D1">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3.5.5“近年发生的诉讼及仲裁情况”应说明相关情况，并附法院或仲裁机构作出的判决、裁决等有关法律文书复制件，具体年份要求见投标人须知前附表。格式自拟。</w:t>
      </w:r>
    </w:p>
    <w:p w14:paraId="64F9910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3.5.6投标单位应本着诚实信用的原则，提供真实可信的资格审查资料。若投标单位提供虚假资料，一经查实，除按否决投标处理外，其投标保证金不予退还。</w:t>
      </w:r>
    </w:p>
    <w:p w14:paraId="6B0653F7">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w:t>
      </w:r>
      <w:r>
        <w:rPr>
          <w:rFonts w:hint="eastAsia" w:ascii="宋体" w:hAnsi="宋体" w:eastAsia="宋体" w:cs="宋体"/>
          <w:color w:val="auto"/>
          <w:position w:val="1"/>
          <w:sz w:val="24"/>
          <w:szCs w:val="24"/>
          <w:highlight w:val="none"/>
          <w:lang w:val="en-US" w:eastAsia="zh-CN"/>
        </w:rPr>
        <w:t>7</w:t>
      </w:r>
      <w:r>
        <w:rPr>
          <w:rFonts w:hint="eastAsia" w:ascii="宋体" w:hAnsi="宋体" w:eastAsia="宋体" w:cs="宋体"/>
          <w:color w:val="auto"/>
          <w:position w:val="1"/>
          <w:sz w:val="24"/>
          <w:szCs w:val="24"/>
          <w:highlight w:val="none"/>
        </w:rPr>
        <w:t>实质性响应招标文件及评审打分资料详见投标人须知前附表。</w:t>
      </w:r>
    </w:p>
    <w:p w14:paraId="54E4B537">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3.6</w:t>
      </w:r>
      <w:r>
        <w:rPr>
          <w:rFonts w:hint="eastAsia" w:ascii="宋体" w:hAnsi="宋体" w:eastAsia="宋体" w:cs="宋体"/>
          <w:color w:val="auto"/>
          <w:sz w:val="24"/>
          <w:szCs w:val="24"/>
          <w:highlight w:val="none"/>
        </w:rPr>
        <w:t>备选投标方案</w:t>
      </w:r>
    </w:p>
    <w:p w14:paraId="2C2506A1">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14:paraId="238319F0">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3.7</w:t>
      </w:r>
      <w:r>
        <w:rPr>
          <w:rFonts w:hint="eastAsia" w:ascii="宋体" w:hAnsi="宋体" w:eastAsia="宋体" w:cs="宋体"/>
          <w:color w:val="auto"/>
          <w:sz w:val="24"/>
          <w:szCs w:val="24"/>
          <w:highlight w:val="none"/>
        </w:rPr>
        <w:t>投标文件的编制</w:t>
      </w:r>
    </w:p>
    <w:p w14:paraId="59B5BA88">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14:paraId="4350EE95">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3.7.2投标文件应当对招标文件有关工期、投标有效期、质量要求、技术标准和要求、招标范围等实质性内容作出响应。</w:t>
      </w:r>
    </w:p>
    <w:p w14:paraId="7C65839B">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3.7.3投标文件签字或盖章的具体要求见投标人须知前附表。</w:t>
      </w:r>
    </w:p>
    <w:p w14:paraId="7AAEF07D">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3.7.4投标文件份数的具体要求见投标人须知前附表。</w:t>
      </w:r>
    </w:p>
    <w:p w14:paraId="5C5D1C9E">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3.7.5电子投标的要求</w:t>
      </w:r>
    </w:p>
    <w:p w14:paraId="25AB5880">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（1）电子投标文件签字或盖章的具体要求见投标人须知前附表。</w:t>
      </w:r>
    </w:p>
    <w:p w14:paraId="5C27DA16">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（2）电子投标文件制作或加密要求见投标人须知前附表。</w:t>
      </w:r>
    </w:p>
    <w:p w14:paraId="28925582">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（3）电子投标文件所附证书证件及业绩证明文件要求见投标人须知前附表规定。</w:t>
      </w:r>
    </w:p>
    <w:p w14:paraId="74F1200F">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color w:val="auto"/>
          <w:sz w:val="24"/>
          <w:szCs w:val="24"/>
          <w:highlight w:val="none"/>
        </w:rPr>
        <w:t>投标</w:t>
      </w:r>
    </w:p>
    <w:p w14:paraId="51D53360">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4.1</w:t>
      </w:r>
      <w:r>
        <w:rPr>
          <w:rFonts w:hint="eastAsia" w:ascii="宋体" w:hAnsi="宋体" w:eastAsia="宋体" w:cs="宋体"/>
          <w:color w:val="auto"/>
          <w:sz w:val="24"/>
          <w:szCs w:val="24"/>
          <w:highlight w:val="none"/>
        </w:rPr>
        <w:t>光盘、样品等材料的包装和标记</w:t>
      </w:r>
    </w:p>
    <w:p w14:paraId="0F411AB8">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光盘、样品等材料的外包装和要求见投标人须知前附表。</w:t>
      </w:r>
    </w:p>
    <w:p w14:paraId="419783ED">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4.2</w:t>
      </w:r>
      <w:r>
        <w:rPr>
          <w:rFonts w:hint="eastAsia" w:ascii="宋体" w:hAnsi="宋体" w:eastAsia="宋体" w:cs="宋体"/>
          <w:color w:val="auto"/>
          <w:sz w:val="24"/>
          <w:szCs w:val="24"/>
          <w:highlight w:val="none"/>
        </w:rPr>
        <w:t>投标文件的递交</w:t>
      </w:r>
    </w:p>
    <w:p w14:paraId="6F16461B">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4.2.1投标人应在前附表第2.2.2项规定的投标截止时间前递交投标文件。</w:t>
      </w:r>
    </w:p>
    <w:p w14:paraId="1CE97567">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4.2.2投标人递交投标文件的方式：见投标人须知前附表。</w:t>
      </w:r>
    </w:p>
    <w:p w14:paraId="60CB23A0">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4.2.3除投标人须知前附表另有规定外，投标人所递交的投标文件不予退还。</w:t>
      </w:r>
    </w:p>
    <w:p w14:paraId="0939F7B7">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4.2.4电子投标文件递交要求：见投标须知前附表。</w:t>
      </w:r>
    </w:p>
    <w:p w14:paraId="5FECD0C9">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4.2.5电子投标文件的拒收情形：见投标须知前附表。</w:t>
      </w:r>
    </w:p>
    <w:p w14:paraId="2C956129">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4.3</w:t>
      </w:r>
      <w:r>
        <w:rPr>
          <w:rFonts w:hint="eastAsia" w:ascii="宋体" w:hAnsi="宋体" w:eastAsia="宋体" w:cs="宋体"/>
          <w:color w:val="auto"/>
          <w:sz w:val="24"/>
          <w:szCs w:val="24"/>
          <w:highlight w:val="none"/>
        </w:rPr>
        <w:t>投标文件的修改与撤回</w:t>
      </w:r>
    </w:p>
    <w:p w14:paraId="097DE751">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4.3.1在前附表第2.2.2项规定的投标截止时间前，投标人可以修改或撤回已递交的投标文件，在投标截止时间以后，不能更改投标文件。</w:t>
      </w:r>
    </w:p>
    <w:p w14:paraId="3FF2D8C1">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4.3.2修改的内容为投标文件的组成部分。投标人的补充修改，应按规定编制、密封、标志和递交，并在包封上标明“修改”字样。</w:t>
      </w:r>
    </w:p>
    <w:p w14:paraId="27B9195D">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2A79CCF2">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4.4</w:t>
      </w:r>
      <w:r>
        <w:rPr>
          <w:rFonts w:hint="eastAsia" w:ascii="宋体" w:hAnsi="宋体" w:eastAsia="宋体" w:cs="宋体"/>
          <w:color w:val="auto"/>
          <w:sz w:val="24"/>
          <w:szCs w:val="24"/>
          <w:highlight w:val="none"/>
        </w:rPr>
        <w:t>投标文件的拒收情形</w:t>
      </w:r>
    </w:p>
    <w:p w14:paraId="0A9AB0D3">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详见投标人须知前附表。</w:t>
      </w:r>
    </w:p>
    <w:p w14:paraId="3376D13F">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开标程序</w:t>
      </w:r>
    </w:p>
    <w:p w14:paraId="35D5AF19">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5.1</w:t>
      </w:r>
      <w:r>
        <w:rPr>
          <w:rFonts w:hint="eastAsia" w:ascii="宋体" w:hAnsi="宋体" w:eastAsia="宋体" w:cs="宋体"/>
          <w:color w:val="auto"/>
          <w:sz w:val="24"/>
          <w:szCs w:val="24"/>
          <w:highlight w:val="none"/>
        </w:rPr>
        <w:t>开标时间和地点、参加开标会议的要求</w:t>
      </w:r>
    </w:p>
    <w:p w14:paraId="47BC11EF">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招标人在投标人须知前附表第2.2.2项规定的投标截止时间(开标时间)和投标人须知前附表规定的地点公开开标，参加开标会议的要求见投标人须知前附表。</w:t>
      </w:r>
    </w:p>
    <w:p w14:paraId="69F6A642">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5.2</w:t>
      </w:r>
      <w:r>
        <w:rPr>
          <w:rFonts w:hint="eastAsia" w:ascii="宋体" w:hAnsi="宋体" w:eastAsia="宋体" w:cs="宋体"/>
          <w:color w:val="auto"/>
          <w:sz w:val="24"/>
          <w:szCs w:val="24"/>
          <w:highlight w:val="none"/>
        </w:rPr>
        <w:t>开标</w:t>
      </w:r>
    </w:p>
    <w:p w14:paraId="49DC08FB">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主持人按下列程序进行开标：</w:t>
      </w:r>
    </w:p>
    <w:p w14:paraId="1BE9C3C1">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5.2.1宣布开标开始，介绍到会单位及人员；</w:t>
      </w:r>
    </w:p>
    <w:p w14:paraId="6AFB0F74">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5.2.2招标人公布投标人数量及保证金缴纳情况。若递交投标文件的单位数量少于3家，招标人公布已递交投标文件单位名称，宣布本次招标失败；</w:t>
      </w:r>
    </w:p>
    <w:p w14:paraId="15146EC5">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5.2.3递交投标文件的投标人数量大于等于3家，进入投标文件启封或投标人解密环节。若成功解密的投标人少于3家，招标人宣布本次招标失败；</w:t>
      </w:r>
    </w:p>
    <w:p w14:paraId="4ECDA2FF">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5.2.4评标委员会对投标人进行资格审查（资格后审）；</w:t>
      </w:r>
    </w:p>
    <w:p w14:paraId="014E18F2">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5.2.5启封技术标，评标委员会对投标人的技术标进行综合评议并打分；</w:t>
      </w:r>
    </w:p>
    <w:p w14:paraId="69D93B0E">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5.2.6宣布各投标人技术标得分；</w:t>
      </w:r>
    </w:p>
    <w:p w14:paraId="12841912">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5.2.7启封商务标，评标委员会对商务标进行评议并计算得分，宣布商务标得分；</w:t>
      </w:r>
    </w:p>
    <w:p w14:paraId="198E4E8D">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5.2.8宣布各投标人总得分；</w:t>
      </w:r>
    </w:p>
    <w:p w14:paraId="22246DDB">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5.2.9宣布中标候选人；</w:t>
      </w:r>
    </w:p>
    <w:p w14:paraId="4DAAEC4F">
      <w:pPr>
        <w:pageBreakBefore w:val="0"/>
        <w:wordWrap/>
        <w:overflowPunct/>
        <w:topLinePunct w:val="0"/>
        <w:bidi w:val="0"/>
        <w:snapToGrid w:val="0"/>
        <w:spacing w:line="312" w:lineRule="auto"/>
        <w:jc w:val="both"/>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5.3不见面开标软硬件要求</w:t>
      </w:r>
    </w:p>
    <w:p w14:paraId="5906075C">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（一）建议电脑配置：4G以上内存，MicrosoftWindows7以上操作系统，正版office软件，及相应的配套硬件设备（摄像头、耳机、麦克风等）。</w:t>
      </w:r>
    </w:p>
    <w:p w14:paraId="66A2860F">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 50M 以上网络带宽连接。</w:t>
      </w:r>
    </w:p>
    <w:p w14:paraId="5E2BFD05">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（三）安装浙江省公共资源交易CA签章互认驱动及开标大厅直播播放器。相关软件可在绍兴公共资源交易网（按各平台情况填写）下载专区页面下载。</w:t>
      </w:r>
    </w:p>
    <w:p w14:paraId="7F44ECB4">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（四）使用MicrosoftInternetExplorer11（IE 11）及以上浏览器，加入可信任站点，添加兼容性视图设置修改 Activex控件和插件设置，关闭弹出窗口拦截。</w:t>
      </w:r>
    </w:p>
    <w:p w14:paraId="07FBF8EF">
      <w:pPr>
        <w:pageBreakBefore w:val="0"/>
        <w:wordWrap/>
        <w:overflowPunct/>
        <w:topLinePunct w:val="0"/>
        <w:bidi w:val="0"/>
        <w:snapToGrid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5.4特殊情况的处置</w:t>
      </w:r>
    </w:p>
    <w:p w14:paraId="01EBF02B">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5.4.1特殊情况的处置</w:t>
      </w:r>
    </w:p>
    <w:p w14:paraId="3986D75F">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（一）因网络、系统、电力等不可抗力因素延期开标的，需更新制作投标文件并按招标文件要求重新递交。</w:t>
      </w:r>
    </w:p>
    <w:p w14:paraId="1BC8D7D5">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14CCC156">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（三）投标人电脑终端的硬件设备和软件系统配置必须符合不见面开标技术要求并运行正常，否则投标人自行承担不利后果。</w:t>
      </w:r>
    </w:p>
    <w:p w14:paraId="6D5F20C0">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5.4.2开标特别说明</w:t>
      </w:r>
    </w:p>
    <w:p w14:paraId="5A0CC9B6">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（一）开标解密使用投标人上传的加密电子投标文件。</w:t>
      </w:r>
    </w:p>
    <w:p w14:paraId="15C0F0D5">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520219C3">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（三）部分投标人的电子文件无法解密的，其他投标文件的开标可以继续进行。</w:t>
      </w:r>
    </w:p>
    <w:p w14:paraId="6CAEC60D">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74F64FA1">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（五）投标人应实时关注不见面开标系统页面，观看开标全过程，并根据需要，使用不见面</w:t>
      </w:r>
    </w:p>
    <w:p w14:paraId="7B4FA571">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54ED3D01">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未及时登录不见面开标系统参与在线开标，投标人将无法及时获取解密指令、废标、澄清、唱标、评审结果等实时情况。投标人应自行承担由此引起的相关风险。</w:t>
      </w:r>
    </w:p>
    <w:p w14:paraId="4C13E075">
      <w:pPr>
        <w:pageBreakBefore w:val="0"/>
        <w:wordWrap/>
        <w:overflowPunct/>
        <w:topLinePunct w:val="0"/>
        <w:bidi w:val="0"/>
        <w:snapToGrid w:val="0"/>
        <w:spacing w:line="312"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5.4.3其他:见投标人须知前附表。</w:t>
      </w:r>
    </w:p>
    <w:p w14:paraId="024A5076">
      <w:pPr>
        <w:pageBreakBefore w:val="0"/>
        <w:widowControl w:val="0"/>
        <w:kinsoku/>
        <w:wordWrap/>
        <w:overflowPunct/>
        <w:topLinePunct w:val="0"/>
        <w:autoSpaceDE/>
        <w:autoSpaceDN/>
        <w:bidi w:val="0"/>
        <w:adjustRightInd/>
        <w:snapToGrid w:val="0"/>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6" w:name="_Toc153981473"/>
      <w:bookmarkStart w:id="7" w:name="_Toc24695"/>
      <w:bookmarkStart w:id="8" w:name="_Toc24156"/>
      <w:bookmarkStart w:id="9" w:name="_Toc22922"/>
      <w:bookmarkStart w:id="10" w:name="_Toc16092"/>
      <w:bookmarkStart w:id="11" w:name="_Toc25932"/>
      <w:bookmarkStart w:id="12" w:name="_Toc31702"/>
      <w:bookmarkStart w:id="13" w:name="_Toc24644"/>
      <w:bookmarkStart w:id="14" w:name="_Toc15636"/>
      <w:bookmarkStart w:id="15" w:name="_Toc462184031"/>
      <w:bookmarkStart w:id="16" w:name="_Toc22455"/>
      <w:bookmarkStart w:id="17" w:name="_Toc9230"/>
      <w:bookmarkStart w:id="18" w:name="_Toc27905"/>
      <w:r>
        <w:rPr>
          <w:rFonts w:hint="eastAsia" w:ascii="宋体" w:hAnsi="宋体" w:eastAsia="宋体" w:cs="宋体"/>
          <w:b/>
          <w:bCs/>
          <w:snapToGrid/>
          <w:color w:val="auto"/>
          <w:kern w:val="2"/>
          <w:sz w:val="24"/>
          <w:szCs w:val="24"/>
          <w:highlight w:val="none"/>
        </w:rPr>
        <w:t>6. 评标</w:t>
      </w:r>
      <w:bookmarkEnd w:id="6"/>
      <w:bookmarkEnd w:id="7"/>
      <w:bookmarkEnd w:id="8"/>
      <w:bookmarkEnd w:id="9"/>
      <w:bookmarkEnd w:id="10"/>
      <w:bookmarkEnd w:id="11"/>
      <w:bookmarkEnd w:id="12"/>
      <w:bookmarkEnd w:id="13"/>
      <w:bookmarkEnd w:id="14"/>
      <w:bookmarkEnd w:id="15"/>
      <w:bookmarkEnd w:id="16"/>
      <w:bookmarkEnd w:id="17"/>
      <w:bookmarkEnd w:id="18"/>
    </w:p>
    <w:p w14:paraId="20719CC5">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bookmarkStart w:id="19" w:name="_Toc193449944"/>
      <w:r>
        <w:rPr>
          <w:rFonts w:hint="eastAsia" w:ascii="宋体" w:hAnsi="宋体" w:eastAsia="宋体" w:cs="宋体"/>
          <w:b/>
          <w:snapToGrid/>
          <w:color w:val="auto"/>
          <w:kern w:val="2"/>
          <w:sz w:val="24"/>
          <w:szCs w:val="24"/>
          <w:highlight w:val="none"/>
        </w:rPr>
        <w:t>6.1 评标委员会</w:t>
      </w:r>
      <w:bookmarkEnd w:id="19"/>
    </w:p>
    <w:p w14:paraId="203BA20D">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1BC5FB1B">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 评标委员会成员有下列情形之一的，应当回避：</w:t>
      </w:r>
    </w:p>
    <w:p w14:paraId="67DA9F5D">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6.1.2.1 投标人或投标人的主要负责人及其拟派项目负责人的近亲属；</w:t>
      </w:r>
    </w:p>
    <w:p w14:paraId="4E935EB8">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6.1.2.2 项目主管部门或者行政监督部门的人员：</w:t>
      </w:r>
    </w:p>
    <w:p w14:paraId="0812B785">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6.1.2.3 与投标人有经济利益关系，可能影响对投标公正评审的；</w:t>
      </w:r>
    </w:p>
    <w:p w14:paraId="2248C3D1">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6.1.2.4 曾因在招标、评标以及其他与招标投标有关活动中有过不良行为或从事违法行为而受过行政处罚或刑事处罚的。</w:t>
      </w:r>
    </w:p>
    <w:p w14:paraId="65664050">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bookmarkStart w:id="20" w:name="_Toc193449945"/>
      <w:r>
        <w:rPr>
          <w:rFonts w:hint="eastAsia" w:ascii="宋体" w:hAnsi="宋体" w:eastAsia="宋体" w:cs="宋体"/>
          <w:b/>
          <w:snapToGrid/>
          <w:color w:val="auto"/>
          <w:kern w:val="2"/>
          <w:sz w:val="24"/>
          <w:szCs w:val="24"/>
          <w:highlight w:val="none"/>
        </w:rPr>
        <w:t xml:space="preserve">6.2 评标原则 </w:t>
      </w:r>
    </w:p>
    <w:p w14:paraId="1709FDAE">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评标活动遵循公平、公正、科学、择优的原则。</w:t>
      </w:r>
    </w:p>
    <w:p w14:paraId="3645C4A8">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6.3 评标过程的保密</w:t>
      </w:r>
      <w:bookmarkEnd w:id="20"/>
    </w:p>
    <w:p w14:paraId="45016F82">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 开标后，直至授予中标人合同为止，凡属于对投标文件的审查、澄清、评价和比较的有关资料，以及与评标有关的其他任何情况均应严格保密。</w:t>
      </w:r>
    </w:p>
    <w:p w14:paraId="338ACE74">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6.3.2 在投标文件的评审和比较、中标候选人推荐以及授予合同的过程中，投标人向招标人和评标委员会施加影响的任何行为，都将会导致其投标被拒绝。</w:t>
      </w:r>
    </w:p>
    <w:p w14:paraId="0BFB89CA">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6.3.3 中标人确定后，招标人不对未中标人就评标过程以及未能中标原因作出任何解释。</w:t>
      </w:r>
    </w:p>
    <w:p w14:paraId="7CADBFF2">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bookmarkStart w:id="21" w:name="_Toc193449946"/>
      <w:r>
        <w:rPr>
          <w:rFonts w:hint="eastAsia" w:ascii="宋体" w:hAnsi="宋体" w:eastAsia="宋体" w:cs="宋体"/>
          <w:b/>
          <w:snapToGrid/>
          <w:color w:val="auto"/>
          <w:kern w:val="2"/>
          <w:sz w:val="24"/>
          <w:szCs w:val="24"/>
          <w:highlight w:val="none"/>
        </w:rPr>
        <w:t>6.4 评标</w:t>
      </w:r>
      <w:bookmarkEnd w:id="21"/>
    </w:p>
    <w:p w14:paraId="0B532B30">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33979B26">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6.4.2评标完成后，评标委员会应当向招标人提交书面评标报告和中标候选人名单。评标委员会推荐中标候选人的人数见投标人须知前附表。</w:t>
      </w:r>
    </w:p>
    <w:p w14:paraId="2CF43F70">
      <w:pPr>
        <w:keepNext/>
        <w:keepLines/>
        <w:pageBreakBefore w:val="0"/>
        <w:widowControl w:val="0"/>
        <w:kinsoku/>
        <w:wordWrap/>
        <w:overflowPunct/>
        <w:topLinePunct w:val="0"/>
        <w:autoSpaceDE/>
        <w:autoSpaceDN/>
        <w:bidi w:val="0"/>
        <w:adjustRightInd/>
        <w:snapToGrid w:val="0"/>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22" w:name="_Toc462184032"/>
      <w:bookmarkStart w:id="23" w:name="_Toc29415"/>
      <w:bookmarkStart w:id="24" w:name="_Toc28621"/>
      <w:bookmarkStart w:id="25" w:name="_Toc153981474"/>
      <w:bookmarkStart w:id="26" w:name="_Toc17051"/>
      <w:bookmarkStart w:id="27" w:name="_Toc28153"/>
      <w:bookmarkStart w:id="28" w:name="_Toc21714"/>
      <w:bookmarkStart w:id="29" w:name="_Toc18956"/>
      <w:bookmarkStart w:id="30" w:name="_Toc11303"/>
      <w:bookmarkStart w:id="31" w:name="_Toc8865"/>
      <w:bookmarkStart w:id="32" w:name="_Toc13493"/>
      <w:bookmarkStart w:id="33" w:name="_Toc12652"/>
      <w:bookmarkStart w:id="34" w:name="_Toc7704"/>
      <w:r>
        <w:rPr>
          <w:rFonts w:hint="eastAsia" w:ascii="宋体" w:hAnsi="宋体" w:eastAsia="宋体" w:cs="宋体"/>
          <w:b/>
          <w:bCs/>
          <w:snapToGrid/>
          <w:color w:val="auto"/>
          <w:kern w:val="2"/>
          <w:sz w:val="24"/>
          <w:szCs w:val="24"/>
          <w:highlight w:val="none"/>
        </w:rPr>
        <w:t>7. 合同授予</w:t>
      </w:r>
      <w:bookmarkEnd w:id="22"/>
      <w:bookmarkEnd w:id="23"/>
      <w:bookmarkEnd w:id="24"/>
      <w:bookmarkEnd w:id="25"/>
      <w:bookmarkEnd w:id="26"/>
      <w:bookmarkEnd w:id="27"/>
      <w:bookmarkEnd w:id="28"/>
      <w:bookmarkEnd w:id="29"/>
      <w:bookmarkEnd w:id="30"/>
      <w:bookmarkEnd w:id="31"/>
      <w:bookmarkEnd w:id="32"/>
      <w:bookmarkEnd w:id="33"/>
      <w:bookmarkEnd w:id="34"/>
      <w:bookmarkStart w:id="35" w:name="_Toc193449947"/>
    </w:p>
    <w:p w14:paraId="6E31B8D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7.1 定标方式</w:t>
      </w:r>
    </w:p>
    <w:p w14:paraId="4B2450B4">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重新招标。</w:t>
      </w:r>
    </w:p>
    <w:p w14:paraId="5EC0359B">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授权评标委员会推荐中标候选人的见投标人须知前附表。</w:t>
      </w:r>
    </w:p>
    <w:p w14:paraId="6C3C2776">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val="0"/>
          <w:dstrike w:val="0"/>
          <w:snapToGrid/>
          <w:color w:val="auto"/>
          <w:kern w:val="2"/>
          <w:sz w:val="24"/>
          <w:szCs w:val="24"/>
          <w:highlight w:val="none"/>
        </w:rPr>
      </w:pPr>
      <w:r>
        <w:rPr>
          <w:rFonts w:hint="eastAsia" w:ascii="宋体" w:hAnsi="宋体" w:eastAsia="宋体" w:cs="宋体"/>
          <w:strike w:val="0"/>
          <w:dstrike w:val="0"/>
          <w:snapToGrid/>
          <w:color w:val="auto"/>
          <w:kern w:val="2"/>
          <w:sz w:val="24"/>
          <w:szCs w:val="24"/>
          <w:highlight w:val="none"/>
          <w:lang w:eastAsia="zh-CN"/>
        </w:rPr>
        <w:t>□</w:t>
      </w:r>
      <w:r>
        <w:rPr>
          <w:rFonts w:hint="eastAsia" w:ascii="宋体" w:hAnsi="宋体" w:eastAsia="宋体" w:cs="宋体"/>
          <w:strike w:val="0"/>
          <w:dstrike w:val="0"/>
          <w:snapToGrid/>
          <w:color w:val="auto"/>
          <w:kern w:val="2"/>
          <w:sz w:val="24"/>
          <w:szCs w:val="24"/>
          <w:highlight w:val="none"/>
        </w:rPr>
        <w:t>7.1 定标方式（适用“评定分离”）</w:t>
      </w:r>
    </w:p>
    <w:p w14:paraId="625CFF4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val="0"/>
          <w:dstrike w:val="0"/>
          <w:snapToGrid/>
          <w:color w:val="auto"/>
          <w:kern w:val="2"/>
          <w:sz w:val="24"/>
          <w:szCs w:val="24"/>
          <w:highlight w:val="none"/>
        </w:rPr>
      </w:pPr>
      <w:r>
        <w:rPr>
          <w:rFonts w:hint="eastAsia" w:ascii="宋体" w:hAnsi="宋体" w:eastAsia="宋体" w:cs="宋体"/>
          <w:strike w:val="0"/>
          <w:dstrike w:val="0"/>
          <w:snapToGrid/>
          <w:color w:val="auto"/>
          <w:kern w:val="2"/>
          <w:sz w:val="24"/>
          <w:szCs w:val="24"/>
          <w:highlight w:val="none"/>
        </w:rPr>
        <w:t>按照《浙江省工程建设项目招标投标“评定分离”操作指引（试行）》（浙发改公管〔2023〕256 号）、《绍兴市工程建设项目招标投标“评定分离”试点定标操作指引（试行）》（绍市政服办〔2023〕17号）确定，由招标人在招标文件中明确。</w:t>
      </w:r>
    </w:p>
    <w:p w14:paraId="7D28CC04">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7.1.1中标候选人公示</w:t>
      </w:r>
    </w:p>
    <w:p w14:paraId="46D11693">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0BBE91E7">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7.1.2定标会议时间和地点</w:t>
      </w:r>
    </w:p>
    <w:p w14:paraId="3BDA6381">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招标人在投标须知前附表规定的时间和地点召开定标会议，并全程录音录像。</w:t>
      </w:r>
    </w:p>
    <w:p w14:paraId="4278F84A">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7.1.3 定标委员会的组成见投标人须知前附表。定标委员会成员与中标候选人有利害关系的应主动说明并申请回避，定标委员会名单在中标结果确定前保密。</w:t>
      </w:r>
    </w:p>
    <w:p w14:paraId="4E9226A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7.1.4 定标要素</w:t>
      </w:r>
    </w:p>
    <w:p w14:paraId="5C3DD141">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7.1.4.1招标人可在投标须知前附表规定的时间前对所有中标候选人进行考察、质询。考察、质询小组应由投标须知前附表规定的人数组成。考察、质询小组应如实记录考察、质询情况，并出具考察、质询报告作为定标要素之一。考察、质询报告应客观公正，不得有明示或暗示中标人的内容。</w:t>
      </w:r>
    </w:p>
    <w:p w14:paraId="427E21DA">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7.1.4.2招标人在定标阶段对中标候选人（联合体投标的，为联合体牵头人）的法定代表人、拟派项目负责人开展现场面试。现场面试由定标委员会具体实施。</w:t>
      </w:r>
    </w:p>
    <w:p w14:paraId="211E3521">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7.1.4.3定标要素应参考评标委员会评标报告、质询或考察报告、现场面试情况，此外，还可以包含以下要素： </w:t>
      </w:r>
    </w:p>
    <w:p w14:paraId="279E5F33">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（1）价格因素：主要包括商务报价高低、不平衡报价情况等； </w:t>
      </w:r>
    </w:p>
    <w:p w14:paraId="264C40AD">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（2）企业实力：主要包括企业规模、资质等级、专业技术人员规模、近年的财务状况、过往业绩（含业绩影响力、难易程度）等； </w:t>
      </w:r>
    </w:p>
    <w:p w14:paraId="1CD162E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（3）企业信誉：主要包括企业信用情况、过往业绩履约情况、建设单位履约评价情况等（可查询全国和浙江省建筑市场监管公共服务系统等）； </w:t>
      </w:r>
    </w:p>
    <w:p w14:paraId="4241D10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（4）投标方案：主要包括设计方案情况、设计重难点解决方案等； </w:t>
      </w:r>
    </w:p>
    <w:p w14:paraId="6AD76C90">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（5）拟派团队能力与水平：主要包括团队主要负责人类似工程业绩、拟派项目团队人员的资信实力等； </w:t>
      </w:r>
    </w:p>
    <w:p w14:paraId="4C56EE2B">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（6）联合体投标的，联合体组成情况； </w:t>
      </w:r>
    </w:p>
    <w:p w14:paraId="6C2EE355">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（7）招标人认为需要考量的其他因素。</w:t>
      </w:r>
    </w:p>
    <w:p w14:paraId="40078C9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7.1.5定标方法可采用下列方法或者下列方法的组合： </w:t>
      </w:r>
    </w:p>
    <w:p w14:paraId="5C52CAD5">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（1）票决法。由定标委员会以直接票决或者逐轮票决的方式确定中标人。 </w:t>
      </w:r>
    </w:p>
    <w:p w14:paraId="67D8EAFB">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（2）集体议事法。由定标委员会进行集体商议，定标委员会成员各自发表意见，由定标委员会组长最终确定中标人。所有参加会议的定标委员会成员的意见应当作书面记录，并由定标委员会成员签字确认。 </w:t>
      </w:r>
    </w:p>
    <w:p w14:paraId="5D0B6EBA">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（3）投标须知前附表规定的其他定标办法。</w:t>
      </w:r>
    </w:p>
    <w:p w14:paraId="2A81520B">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7.1.6中标人公告媒介及期限</w:t>
      </w:r>
    </w:p>
    <w:p w14:paraId="3C2A3A8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招标人应当将中标结果情况在投标须知前附表规定的媒介上公告不少于3日。</w:t>
      </w:r>
    </w:p>
    <w:p w14:paraId="2119D5D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7.1.7定标后有下列情形之一的，招标人可以组织原定标委员会从其他中标候选人中按原定标方法确定中标人：</w:t>
      </w:r>
    </w:p>
    <w:p w14:paraId="73D751CF">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（1）中标人放弃中标资格或者拒不签订合同的； </w:t>
      </w:r>
    </w:p>
    <w:p w14:paraId="0D5BAD4D">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（2）中标人被查实存在违法行为影响中标结果的； </w:t>
      </w:r>
    </w:p>
    <w:p w14:paraId="19338ED0">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（3）投标须知前附表规定的其他情形。 </w:t>
      </w:r>
    </w:p>
    <w:p w14:paraId="41B57C26">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7.1.8定标后有下列情形之一的，应重新定标： </w:t>
      </w:r>
    </w:p>
    <w:p w14:paraId="4B301CA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（1）查实定标委员会未按定标办法公正履职的； </w:t>
      </w:r>
    </w:p>
    <w:p w14:paraId="4510087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（2）有定标委员会成员与中标候选人有利害关系且未申请回避的； </w:t>
      </w:r>
    </w:p>
    <w:p w14:paraId="0125FADD">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（3）投标须知前附表规定的其他情形。</w:t>
      </w:r>
    </w:p>
    <w:p w14:paraId="62F37824">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7.2 合同授予</w:t>
      </w:r>
      <w:bookmarkEnd w:id="35"/>
    </w:p>
    <w:p w14:paraId="0D79CF3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7.2.1中标候选人公示媒介及期限见投标人须知前附表。</w:t>
      </w:r>
    </w:p>
    <w:p w14:paraId="55D94D6E">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7.2.2本招标项目的设计合同将授予按本章第7.1条款所确定的中标人。</w:t>
      </w:r>
    </w:p>
    <w:p w14:paraId="4771494F">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bookmarkStart w:id="36" w:name="_Toc193449949"/>
      <w:r>
        <w:rPr>
          <w:rFonts w:hint="eastAsia" w:ascii="宋体" w:hAnsi="宋体" w:eastAsia="宋体" w:cs="宋体"/>
          <w:b/>
          <w:snapToGrid/>
          <w:color w:val="auto"/>
          <w:kern w:val="2"/>
          <w:sz w:val="24"/>
          <w:szCs w:val="24"/>
          <w:highlight w:val="none"/>
        </w:rPr>
        <w:t>7.3 中标通知书</w:t>
      </w:r>
      <w:bookmarkEnd w:id="36"/>
    </w:p>
    <w:p w14:paraId="7C2818E2">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7.3.1招标人将于中标人确定后15日内向中标人发出中标通知书并向招投标监管机构提交招标情况书面报告。</w:t>
      </w:r>
    </w:p>
    <w:p w14:paraId="05568ED6">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7.3.2 中标通知书为合同的组成部分。</w:t>
      </w:r>
    </w:p>
    <w:p w14:paraId="6AE2161B">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7.4</w:t>
      </w:r>
      <w:bookmarkStart w:id="37" w:name="_Toc193449950"/>
      <w:r>
        <w:rPr>
          <w:rFonts w:hint="eastAsia" w:ascii="宋体" w:hAnsi="宋体" w:eastAsia="宋体" w:cs="宋体"/>
          <w:b/>
          <w:snapToGrid/>
          <w:color w:val="auto"/>
          <w:kern w:val="2"/>
          <w:sz w:val="24"/>
          <w:szCs w:val="24"/>
          <w:highlight w:val="none"/>
        </w:rPr>
        <w:t xml:space="preserve"> 履约</w:t>
      </w:r>
      <w:bookmarkEnd w:id="37"/>
      <w:r>
        <w:rPr>
          <w:rFonts w:hint="eastAsia" w:ascii="宋体" w:hAnsi="宋体" w:eastAsia="宋体" w:cs="宋体"/>
          <w:b/>
          <w:snapToGrid/>
          <w:color w:val="auto"/>
          <w:kern w:val="2"/>
          <w:sz w:val="24"/>
          <w:szCs w:val="24"/>
          <w:highlight w:val="none"/>
        </w:rPr>
        <w:t>保证金</w:t>
      </w:r>
    </w:p>
    <w:p w14:paraId="3EBB7D6E">
      <w:pPr>
        <w:pageBreakBefore w:val="0"/>
        <w:widowControl w:val="0"/>
        <w:tabs>
          <w:tab w:val="left" w:pos="540"/>
        </w:tabs>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7.4.1 在签订合同前，中标人应按投标人须知前附表规定的金额、担保形式向招标人提交履约保证金。</w:t>
      </w:r>
      <w:r>
        <w:rPr>
          <w:rFonts w:hint="eastAsia" w:ascii="宋体" w:hAnsi="宋体" w:eastAsia="宋体" w:cs="宋体"/>
          <w:strike w:val="0"/>
          <w:dstrike w:val="0"/>
          <w:snapToGrid/>
          <w:color w:val="auto"/>
          <w:kern w:val="2"/>
          <w:sz w:val="24"/>
          <w:szCs w:val="24"/>
          <w:highlight w:val="none"/>
        </w:rPr>
        <w:t>联合体中标的，其履约保证金以联合体牵头人名义提交。</w:t>
      </w:r>
      <w:r>
        <w:rPr>
          <w:rFonts w:hint="eastAsia" w:ascii="宋体" w:hAnsi="宋体" w:eastAsia="宋体" w:cs="宋体"/>
          <w:snapToGrid/>
          <w:color w:val="auto"/>
          <w:kern w:val="2"/>
          <w:sz w:val="24"/>
          <w:szCs w:val="24"/>
          <w:highlight w:val="none"/>
        </w:rPr>
        <w:t>如采用履约保函形式提交担保，则中标人应提交在中国境内注册并经招标人认可的担保机构出具的银行保函 。否则，招标人将不予接受。</w:t>
      </w:r>
    </w:p>
    <w:p w14:paraId="129A6637">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7.4.2 若中标人不能按本章第7.4.1条款规定提交履约保证金,招标人将有充分理由废除授标，投标保证金不予退还，给招标人造成的损失超过投标保证金金额的，还应当对超过部分予以赔偿，同时依法承担相应法律责任。</w:t>
      </w:r>
    </w:p>
    <w:p w14:paraId="43BDA257">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bookmarkStart w:id="38" w:name="_Toc193449952"/>
      <w:r>
        <w:rPr>
          <w:rFonts w:hint="eastAsia" w:ascii="宋体" w:hAnsi="宋体" w:eastAsia="宋体" w:cs="宋体"/>
          <w:b/>
          <w:snapToGrid/>
          <w:color w:val="auto"/>
          <w:kern w:val="2"/>
          <w:sz w:val="24"/>
          <w:szCs w:val="24"/>
          <w:highlight w:val="none"/>
        </w:rPr>
        <w:t xml:space="preserve">7.5 </w:t>
      </w:r>
      <w:bookmarkEnd w:id="38"/>
      <w:r>
        <w:rPr>
          <w:rFonts w:hint="eastAsia" w:ascii="宋体" w:hAnsi="宋体" w:eastAsia="宋体" w:cs="宋体"/>
          <w:b/>
          <w:snapToGrid/>
          <w:color w:val="auto"/>
          <w:kern w:val="2"/>
          <w:sz w:val="24"/>
          <w:szCs w:val="24"/>
          <w:highlight w:val="none"/>
        </w:rPr>
        <w:t>签订合同</w:t>
      </w:r>
    </w:p>
    <w:p w14:paraId="0F505C18">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7.5.1 招标人与中标人将于中标通知书发出之日起30日内，根据招标文件和中标人的投标文件签订书面设计合同，招标人和中标人不得另行订立背离合同实质性内容的其他协议。</w:t>
      </w:r>
    </w:p>
    <w:p w14:paraId="2807FF95">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7.5.2 招标人如无正当理由不按本章第7.5.1条款规定与中标人订立合同，或招标人迫使中标人订立背离合同实质性内容的协议，招标人将依法承担相应法律责任。</w:t>
      </w:r>
    </w:p>
    <w:p w14:paraId="563410C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45C974D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7.5.4 中标人应当按照合同约定履行义务，完成中标项目的设计工作，不得将中标项目的设计工作转委托给他人。 </w:t>
      </w:r>
    </w:p>
    <w:p w14:paraId="5D7A1954">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w:t>
      </w:r>
      <w:r>
        <w:rPr>
          <w:rFonts w:hint="eastAsia" w:ascii="宋体" w:hAnsi="宋体" w:eastAsia="宋体" w:cs="宋体"/>
          <w:color w:val="auto"/>
          <w:sz w:val="24"/>
          <w:szCs w:val="24"/>
          <w:highlight w:val="none"/>
        </w:rPr>
        <w:t>重新招标和不再招标</w:t>
      </w:r>
    </w:p>
    <w:p w14:paraId="29278230">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8.1</w:t>
      </w:r>
      <w:r>
        <w:rPr>
          <w:rFonts w:hint="eastAsia" w:ascii="宋体" w:hAnsi="宋体" w:eastAsia="宋体" w:cs="宋体"/>
          <w:color w:val="auto"/>
          <w:sz w:val="24"/>
          <w:szCs w:val="24"/>
          <w:highlight w:val="none"/>
        </w:rPr>
        <w:t>重新招标</w:t>
      </w:r>
    </w:p>
    <w:p w14:paraId="7115F703">
      <w:pPr>
        <w:pageBreakBefore w:val="0"/>
        <w:wordWrap/>
        <w:overflowPunct/>
        <w:topLinePunct w:val="0"/>
        <w:bidi w:val="0"/>
        <w:snapToGrid w:val="0"/>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有下列情形之一的，招标人将重新招标：</w:t>
      </w:r>
    </w:p>
    <w:p w14:paraId="227080FD">
      <w:pPr>
        <w:pageBreakBefore w:val="0"/>
        <w:wordWrap/>
        <w:overflowPunct/>
        <w:topLinePunct w:val="0"/>
        <w:bidi w:val="0"/>
        <w:snapToGrid w:val="0"/>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(1)投标截止时间止，投标人少于3个的；</w:t>
      </w:r>
    </w:p>
    <w:p w14:paraId="2C1EE324">
      <w:pPr>
        <w:pageBreakBefore w:val="0"/>
        <w:wordWrap/>
        <w:overflowPunct/>
        <w:topLinePunct w:val="0"/>
        <w:bidi w:val="0"/>
        <w:snapToGrid w:val="0"/>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(2)经评标委员会评审后否决所有投标的；</w:t>
      </w:r>
    </w:p>
    <w:p w14:paraId="3A222D3F">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8.2</w:t>
      </w:r>
      <w:r>
        <w:rPr>
          <w:rFonts w:hint="eastAsia" w:ascii="宋体" w:hAnsi="宋体" w:eastAsia="宋体" w:cs="宋体"/>
          <w:color w:val="auto"/>
          <w:sz w:val="24"/>
          <w:szCs w:val="24"/>
          <w:highlight w:val="none"/>
        </w:rPr>
        <w:t>不再招标</w:t>
      </w:r>
    </w:p>
    <w:p w14:paraId="1E00ECA3">
      <w:pPr>
        <w:pageBreakBefore w:val="0"/>
        <w:wordWrap/>
        <w:overflowPunct/>
        <w:topLinePunct w:val="0"/>
        <w:bidi w:val="0"/>
        <w:snapToGrid w:val="0"/>
        <w:spacing w:line="312" w:lineRule="auto"/>
        <w:ind w:firstLine="360" w:firstLineChars="15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重新招标后投标人仍少于3个的，经原审批或核准部门批准后不再进行招标。</w:t>
      </w:r>
    </w:p>
    <w:p w14:paraId="27C010C9">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w:t>
      </w:r>
      <w:r>
        <w:rPr>
          <w:rFonts w:hint="eastAsia" w:ascii="宋体" w:hAnsi="宋体" w:eastAsia="宋体" w:cs="宋体"/>
          <w:color w:val="auto"/>
          <w:sz w:val="24"/>
          <w:szCs w:val="24"/>
          <w:highlight w:val="none"/>
        </w:rPr>
        <w:t>纪律和监督</w:t>
      </w:r>
    </w:p>
    <w:p w14:paraId="1529C71B">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9.1</w:t>
      </w:r>
      <w:r>
        <w:rPr>
          <w:rFonts w:hint="eastAsia" w:ascii="宋体" w:hAnsi="宋体" w:eastAsia="宋体" w:cs="宋体"/>
          <w:color w:val="auto"/>
          <w:sz w:val="24"/>
          <w:szCs w:val="24"/>
          <w:highlight w:val="none"/>
        </w:rPr>
        <w:t>对招标人的纪律要求</w:t>
      </w:r>
    </w:p>
    <w:p w14:paraId="51F3CAB5">
      <w:pPr>
        <w:pageBreakBefore w:val="0"/>
        <w:wordWrap/>
        <w:overflowPunct/>
        <w:topLinePunct w:val="0"/>
        <w:bidi w:val="0"/>
        <w:snapToGrid w:val="0"/>
        <w:spacing w:line="312" w:lineRule="auto"/>
        <w:ind w:firstLine="476"/>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招标人不得泄漏招标投标活动中应当保密的情况和资料，不得与投标人串通损害国家利益、社会公共利益或者他人合法权益</w:t>
      </w:r>
      <w:r>
        <w:rPr>
          <w:rFonts w:hint="eastAsia" w:ascii="宋体" w:hAnsi="宋体" w:eastAsia="宋体" w:cs="宋体"/>
          <w:color w:val="auto"/>
          <w:sz w:val="24"/>
          <w:szCs w:val="24"/>
          <w:highlight w:val="none"/>
        </w:rPr>
        <w:t>。</w:t>
      </w:r>
    </w:p>
    <w:p w14:paraId="7F751E93">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9.2</w:t>
      </w:r>
      <w:r>
        <w:rPr>
          <w:rFonts w:hint="eastAsia" w:ascii="宋体" w:hAnsi="宋体" w:eastAsia="宋体" w:cs="宋体"/>
          <w:color w:val="auto"/>
          <w:sz w:val="24"/>
          <w:szCs w:val="24"/>
          <w:highlight w:val="none"/>
        </w:rPr>
        <w:t>对投标人的纪律要求</w:t>
      </w:r>
    </w:p>
    <w:p w14:paraId="52515285">
      <w:pPr>
        <w:pageBreakBefore w:val="0"/>
        <w:wordWrap/>
        <w:overflowPunct/>
        <w:topLinePunct w:val="0"/>
        <w:bidi w:val="0"/>
        <w:snapToGrid w:val="0"/>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684D294A">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9.3</w:t>
      </w:r>
      <w:r>
        <w:rPr>
          <w:rFonts w:hint="eastAsia" w:ascii="宋体" w:hAnsi="宋体" w:eastAsia="宋体" w:cs="宋体"/>
          <w:color w:val="auto"/>
          <w:sz w:val="24"/>
          <w:szCs w:val="24"/>
          <w:highlight w:val="none"/>
        </w:rPr>
        <w:t>对评标委员会成员的纪律要求</w:t>
      </w:r>
    </w:p>
    <w:p w14:paraId="2AE430C9">
      <w:pPr>
        <w:pageBreakBefore w:val="0"/>
        <w:wordWrap/>
        <w:overflowPunct/>
        <w:topLinePunct w:val="0"/>
        <w:bidi w:val="0"/>
        <w:snapToGrid w:val="0"/>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175C9B1E">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9.4</w:t>
      </w:r>
      <w:r>
        <w:rPr>
          <w:rFonts w:hint="eastAsia" w:ascii="宋体" w:hAnsi="宋体" w:eastAsia="宋体" w:cs="宋体"/>
          <w:color w:val="auto"/>
          <w:sz w:val="24"/>
          <w:szCs w:val="24"/>
          <w:highlight w:val="none"/>
        </w:rPr>
        <w:t>对与评标活动有关的工作人员的纪律要求</w:t>
      </w:r>
    </w:p>
    <w:p w14:paraId="57C04A55">
      <w:pPr>
        <w:pageBreakBefore w:val="0"/>
        <w:wordWrap/>
        <w:overflowPunct/>
        <w:topLinePunct w:val="0"/>
        <w:bidi w:val="0"/>
        <w:snapToGrid w:val="0"/>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0932327B">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9.5</w:t>
      </w:r>
      <w:r>
        <w:rPr>
          <w:rFonts w:hint="eastAsia" w:ascii="宋体" w:hAnsi="宋体" w:eastAsia="宋体" w:cs="宋体"/>
          <w:color w:val="auto"/>
          <w:sz w:val="24"/>
          <w:szCs w:val="24"/>
          <w:highlight w:val="none"/>
        </w:rPr>
        <w:t>异议与投诉</w:t>
      </w:r>
    </w:p>
    <w:p w14:paraId="5730770C">
      <w:pPr>
        <w:pageBreakBefore w:val="0"/>
        <w:wordWrap/>
        <w:overflowPunct/>
        <w:topLinePunct w:val="0"/>
        <w:bidi w:val="0"/>
        <w:snapToGrid w:val="0"/>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投标人及其他利害关系人有提出异议与投诉的权利，但应遵守国家相关法律法规，具体要求见投标人须知前附表。</w:t>
      </w:r>
    </w:p>
    <w:p w14:paraId="2021EE80">
      <w:pPr>
        <w:pageBreakBefore w:val="0"/>
        <w:wordWrap/>
        <w:overflowPunct/>
        <w:topLinePunct w:val="0"/>
        <w:bidi w:val="0"/>
        <w:snapToGrid w:val="0"/>
        <w:spacing w:line="312" w:lineRule="auto"/>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10.</w:t>
      </w:r>
      <w:r>
        <w:rPr>
          <w:rFonts w:hint="eastAsia" w:ascii="宋体" w:hAnsi="宋体" w:eastAsia="宋体" w:cs="宋体"/>
          <w:color w:val="auto"/>
          <w:sz w:val="24"/>
          <w:szCs w:val="24"/>
          <w:highlight w:val="none"/>
        </w:rPr>
        <w:t>需要补充的其他内容</w:t>
      </w:r>
    </w:p>
    <w:p w14:paraId="24FA66A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需要补充的其他内容：见投标人须知前附表。</w:t>
      </w:r>
    </w:p>
    <w:p w14:paraId="4555145A">
      <w:pPr>
        <w:pageBreakBefore w:val="0"/>
        <w:wordWrap/>
        <w:overflowPunct/>
        <w:topLinePunct w:val="0"/>
        <w:bidi w:val="0"/>
        <w:snapToGrid w:val="0"/>
        <w:spacing w:line="312" w:lineRule="auto"/>
        <w:jc w:val="both"/>
        <w:rPr>
          <w:rFonts w:hint="eastAsia" w:ascii="宋体" w:hAnsi="宋体" w:eastAsia="宋体" w:cs="宋体"/>
          <w:color w:val="auto"/>
          <w:position w:val="1"/>
          <w:sz w:val="24"/>
          <w:szCs w:val="24"/>
          <w:highlight w:val="none"/>
        </w:rPr>
      </w:pPr>
    </w:p>
    <w:p w14:paraId="11B717B3">
      <w:pPr>
        <w:pageBreakBefore w:val="0"/>
        <w:wordWrap/>
        <w:overflowPunct/>
        <w:topLinePunct w:val="0"/>
        <w:bidi w:val="0"/>
        <w:snapToGrid w:val="0"/>
        <w:spacing w:line="312" w:lineRule="auto"/>
        <w:jc w:val="both"/>
        <w:rPr>
          <w:rFonts w:hint="eastAsia" w:ascii="宋体" w:hAnsi="宋体" w:eastAsia="宋体" w:cs="宋体"/>
          <w:color w:val="auto"/>
          <w:position w:val="1"/>
          <w:sz w:val="24"/>
          <w:szCs w:val="24"/>
          <w:highlight w:val="none"/>
        </w:rPr>
      </w:pPr>
    </w:p>
    <w:p w14:paraId="1D412FFA">
      <w:pPr>
        <w:pageBreakBefore w:val="0"/>
        <w:wordWrap/>
        <w:overflowPunct/>
        <w:topLinePunct w:val="0"/>
        <w:bidi w:val="0"/>
        <w:snapToGrid w:val="0"/>
        <w:spacing w:line="312" w:lineRule="auto"/>
        <w:jc w:val="both"/>
        <w:rPr>
          <w:rFonts w:hint="eastAsia" w:ascii="宋体" w:hAnsi="宋体" w:eastAsia="宋体" w:cs="宋体"/>
          <w:color w:val="auto"/>
          <w:position w:val="1"/>
          <w:sz w:val="24"/>
          <w:szCs w:val="24"/>
          <w:highlight w:val="none"/>
        </w:rPr>
      </w:pPr>
    </w:p>
    <w:p w14:paraId="1FB0DFFA">
      <w:pPr>
        <w:spacing w:line="347" w:lineRule="auto"/>
        <w:jc w:val="both"/>
        <w:rPr>
          <w:rFonts w:hint="eastAsia" w:ascii="宋体" w:hAnsi="宋体" w:eastAsia="宋体" w:cs="宋体"/>
          <w:color w:val="auto"/>
          <w:position w:val="1"/>
          <w:sz w:val="24"/>
          <w:szCs w:val="24"/>
          <w:highlight w:val="none"/>
        </w:rPr>
      </w:pPr>
    </w:p>
    <w:p w14:paraId="0C9DB701">
      <w:pPr>
        <w:spacing w:line="347" w:lineRule="auto"/>
        <w:jc w:val="both"/>
        <w:rPr>
          <w:rFonts w:hint="eastAsia" w:ascii="宋体" w:hAnsi="宋体" w:eastAsia="宋体" w:cs="宋体"/>
          <w:color w:val="auto"/>
          <w:position w:val="1"/>
          <w:sz w:val="24"/>
          <w:szCs w:val="24"/>
          <w:highlight w:val="none"/>
        </w:rPr>
      </w:pPr>
    </w:p>
    <w:p w14:paraId="44BC3BBA">
      <w:pPr>
        <w:spacing w:line="347" w:lineRule="auto"/>
        <w:jc w:val="both"/>
        <w:rPr>
          <w:rFonts w:hint="eastAsia" w:ascii="宋体" w:hAnsi="宋体" w:eastAsia="宋体" w:cs="宋体"/>
          <w:color w:val="auto"/>
          <w:highlight w:val="none"/>
        </w:rPr>
      </w:pPr>
    </w:p>
    <w:p w14:paraId="6321D486">
      <w:pPr>
        <w:pageBreakBefore/>
        <w:widowControl w:val="0"/>
        <w:spacing w:before="91" w:line="221" w:lineRule="auto"/>
        <w:ind w:left="130"/>
        <w:jc w:val="both"/>
        <w:outlineLvl w:val="1"/>
        <w:rPr>
          <w:rFonts w:hint="eastAsia" w:ascii="宋体" w:hAnsi="宋体" w:eastAsia="宋体" w:cs="宋体"/>
          <w:color w:val="auto"/>
          <w:sz w:val="28"/>
          <w:szCs w:val="28"/>
          <w:highlight w:val="none"/>
        </w:rPr>
      </w:pPr>
      <w:bookmarkStart w:id="39" w:name="_bookmark5"/>
      <w:bookmarkEnd w:id="39"/>
      <w:r>
        <w:rPr>
          <w:rFonts w:hint="eastAsia" w:ascii="宋体" w:hAnsi="宋体" w:eastAsia="宋体" w:cs="宋体"/>
          <w:color w:val="auto"/>
          <w:sz w:val="28"/>
          <w:szCs w:val="28"/>
          <w:highlight w:val="none"/>
        </w:rPr>
        <w:t>附表一：开标记录表</w:t>
      </w:r>
    </w:p>
    <w:p w14:paraId="69FF6FCE">
      <w:pPr>
        <w:tabs>
          <w:tab w:val="left" w:pos="3317"/>
        </w:tabs>
        <w:spacing w:before="234" w:line="229" w:lineRule="auto"/>
        <w:ind w:left="126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(项目名称)标段开标记录表</w:t>
      </w:r>
    </w:p>
    <w:p w14:paraId="63B4BB0A">
      <w:pPr>
        <w:spacing w:line="286" w:lineRule="auto"/>
        <w:jc w:val="both"/>
        <w:rPr>
          <w:rFonts w:hint="eastAsia" w:ascii="宋体" w:hAnsi="宋体" w:eastAsia="宋体" w:cs="宋体"/>
          <w:color w:val="auto"/>
          <w:highlight w:val="none"/>
        </w:rPr>
      </w:pPr>
    </w:p>
    <w:p w14:paraId="2F9BB384">
      <w:pPr>
        <w:spacing w:line="286" w:lineRule="auto"/>
        <w:jc w:val="both"/>
        <w:rPr>
          <w:rFonts w:hint="eastAsia" w:ascii="宋体" w:hAnsi="宋体" w:eastAsia="宋体" w:cs="宋体"/>
          <w:color w:val="auto"/>
          <w:highlight w:val="none"/>
        </w:rPr>
      </w:pPr>
    </w:p>
    <w:p w14:paraId="232592D6">
      <w:pPr>
        <w:spacing w:before="75" w:line="229"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开标地点：</w:t>
      </w:r>
    </w:p>
    <w:p w14:paraId="1A1981C3">
      <w:pPr>
        <w:spacing w:before="183" w:line="228"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开标时间：  年   月  日   时   分</w:t>
      </w:r>
    </w:p>
    <w:p w14:paraId="351DD2E6">
      <w:pPr>
        <w:jc w:val="both"/>
        <w:rPr>
          <w:rFonts w:hint="eastAsia" w:ascii="宋体" w:hAnsi="宋体" w:eastAsia="宋体" w:cs="宋体"/>
          <w:color w:val="auto"/>
          <w:highlight w:val="none"/>
        </w:rPr>
      </w:pPr>
    </w:p>
    <w:p w14:paraId="59296D81">
      <w:pPr>
        <w:jc w:val="both"/>
        <w:rPr>
          <w:rFonts w:hint="eastAsia" w:ascii="宋体" w:hAnsi="宋体" w:eastAsia="宋体" w:cs="宋体"/>
          <w:color w:val="auto"/>
          <w:highlight w:val="none"/>
        </w:rPr>
      </w:pPr>
    </w:p>
    <w:p w14:paraId="3E778C02">
      <w:pPr>
        <w:spacing w:line="54" w:lineRule="exact"/>
        <w:jc w:val="both"/>
        <w:rPr>
          <w:rFonts w:hint="eastAsia" w:ascii="宋体" w:hAnsi="宋体" w:eastAsia="宋体" w:cs="宋体"/>
          <w:color w:val="auto"/>
          <w:highlight w:val="none"/>
        </w:rPr>
      </w:pPr>
    </w:p>
    <w:tbl>
      <w:tblPr>
        <w:tblStyle w:val="53"/>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14:paraId="404C1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10" w:type="dxa"/>
            <w:noWrap w:val="0"/>
            <w:vAlign w:val="top"/>
          </w:tcPr>
          <w:p w14:paraId="3B8C0335">
            <w:pPr>
              <w:spacing w:line="254" w:lineRule="auto"/>
              <w:jc w:val="both"/>
              <w:rPr>
                <w:rFonts w:hint="eastAsia" w:ascii="宋体" w:hAnsi="宋体" w:eastAsia="宋体" w:cs="宋体"/>
                <w:color w:val="auto"/>
                <w:highlight w:val="none"/>
              </w:rPr>
            </w:pPr>
          </w:p>
          <w:p w14:paraId="4146463A">
            <w:pPr>
              <w:spacing w:line="254" w:lineRule="auto"/>
              <w:jc w:val="both"/>
              <w:rPr>
                <w:rFonts w:hint="eastAsia" w:ascii="宋体" w:hAnsi="宋体" w:eastAsia="宋体" w:cs="宋体"/>
                <w:color w:val="auto"/>
                <w:highlight w:val="none"/>
              </w:rPr>
            </w:pPr>
          </w:p>
          <w:p w14:paraId="2003A805">
            <w:pPr>
              <w:spacing w:before="75" w:line="230"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992" w:type="dxa"/>
            <w:noWrap w:val="0"/>
            <w:vAlign w:val="top"/>
          </w:tcPr>
          <w:p w14:paraId="611DF662">
            <w:pPr>
              <w:spacing w:line="254" w:lineRule="auto"/>
              <w:jc w:val="both"/>
              <w:rPr>
                <w:rFonts w:hint="eastAsia" w:ascii="宋体" w:hAnsi="宋体" w:eastAsia="宋体" w:cs="宋体"/>
                <w:color w:val="auto"/>
                <w:highlight w:val="none"/>
              </w:rPr>
            </w:pPr>
          </w:p>
          <w:p w14:paraId="5106FF0D">
            <w:pPr>
              <w:spacing w:line="255" w:lineRule="auto"/>
              <w:jc w:val="both"/>
              <w:rPr>
                <w:rFonts w:hint="eastAsia" w:ascii="宋体" w:hAnsi="宋体" w:eastAsia="宋体" w:cs="宋体"/>
                <w:color w:val="auto"/>
                <w:highlight w:val="none"/>
              </w:rPr>
            </w:pPr>
          </w:p>
          <w:p w14:paraId="6E4231E4">
            <w:pPr>
              <w:spacing w:before="74" w:line="229"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p>
        </w:tc>
        <w:tc>
          <w:tcPr>
            <w:tcW w:w="1134" w:type="dxa"/>
            <w:noWrap w:val="0"/>
            <w:vAlign w:val="top"/>
          </w:tcPr>
          <w:p w14:paraId="4F812882">
            <w:pPr>
              <w:spacing w:line="278" w:lineRule="auto"/>
              <w:jc w:val="both"/>
              <w:rPr>
                <w:rFonts w:hint="eastAsia" w:ascii="宋体" w:hAnsi="宋体" w:eastAsia="宋体" w:cs="宋体"/>
                <w:color w:val="auto"/>
                <w:highlight w:val="none"/>
              </w:rPr>
            </w:pPr>
          </w:p>
          <w:p w14:paraId="6FB0C487">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投标报价</w:t>
            </w:r>
          </w:p>
          <w:p w14:paraId="17C6BE0B">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(元)</w:t>
            </w:r>
          </w:p>
        </w:tc>
        <w:tc>
          <w:tcPr>
            <w:tcW w:w="1345" w:type="dxa"/>
            <w:noWrap w:val="0"/>
            <w:vAlign w:val="top"/>
          </w:tcPr>
          <w:p w14:paraId="3ABF4873">
            <w:pPr>
              <w:spacing w:line="277" w:lineRule="auto"/>
              <w:jc w:val="both"/>
              <w:rPr>
                <w:rFonts w:hint="eastAsia" w:ascii="宋体" w:hAnsi="宋体" w:eastAsia="宋体" w:cs="宋体"/>
                <w:color w:val="auto"/>
                <w:highlight w:val="none"/>
              </w:rPr>
            </w:pPr>
          </w:p>
          <w:p w14:paraId="0210C2BE">
            <w:pPr>
              <w:spacing w:before="75" w:line="384" w:lineRule="auto"/>
              <w:ind w:left="410" w:right="-77" w:hanging="2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投标品牌</w:t>
            </w:r>
          </w:p>
        </w:tc>
        <w:tc>
          <w:tcPr>
            <w:tcW w:w="1045" w:type="dxa"/>
            <w:noWrap w:val="0"/>
            <w:vAlign w:val="top"/>
          </w:tcPr>
          <w:p w14:paraId="48FF8A6E">
            <w:pPr>
              <w:spacing w:line="255" w:lineRule="auto"/>
              <w:jc w:val="both"/>
              <w:rPr>
                <w:rFonts w:hint="eastAsia" w:ascii="宋体" w:hAnsi="宋体" w:eastAsia="宋体" w:cs="宋体"/>
                <w:color w:val="auto"/>
                <w:highlight w:val="none"/>
              </w:rPr>
            </w:pPr>
          </w:p>
          <w:p w14:paraId="7CB2430A">
            <w:pPr>
              <w:spacing w:before="75" w:line="227" w:lineRule="auto"/>
              <w:ind w:left="1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交货期</w:t>
            </w:r>
          </w:p>
        </w:tc>
        <w:tc>
          <w:tcPr>
            <w:tcW w:w="1045" w:type="dxa"/>
            <w:noWrap w:val="0"/>
            <w:vAlign w:val="top"/>
          </w:tcPr>
          <w:p w14:paraId="1AFB3B75">
            <w:pPr>
              <w:spacing w:before="118" w:line="376" w:lineRule="auto"/>
              <w:ind w:left="168" w:right="160" w:firstLine="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投标保证金缴</w:t>
            </w:r>
          </w:p>
          <w:p w14:paraId="3293D8F8">
            <w:pPr>
              <w:spacing w:before="1" w:line="228"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纳情况</w:t>
            </w:r>
          </w:p>
        </w:tc>
        <w:tc>
          <w:tcPr>
            <w:tcW w:w="1952" w:type="dxa"/>
            <w:noWrap w:val="0"/>
            <w:vAlign w:val="top"/>
          </w:tcPr>
          <w:p w14:paraId="795B168E">
            <w:pPr>
              <w:spacing w:line="278" w:lineRule="auto"/>
              <w:jc w:val="both"/>
              <w:rPr>
                <w:rFonts w:hint="eastAsia" w:ascii="宋体" w:hAnsi="宋体" w:eastAsia="宋体" w:cs="宋体"/>
                <w:color w:val="auto"/>
                <w:highlight w:val="none"/>
              </w:rPr>
            </w:pPr>
          </w:p>
          <w:p w14:paraId="5D8ABE64">
            <w:pPr>
              <w:spacing w:before="75" w:line="384" w:lineRule="auto"/>
              <w:ind w:left="290" w:right="158" w:hanging="11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投标人确认</w:t>
            </w:r>
          </w:p>
        </w:tc>
        <w:tc>
          <w:tcPr>
            <w:tcW w:w="850" w:type="dxa"/>
            <w:noWrap w:val="0"/>
            <w:vAlign w:val="top"/>
          </w:tcPr>
          <w:p w14:paraId="279FF9D7">
            <w:pPr>
              <w:spacing w:line="254" w:lineRule="auto"/>
              <w:jc w:val="both"/>
              <w:rPr>
                <w:rFonts w:hint="eastAsia" w:ascii="宋体" w:hAnsi="宋体" w:eastAsia="宋体" w:cs="宋体"/>
                <w:color w:val="auto"/>
                <w:highlight w:val="none"/>
              </w:rPr>
            </w:pPr>
          </w:p>
          <w:p w14:paraId="0D276FB8">
            <w:pPr>
              <w:spacing w:line="254" w:lineRule="auto"/>
              <w:jc w:val="both"/>
              <w:rPr>
                <w:rFonts w:hint="eastAsia" w:ascii="宋体" w:hAnsi="宋体" w:eastAsia="宋体" w:cs="宋体"/>
                <w:color w:val="auto"/>
                <w:highlight w:val="none"/>
              </w:rPr>
            </w:pPr>
          </w:p>
          <w:p w14:paraId="2C5B9B15">
            <w:pPr>
              <w:spacing w:before="75" w:line="230" w:lineRule="auto"/>
              <w:ind w:left="2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52925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1E458F94">
            <w:pPr>
              <w:jc w:val="both"/>
              <w:rPr>
                <w:rFonts w:hint="eastAsia" w:ascii="宋体" w:hAnsi="宋体" w:eastAsia="宋体" w:cs="宋体"/>
                <w:color w:val="auto"/>
                <w:highlight w:val="none"/>
              </w:rPr>
            </w:pPr>
          </w:p>
        </w:tc>
        <w:tc>
          <w:tcPr>
            <w:tcW w:w="992" w:type="dxa"/>
            <w:noWrap w:val="0"/>
            <w:vAlign w:val="top"/>
          </w:tcPr>
          <w:p w14:paraId="3D4811A7">
            <w:pPr>
              <w:jc w:val="both"/>
              <w:rPr>
                <w:rFonts w:hint="eastAsia" w:ascii="宋体" w:hAnsi="宋体" w:eastAsia="宋体" w:cs="宋体"/>
                <w:color w:val="auto"/>
                <w:highlight w:val="none"/>
              </w:rPr>
            </w:pPr>
          </w:p>
        </w:tc>
        <w:tc>
          <w:tcPr>
            <w:tcW w:w="1134" w:type="dxa"/>
            <w:noWrap w:val="0"/>
            <w:vAlign w:val="top"/>
          </w:tcPr>
          <w:p w14:paraId="5129CCCE">
            <w:pPr>
              <w:jc w:val="both"/>
              <w:rPr>
                <w:rFonts w:hint="eastAsia" w:ascii="宋体" w:hAnsi="宋体" w:eastAsia="宋体" w:cs="宋体"/>
                <w:color w:val="auto"/>
                <w:highlight w:val="none"/>
              </w:rPr>
            </w:pPr>
          </w:p>
        </w:tc>
        <w:tc>
          <w:tcPr>
            <w:tcW w:w="1345" w:type="dxa"/>
            <w:noWrap w:val="0"/>
            <w:vAlign w:val="top"/>
          </w:tcPr>
          <w:p w14:paraId="784C188C">
            <w:pPr>
              <w:jc w:val="both"/>
              <w:rPr>
                <w:rFonts w:hint="eastAsia" w:ascii="宋体" w:hAnsi="宋体" w:eastAsia="宋体" w:cs="宋体"/>
                <w:color w:val="auto"/>
                <w:highlight w:val="none"/>
              </w:rPr>
            </w:pPr>
          </w:p>
        </w:tc>
        <w:tc>
          <w:tcPr>
            <w:tcW w:w="1045" w:type="dxa"/>
            <w:noWrap w:val="0"/>
            <w:vAlign w:val="top"/>
          </w:tcPr>
          <w:p w14:paraId="67250104">
            <w:pPr>
              <w:jc w:val="both"/>
              <w:rPr>
                <w:rFonts w:hint="eastAsia" w:ascii="宋体" w:hAnsi="宋体" w:eastAsia="宋体" w:cs="宋体"/>
                <w:color w:val="auto"/>
                <w:highlight w:val="none"/>
              </w:rPr>
            </w:pPr>
          </w:p>
        </w:tc>
        <w:tc>
          <w:tcPr>
            <w:tcW w:w="1045" w:type="dxa"/>
            <w:noWrap w:val="0"/>
            <w:vAlign w:val="top"/>
          </w:tcPr>
          <w:p w14:paraId="19298BF7">
            <w:pPr>
              <w:jc w:val="both"/>
              <w:rPr>
                <w:rFonts w:hint="eastAsia" w:ascii="宋体" w:hAnsi="宋体" w:eastAsia="宋体" w:cs="宋体"/>
                <w:color w:val="auto"/>
                <w:highlight w:val="none"/>
              </w:rPr>
            </w:pPr>
          </w:p>
        </w:tc>
        <w:tc>
          <w:tcPr>
            <w:tcW w:w="1952" w:type="dxa"/>
            <w:noWrap w:val="0"/>
            <w:vAlign w:val="top"/>
          </w:tcPr>
          <w:p w14:paraId="4FC1882D">
            <w:pPr>
              <w:jc w:val="both"/>
              <w:rPr>
                <w:rFonts w:hint="eastAsia" w:ascii="宋体" w:hAnsi="宋体" w:eastAsia="宋体" w:cs="宋体"/>
                <w:color w:val="auto"/>
                <w:highlight w:val="none"/>
              </w:rPr>
            </w:pPr>
          </w:p>
        </w:tc>
        <w:tc>
          <w:tcPr>
            <w:tcW w:w="850" w:type="dxa"/>
            <w:noWrap w:val="0"/>
            <w:vAlign w:val="top"/>
          </w:tcPr>
          <w:p w14:paraId="0E97A9D0">
            <w:pPr>
              <w:jc w:val="both"/>
              <w:rPr>
                <w:rFonts w:hint="eastAsia" w:ascii="宋体" w:hAnsi="宋体" w:eastAsia="宋体" w:cs="宋体"/>
                <w:color w:val="auto"/>
                <w:highlight w:val="none"/>
              </w:rPr>
            </w:pPr>
          </w:p>
        </w:tc>
      </w:tr>
      <w:tr w14:paraId="46CE5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top"/>
          </w:tcPr>
          <w:p w14:paraId="3F3542A4">
            <w:pPr>
              <w:jc w:val="both"/>
              <w:rPr>
                <w:rFonts w:hint="eastAsia" w:ascii="宋体" w:hAnsi="宋体" w:eastAsia="宋体" w:cs="宋体"/>
                <w:color w:val="auto"/>
                <w:highlight w:val="none"/>
              </w:rPr>
            </w:pPr>
          </w:p>
        </w:tc>
        <w:tc>
          <w:tcPr>
            <w:tcW w:w="992" w:type="dxa"/>
            <w:noWrap w:val="0"/>
            <w:vAlign w:val="top"/>
          </w:tcPr>
          <w:p w14:paraId="5ECF78C9">
            <w:pPr>
              <w:jc w:val="both"/>
              <w:rPr>
                <w:rFonts w:hint="eastAsia" w:ascii="宋体" w:hAnsi="宋体" w:eastAsia="宋体" w:cs="宋体"/>
                <w:color w:val="auto"/>
                <w:highlight w:val="none"/>
              </w:rPr>
            </w:pPr>
          </w:p>
        </w:tc>
        <w:tc>
          <w:tcPr>
            <w:tcW w:w="1134" w:type="dxa"/>
            <w:noWrap w:val="0"/>
            <w:vAlign w:val="top"/>
          </w:tcPr>
          <w:p w14:paraId="7AD9B58C">
            <w:pPr>
              <w:jc w:val="both"/>
              <w:rPr>
                <w:rFonts w:hint="eastAsia" w:ascii="宋体" w:hAnsi="宋体" w:eastAsia="宋体" w:cs="宋体"/>
                <w:color w:val="auto"/>
                <w:highlight w:val="none"/>
              </w:rPr>
            </w:pPr>
          </w:p>
        </w:tc>
        <w:tc>
          <w:tcPr>
            <w:tcW w:w="1345" w:type="dxa"/>
            <w:noWrap w:val="0"/>
            <w:vAlign w:val="top"/>
          </w:tcPr>
          <w:p w14:paraId="6725E8D5">
            <w:pPr>
              <w:jc w:val="both"/>
              <w:rPr>
                <w:rFonts w:hint="eastAsia" w:ascii="宋体" w:hAnsi="宋体" w:eastAsia="宋体" w:cs="宋体"/>
                <w:color w:val="auto"/>
                <w:highlight w:val="none"/>
              </w:rPr>
            </w:pPr>
          </w:p>
        </w:tc>
        <w:tc>
          <w:tcPr>
            <w:tcW w:w="1045" w:type="dxa"/>
            <w:noWrap w:val="0"/>
            <w:vAlign w:val="top"/>
          </w:tcPr>
          <w:p w14:paraId="013777E0">
            <w:pPr>
              <w:jc w:val="both"/>
              <w:rPr>
                <w:rFonts w:hint="eastAsia" w:ascii="宋体" w:hAnsi="宋体" w:eastAsia="宋体" w:cs="宋体"/>
                <w:color w:val="auto"/>
                <w:highlight w:val="none"/>
              </w:rPr>
            </w:pPr>
          </w:p>
        </w:tc>
        <w:tc>
          <w:tcPr>
            <w:tcW w:w="1045" w:type="dxa"/>
            <w:noWrap w:val="0"/>
            <w:vAlign w:val="top"/>
          </w:tcPr>
          <w:p w14:paraId="3B5058B5">
            <w:pPr>
              <w:jc w:val="both"/>
              <w:rPr>
                <w:rFonts w:hint="eastAsia" w:ascii="宋体" w:hAnsi="宋体" w:eastAsia="宋体" w:cs="宋体"/>
                <w:color w:val="auto"/>
                <w:highlight w:val="none"/>
              </w:rPr>
            </w:pPr>
          </w:p>
        </w:tc>
        <w:tc>
          <w:tcPr>
            <w:tcW w:w="1952" w:type="dxa"/>
            <w:noWrap w:val="0"/>
            <w:vAlign w:val="top"/>
          </w:tcPr>
          <w:p w14:paraId="3408254F">
            <w:pPr>
              <w:jc w:val="both"/>
              <w:rPr>
                <w:rFonts w:hint="eastAsia" w:ascii="宋体" w:hAnsi="宋体" w:eastAsia="宋体" w:cs="宋体"/>
                <w:color w:val="auto"/>
                <w:highlight w:val="none"/>
              </w:rPr>
            </w:pPr>
          </w:p>
        </w:tc>
        <w:tc>
          <w:tcPr>
            <w:tcW w:w="850" w:type="dxa"/>
            <w:noWrap w:val="0"/>
            <w:vAlign w:val="top"/>
          </w:tcPr>
          <w:p w14:paraId="28F19FBA">
            <w:pPr>
              <w:jc w:val="both"/>
              <w:rPr>
                <w:rFonts w:hint="eastAsia" w:ascii="宋体" w:hAnsi="宋体" w:eastAsia="宋体" w:cs="宋体"/>
                <w:color w:val="auto"/>
                <w:highlight w:val="none"/>
              </w:rPr>
            </w:pPr>
          </w:p>
        </w:tc>
      </w:tr>
      <w:tr w14:paraId="24C64D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noWrap w:val="0"/>
            <w:vAlign w:val="top"/>
          </w:tcPr>
          <w:p w14:paraId="04E742F0">
            <w:pPr>
              <w:jc w:val="both"/>
              <w:rPr>
                <w:rFonts w:hint="eastAsia" w:ascii="宋体" w:hAnsi="宋体" w:eastAsia="宋体" w:cs="宋体"/>
                <w:color w:val="auto"/>
                <w:highlight w:val="none"/>
              </w:rPr>
            </w:pPr>
          </w:p>
        </w:tc>
        <w:tc>
          <w:tcPr>
            <w:tcW w:w="992" w:type="dxa"/>
            <w:noWrap w:val="0"/>
            <w:vAlign w:val="top"/>
          </w:tcPr>
          <w:p w14:paraId="75B4FBD7">
            <w:pPr>
              <w:jc w:val="both"/>
              <w:rPr>
                <w:rFonts w:hint="eastAsia" w:ascii="宋体" w:hAnsi="宋体" w:eastAsia="宋体" w:cs="宋体"/>
                <w:color w:val="auto"/>
                <w:highlight w:val="none"/>
              </w:rPr>
            </w:pPr>
          </w:p>
        </w:tc>
        <w:tc>
          <w:tcPr>
            <w:tcW w:w="1134" w:type="dxa"/>
            <w:noWrap w:val="0"/>
            <w:vAlign w:val="top"/>
          </w:tcPr>
          <w:p w14:paraId="40CC53BA">
            <w:pPr>
              <w:jc w:val="both"/>
              <w:rPr>
                <w:rFonts w:hint="eastAsia" w:ascii="宋体" w:hAnsi="宋体" w:eastAsia="宋体" w:cs="宋体"/>
                <w:color w:val="auto"/>
                <w:highlight w:val="none"/>
              </w:rPr>
            </w:pPr>
          </w:p>
        </w:tc>
        <w:tc>
          <w:tcPr>
            <w:tcW w:w="1345" w:type="dxa"/>
            <w:noWrap w:val="0"/>
            <w:vAlign w:val="top"/>
          </w:tcPr>
          <w:p w14:paraId="66ECB079">
            <w:pPr>
              <w:jc w:val="both"/>
              <w:rPr>
                <w:rFonts w:hint="eastAsia" w:ascii="宋体" w:hAnsi="宋体" w:eastAsia="宋体" w:cs="宋体"/>
                <w:color w:val="auto"/>
                <w:highlight w:val="none"/>
              </w:rPr>
            </w:pPr>
          </w:p>
        </w:tc>
        <w:tc>
          <w:tcPr>
            <w:tcW w:w="1045" w:type="dxa"/>
            <w:noWrap w:val="0"/>
            <w:vAlign w:val="top"/>
          </w:tcPr>
          <w:p w14:paraId="18CBC1B4">
            <w:pPr>
              <w:jc w:val="both"/>
              <w:rPr>
                <w:rFonts w:hint="eastAsia" w:ascii="宋体" w:hAnsi="宋体" w:eastAsia="宋体" w:cs="宋体"/>
                <w:color w:val="auto"/>
                <w:highlight w:val="none"/>
              </w:rPr>
            </w:pPr>
          </w:p>
        </w:tc>
        <w:tc>
          <w:tcPr>
            <w:tcW w:w="1045" w:type="dxa"/>
            <w:noWrap w:val="0"/>
            <w:vAlign w:val="top"/>
          </w:tcPr>
          <w:p w14:paraId="59961A68">
            <w:pPr>
              <w:jc w:val="both"/>
              <w:rPr>
                <w:rFonts w:hint="eastAsia" w:ascii="宋体" w:hAnsi="宋体" w:eastAsia="宋体" w:cs="宋体"/>
                <w:color w:val="auto"/>
                <w:highlight w:val="none"/>
              </w:rPr>
            </w:pPr>
          </w:p>
        </w:tc>
        <w:tc>
          <w:tcPr>
            <w:tcW w:w="1952" w:type="dxa"/>
            <w:noWrap w:val="0"/>
            <w:vAlign w:val="top"/>
          </w:tcPr>
          <w:p w14:paraId="68D8BFE7">
            <w:pPr>
              <w:jc w:val="both"/>
              <w:rPr>
                <w:rFonts w:hint="eastAsia" w:ascii="宋体" w:hAnsi="宋体" w:eastAsia="宋体" w:cs="宋体"/>
                <w:color w:val="auto"/>
                <w:highlight w:val="none"/>
              </w:rPr>
            </w:pPr>
          </w:p>
        </w:tc>
        <w:tc>
          <w:tcPr>
            <w:tcW w:w="850" w:type="dxa"/>
            <w:noWrap w:val="0"/>
            <w:vAlign w:val="top"/>
          </w:tcPr>
          <w:p w14:paraId="6AE3C10C">
            <w:pPr>
              <w:jc w:val="both"/>
              <w:rPr>
                <w:rFonts w:hint="eastAsia" w:ascii="宋体" w:hAnsi="宋体" w:eastAsia="宋体" w:cs="宋体"/>
                <w:color w:val="auto"/>
                <w:highlight w:val="none"/>
              </w:rPr>
            </w:pPr>
          </w:p>
        </w:tc>
      </w:tr>
      <w:tr w14:paraId="63A5A5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top"/>
          </w:tcPr>
          <w:p w14:paraId="08B9930E">
            <w:pPr>
              <w:jc w:val="both"/>
              <w:rPr>
                <w:rFonts w:hint="eastAsia" w:ascii="宋体" w:hAnsi="宋体" w:eastAsia="宋体" w:cs="宋体"/>
                <w:color w:val="auto"/>
                <w:highlight w:val="none"/>
              </w:rPr>
            </w:pPr>
          </w:p>
        </w:tc>
        <w:tc>
          <w:tcPr>
            <w:tcW w:w="992" w:type="dxa"/>
            <w:noWrap w:val="0"/>
            <w:vAlign w:val="top"/>
          </w:tcPr>
          <w:p w14:paraId="5FABB6C1">
            <w:pPr>
              <w:jc w:val="both"/>
              <w:rPr>
                <w:rFonts w:hint="eastAsia" w:ascii="宋体" w:hAnsi="宋体" w:eastAsia="宋体" w:cs="宋体"/>
                <w:color w:val="auto"/>
                <w:highlight w:val="none"/>
              </w:rPr>
            </w:pPr>
          </w:p>
        </w:tc>
        <w:tc>
          <w:tcPr>
            <w:tcW w:w="1134" w:type="dxa"/>
            <w:noWrap w:val="0"/>
            <w:vAlign w:val="top"/>
          </w:tcPr>
          <w:p w14:paraId="56CA70B1">
            <w:pPr>
              <w:jc w:val="both"/>
              <w:rPr>
                <w:rFonts w:hint="eastAsia" w:ascii="宋体" w:hAnsi="宋体" w:eastAsia="宋体" w:cs="宋体"/>
                <w:color w:val="auto"/>
                <w:highlight w:val="none"/>
              </w:rPr>
            </w:pPr>
          </w:p>
        </w:tc>
        <w:tc>
          <w:tcPr>
            <w:tcW w:w="1345" w:type="dxa"/>
            <w:noWrap w:val="0"/>
            <w:vAlign w:val="top"/>
          </w:tcPr>
          <w:p w14:paraId="41C4D3DF">
            <w:pPr>
              <w:jc w:val="both"/>
              <w:rPr>
                <w:rFonts w:hint="eastAsia" w:ascii="宋体" w:hAnsi="宋体" w:eastAsia="宋体" w:cs="宋体"/>
                <w:color w:val="auto"/>
                <w:highlight w:val="none"/>
              </w:rPr>
            </w:pPr>
          </w:p>
        </w:tc>
        <w:tc>
          <w:tcPr>
            <w:tcW w:w="1045" w:type="dxa"/>
            <w:noWrap w:val="0"/>
            <w:vAlign w:val="top"/>
          </w:tcPr>
          <w:p w14:paraId="04BCCE1B">
            <w:pPr>
              <w:jc w:val="both"/>
              <w:rPr>
                <w:rFonts w:hint="eastAsia" w:ascii="宋体" w:hAnsi="宋体" w:eastAsia="宋体" w:cs="宋体"/>
                <w:color w:val="auto"/>
                <w:highlight w:val="none"/>
              </w:rPr>
            </w:pPr>
          </w:p>
        </w:tc>
        <w:tc>
          <w:tcPr>
            <w:tcW w:w="1045" w:type="dxa"/>
            <w:noWrap w:val="0"/>
            <w:vAlign w:val="top"/>
          </w:tcPr>
          <w:p w14:paraId="6E1029BB">
            <w:pPr>
              <w:jc w:val="both"/>
              <w:rPr>
                <w:rFonts w:hint="eastAsia" w:ascii="宋体" w:hAnsi="宋体" w:eastAsia="宋体" w:cs="宋体"/>
                <w:color w:val="auto"/>
                <w:highlight w:val="none"/>
              </w:rPr>
            </w:pPr>
          </w:p>
        </w:tc>
        <w:tc>
          <w:tcPr>
            <w:tcW w:w="1952" w:type="dxa"/>
            <w:noWrap w:val="0"/>
            <w:vAlign w:val="top"/>
          </w:tcPr>
          <w:p w14:paraId="0C1E333D">
            <w:pPr>
              <w:jc w:val="both"/>
              <w:rPr>
                <w:rFonts w:hint="eastAsia" w:ascii="宋体" w:hAnsi="宋体" w:eastAsia="宋体" w:cs="宋体"/>
                <w:color w:val="auto"/>
                <w:highlight w:val="none"/>
              </w:rPr>
            </w:pPr>
          </w:p>
        </w:tc>
        <w:tc>
          <w:tcPr>
            <w:tcW w:w="850" w:type="dxa"/>
            <w:noWrap w:val="0"/>
            <w:vAlign w:val="top"/>
          </w:tcPr>
          <w:p w14:paraId="31C8B3D7">
            <w:pPr>
              <w:jc w:val="both"/>
              <w:rPr>
                <w:rFonts w:hint="eastAsia" w:ascii="宋体" w:hAnsi="宋体" w:eastAsia="宋体" w:cs="宋体"/>
                <w:color w:val="auto"/>
                <w:highlight w:val="none"/>
              </w:rPr>
            </w:pPr>
          </w:p>
        </w:tc>
      </w:tr>
      <w:tr w14:paraId="7F741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top"/>
          </w:tcPr>
          <w:p w14:paraId="2B4C4350">
            <w:pPr>
              <w:jc w:val="both"/>
              <w:rPr>
                <w:rFonts w:hint="eastAsia" w:ascii="宋体" w:hAnsi="宋体" w:eastAsia="宋体" w:cs="宋体"/>
                <w:color w:val="auto"/>
                <w:highlight w:val="none"/>
              </w:rPr>
            </w:pPr>
          </w:p>
        </w:tc>
        <w:tc>
          <w:tcPr>
            <w:tcW w:w="992" w:type="dxa"/>
            <w:noWrap w:val="0"/>
            <w:vAlign w:val="top"/>
          </w:tcPr>
          <w:p w14:paraId="09758CF0">
            <w:pPr>
              <w:jc w:val="both"/>
              <w:rPr>
                <w:rFonts w:hint="eastAsia" w:ascii="宋体" w:hAnsi="宋体" w:eastAsia="宋体" w:cs="宋体"/>
                <w:color w:val="auto"/>
                <w:highlight w:val="none"/>
              </w:rPr>
            </w:pPr>
          </w:p>
        </w:tc>
        <w:tc>
          <w:tcPr>
            <w:tcW w:w="1134" w:type="dxa"/>
            <w:noWrap w:val="0"/>
            <w:vAlign w:val="top"/>
          </w:tcPr>
          <w:p w14:paraId="740A2212">
            <w:pPr>
              <w:jc w:val="both"/>
              <w:rPr>
                <w:rFonts w:hint="eastAsia" w:ascii="宋体" w:hAnsi="宋体" w:eastAsia="宋体" w:cs="宋体"/>
                <w:color w:val="auto"/>
                <w:highlight w:val="none"/>
              </w:rPr>
            </w:pPr>
          </w:p>
        </w:tc>
        <w:tc>
          <w:tcPr>
            <w:tcW w:w="1345" w:type="dxa"/>
            <w:noWrap w:val="0"/>
            <w:vAlign w:val="top"/>
          </w:tcPr>
          <w:p w14:paraId="52607ECD">
            <w:pPr>
              <w:jc w:val="both"/>
              <w:rPr>
                <w:rFonts w:hint="eastAsia" w:ascii="宋体" w:hAnsi="宋体" w:eastAsia="宋体" w:cs="宋体"/>
                <w:color w:val="auto"/>
                <w:highlight w:val="none"/>
              </w:rPr>
            </w:pPr>
          </w:p>
        </w:tc>
        <w:tc>
          <w:tcPr>
            <w:tcW w:w="1045" w:type="dxa"/>
            <w:noWrap w:val="0"/>
            <w:vAlign w:val="top"/>
          </w:tcPr>
          <w:p w14:paraId="28970A18">
            <w:pPr>
              <w:jc w:val="both"/>
              <w:rPr>
                <w:rFonts w:hint="eastAsia" w:ascii="宋体" w:hAnsi="宋体" w:eastAsia="宋体" w:cs="宋体"/>
                <w:color w:val="auto"/>
                <w:highlight w:val="none"/>
              </w:rPr>
            </w:pPr>
          </w:p>
        </w:tc>
        <w:tc>
          <w:tcPr>
            <w:tcW w:w="1045" w:type="dxa"/>
            <w:noWrap w:val="0"/>
            <w:vAlign w:val="top"/>
          </w:tcPr>
          <w:p w14:paraId="46266569">
            <w:pPr>
              <w:jc w:val="both"/>
              <w:rPr>
                <w:rFonts w:hint="eastAsia" w:ascii="宋体" w:hAnsi="宋体" w:eastAsia="宋体" w:cs="宋体"/>
                <w:color w:val="auto"/>
                <w:highlight w:val="none"/>
              </w:rPr>
            </w:pPr>
          </w:p>
        </w:tc>
        <w:tc>
          <w:tcPr>
            <w:tcW w:w="1952" w:type="dxa"/>
            <w:noWrap w:val="0"/>
            <w:vAlign w:val="top"/>
          </w:tcPr>
          <w:p w14:paraId="5B717D1A">
            <w:pPr>
              <w:jc w:val="both"/>
              <w:rPr>
                <w:rFonts w:hint="eastAsia" w:ascii="宋体" w:hAnsi="宋体" w:eastAsia="宋体" w:cs="宋体"/>
                <w:color w:val="auto"/>
                <w:highlight w:val="none"/>
              </w:rPr>
            </w:pPr>
          </w:p>
        </w:tc>
        <w:tc>
          <w:tcPr>
            <w:tcW w:w="850" w:type="dxa"/>
            <w:noWrap w:val="0"/>
            <w:vAlign w:val="top"/>
          </w:tcPr>
          <w:p w14:paraId="25B36E2C">
            <w:pPr>
              <w:jc w:val="both"/>
              <w:rPr>
                <w:rFonts w:hint="eastAsia" w:ascii="宋体" w:hAnsi="宋体" w:eastAsia="宋体" w:cs="宋体"/>
                <w:color w:val="auto"/>
                <w:highlight w:val="none"/>
              </w:rPr>
            </w:pPr>
          </w:p>
        </w:tc>
      </w:tr>
      <w:tr w14:paraId="01626E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top"/>
          </w:tcPr>
          <w:p w14:paraId="1875A83C">
            <w:pPr>
              <w:jc w:val="both"/>
              <w:rPr>
                <w:rFonts w:hint="eastAsia" w:ascii="宋体" w:hAnsi="宋体" w:eastAsia="宋体" w:cs="宋体"/>
                <w:color w:val="auto"/>
                <w:highlight w:val="none"/>
              </w:rPr>
            </w:pPr>
          </w:p>
        </w:tc>
        <w:tc>
          <w:tcPr>
            <w:tcW w:w="992" w:type="dxa"/>
            <w:noWrap w:val="0"/>
            <w:vAlign w:val="top"/>
          </w:tcPr>
          <w:p w14:paraId="6F3C3E3D">
            <w:pPr>
              <w:jc w:val="both"/>
              <w:rPr>
                <w:rFonts w:hint="eastAsia" w:ascii="宋体" w:hAnsi="宋体" w:eastAsia="宋体" w:cs="宋体"/>
                <w:color w:val="auto"/>
                <w:highlight w:val="none"/>
              </w:rPr>
            </w:pPr>
          </w:p>
        </w:tc>
        <w:tc>
          <w:tcPr>
            <w:tcW w:w="1134" w:type="dxa"/>
            <w:noWrap w:val="0"/>
            <w:vAlign w:val="top"/>
          </w:tcPr>
          <w:p w14:paraId="369CE7C6">
            <w:pPr>
              <w:jc w:val="both"/>
              <w:rPr>
                <w:rFonts w:hint="eastAsia" w:ascii="宋体" w:hAnsi="宋体" w:eastAsia="宋体" w:cs="宋体"/>
                <w:color w:val="auto"/>
                <w:highlight w:val="none"/>
              </w:rPr>
            </w:pPr>
          </w:p>
        </w:tc>
        <w:tc>
          <w:tcPr>
            <w:tcW w:w="1345" w:type="dxa"/>
            <w:noWrap w:val="0"/>
            <w:vAlign w:val="top"/>
          </w:tcPr>
          <w:p w14:paraId="4C2E3DD4">
            <w:pPr>
              <w:jc w:val="both"/>
              <w:rPr>
                <w:rFonts w:hint="eastAsia" w:ascii="宋体" w:hAnsi="宋体" w:eastAsia="宋体" w:cs="宋体"/>
                <w:color w:val="auto"/>
                <w:highlight w:val="none"/>
              </w:rPr>
            </w:pPr>
          </w:p>
        </w:tc>
        <w:tc>
          <w:tcPr>
            <w:tcW w:w="1045" w:type="dxa"/>
            <w:noWrap w:val="0"/>
            <w:vAlign w:val="top"/>
          </w:tcPr>
          <w:p w14:paraId="5DED068B">
            <w:pPr>
              <w:jc w:val="both"/>
              <w:rPr>
                <w:rFonts w:hint="eastAsia" w:ascii="宋体" w:hAnsi="宋体" w:eastAsia="宋体" w:cs="宋体"/>
                <w:color w:val="auto"/>
                <w:highlight w:val="none"/>
              </w:rPr>
            </w:pPr>
          </w:p>
        </w:tc>
        <w:tc>
          <w:tcPr>
            <w:tcW w:w="1045" w:type="dxa"/>
            <w:noWrap w:val="0"/>
            <w:vAlign w:val="top"/>
          </w:tcPr>
          <w:p w14:paraId="6790E7DC">
            <w:pPr>
              <w:jc w:val="both"/>
              <w:rPr>
                <w:rFonts w:hint="eastAsia" w:ascii="宋体" w:hAnsi="宋体" w:eastAsia="宋体" w:cs="宋体"/>
                <w:color w:val="auto"/>
                <w:highlight w:val="none"/>
              </w:rPr>
            </w:pPr>
          </w:p>
        </w:tc>
        <w:tc>
          <w:tcPr>
            <w:tcW w:w="1952" w:type="dxa"/>
            <w:noWrap w:val="0"/>
            <w:vAlign w:val="top"/>
          </w:tcPr>
          <w:p w14:paraId="348EF03A">
            <w:pPr>
              <w:jc w:val="both"/>
              <w:rPr>
                <w:rFonts w:hint="eastAsia" w:ascii="宋体" w:hAnsi="宋体" w:eastAsia="宋体" w:cs="宋体"/>
                <w:color w:val="auto"/>
                <w:highlight w:val="none"/>
              </w:rPr>
            </w:pPr>
          </w:p>
        </w:tc>
        <w:tc>
          <w:tcPr>
            <w:tcW w:w="850" w:type="dxa"/>
            <w:noWrap w:val="0"/>
            <w:vAlign w:val="top"/>
          </w:tcPr>
          <w:p w14:paraId="64B3E6D3">
            <w:pPr>
              <w:jc w:val="both"/>
              <w:rPr>
                <w:rFonts w:hint="eastAsia" w:ascii="宋体" w:hAnsi="宋体" w:eastAsia="宋体" w:cs="宋体"/>
                <w:color w:val="auto"/>
                <w:highlight w:val="none"/>
              </w:rPr>
            </w:pPr>
          </w:p>
        </w:tc>
      </w:tr>
      <w:tr w14:paraId="2E76FA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noWrap w:val="0"/>
            <w:vAlign w:val="top"/>
          </w:tcPr>
          <w:p w14:paraId="677758F8">
            <w:pPr>
              <w:jc w:val="both"/>
              <w:rPr>
                <w:rFonts w:hint="eastAsia" w:ascii="宋体" w:hAnsi="宋体" w:eastAsia="宋体" w:cs="宋体"/>
                <w:color w:val="auto"/>
                <w:highlight w:val="none"/>
              </w:rPr>
            </w:pPr>
          </w:p>
        </w:tc>
        <w:tc>
          <w:tcPr>
            <w:tcW w:w="992" w:type="dxa"/>
            <w:noWrap w:val="0"/>
            <w:vAlign w:val="top"/>
          </w:tcPr>
          <w:p w14:paraId="2996993E">
            <w:pPr>
              <w:jc w:val="both"/>
              <w:rPr>
                <w:rFonts w:hint="eastAsia" w:ascii="宋体" w:hAnsi="宋体" w:eastAsia="宋体" w:cs="宋体"/>
                <w:color w:val="auto"/>
                <w:highlight w:val="none"/>
              </w:rPr>
            </w:pPr>
          </w:p>
        </w:tc>
        <w:tc>
          <w:tcPr>
            <w:tcW w:w="1134" w:type="dxa"/>
            <w:noWrap w:val="0"/>
            <w:vAlign w:val="top"/>
          </w:tcPr>
          <w:p w14:paraId="3603DF96">
            <w:pPr>
              <w:jc w:val="both"/>
              <w:rPr>
                <w:rFonts w:hint="eastAsia" w:ascii="宋体" w:hAnsi="宋体" w:eastAsia="宋体" w:cs="宋体"/>
                <w:color w:val="auto"/>
                <w:highlight w:val="none"/>
              </w:rPr>
            </w:pPr>
          </w:p>
        </w:tc>
        <w:tc>
          <w:tcPr>
            <w:tcW w:w="1345" w:type="dxa"/>
            <w:noWrap w:val="0"/>
            <w:vAlign w:val="top"/>
          </w:tcPr>
          <w:p w14:paraId="566B673D">
            <w:pPr>
              <w:jc w:val="both"/>
              <w:rPr>
                <w:rFonts w:hint="eastAsia" w:ascii="宋体" w:hAnsi="宋体" w:eastAsia="宋体" w:cs="宋体"/>
                <w:color w:val="auto"/>
                <w:highlight w:val="none"/>
              </w:rPr>
            </w:pPr>
          </w:p>
        </w:tc>
        <w:tc>
          <w:tcPr>
            <w:tcW w:w="1045" w:type="dxa"/>
            <w:noWrap w:val="0"/>
            <w:vAlign w:val="top"/>
          </w:tcPr>
          <w:p w14:paraId="1F7968DA">
            <w:pPr>
              <w:jc w:val="both"/>
              <w:rPr>
                <w:rFonts w:hint="eastAsia" w:ascii="宋体" w:hAnsi="宋体" w:eastAsia="宋体" w:cs="宋体"/>
                <w:color w:val="auto"/>
                <w:highlight w:val="none"/>
              </w:rPr>
            </w:pPr>
          </w:p>
        </w:tc>
        <w:tc>
          <w:tcPr>
            <w:tcW w:w="1045" w:type="dxa"/>
            <w:noWrap w:val="0"/>
            <w:vAlign w:val="top"/>
          </w:tcPr>
          <w:p w14:paraId="53C54039">
            <w:pPr>
              <w:jc w:val="both"/>
              <w:rPr>
                <w:rFonts w:hint="eastAsia" w:ascii="宋体" w:hAnsi="宋体" w:eastAsia="宋体" w:cs="宋体"/>
                <w:color w:val="auto"/>
                <w:highlight w:val="none"/>
              </w:rPr>
            </w:pPr>
          </w:p>
        </w:tc>
        <w:tc>
          <w:tcPr>
            <w:tcW w:w="1952" w:type="dxa"/>
            <w:noWrap w:val="0"/>
            <w:vAlign w:val="top"/>
          </w:tcPr>
          <w:p w14:paraId="385E3F10">
            <w:pPr>
              <w:jc w:val="both"/>
              <w:rPr>
                <w:rFonts w:hint="eastAsia" w:ascii="宋体" w:hAnsi="宋体" w:eastAsia="宋体" w:cs="宋体"/>
                <w:color w:val="auto"/>
                <w:highlight w:val="none"/>
              </w:rPr>
            </w:pPr>
          </w:p>
        </w:tc>
        <w:tc>
          <w:tcPr>
            <w:tcW w:w="850" w:type="dxa"/>
            <w:noWrap w:val="0"/>
            <w:vAlign w:val="top"/>
          </w:tcPr>
          <w:p w14:paraId="4C3B066D">
            <w:pPr>
              <w:jc w:val="both"/>
              <w:rPr>
                <w:rFonts w:hint="eastAsia" w:ascii="宋体" w:hAnsi="宋体" w:eastAsia="宋体" w:cs="宋体"/>
                <w:color w:val="auto"/>
                <w:highlight w:val="none"/>
              </w:rPr>
            </w:pPr>
          </w:p>
        </w:tc>
      </w:tr>
      <w:tr w14:paraId="35B9C3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top"/>
          </w:tcPr>
          <w:p w14:paraId="3923A090">
            <w:pPr>
              <w:jc w:val="both"/>
              <w:rPr>
                <w:rFonts w:hint="eastAsia" w:ascii="宋体" w:hAnsi="宋体" w:eastAsia="宋体" w:cs="宋体"/>
                <w:color w:val="auto"/>
                <w:highlight w:val="none"/>
              </w:rPr>
            </w:pPr>
          </w:p>
        </w:tc>
        <w:tc>
          <w:tcPr>
            <w:tcW w:w="992" w:type="dxa"/>
            <w:noWrap w:val="0"/>
            <w:vAlign w:val="top"/>
          </w:tcPr>
          <w:p w14:paraId="2237BD27">
            <w:pPr>
              <w:jc w:val="both"/>
              <w:rPr>
                <w:rFonts w:hint="eastAsia" w:ascii="宋体" w:hAnsi="宋体" w:eastAsia="宋体" w:cs="宋体"/>
                <w:color w:val="auto"/>
                <w:highlight w:val="none"/>
              </w:rPr>
            </w:pPr>
          </w:p>
        </w:tc>
        <w:tc>
          <w:tcPr>
            <w:tcW w:w="1134" w:type="dxa"/>
            <w:noWrap w:val="0"/>
            <w:vAlign w:val="top"/>
          </w:tcPr>
          <w:p w14:paraId="31563D1A">
            <w:pPr>
              <w:jc w:val="both"/>
              <w:rPr>
                <w:rFonts w:hint="eastAsia" w:ascii="宋体" w:hAnsi="宋体" w:eastAsia="宋体" w:cs="宋体"/>
                <w:color w:val="auto"/>
                <w:highlight w:val="none"/>
              </w:rPr>
            </w:pPr>
          </w:p>
        </w:tc>
        <w:tc>
          <w:tcPr>
            <w:tcW w:w="1345" w:type="dxa"/>
            <w:noWrap w:val="0"/>
            <w:vAlign w:val="top"/>
          </w:tcPr>
          <w:p w14:paraId="5978BCA0">
            <w:pPr>
              <w:jc w:val="both"/>
              <w:rPr>
                <w:rFonts w:hint="eastAsia" w:ascii="宋体" w:hAnsi="宋体" w:eastAsia="宋体" w:cs="宋体"/>
                <w:color w:val="auto"/>
                <w:highlight w:val="none"/>
              </w:rPr>
            </w:pPr>
          </w:p>
        </w:tc>
        <w:tc>
          <w:tcPr>
            <w:tcW w:w="1045" w:type="dxa"/>
            <w:noWrap w:val="0"/>
            <w:vAlign w:val="top"/>
          </w:tcPr>
          <w:p w14:paraId="2045D4BD">
            <w:pPr>
              <w:jc w:val="both"/>
              <w:rPr>
                <w:rFonts w:hint="eastAsia" w:ascii="宋体" w:hAnsi="宋体" w:eastAsia="宋体" w:cs="宋体"/>
                <w:color w:val="auto"/>
                <w:highlight w:val="none"/>
              </w:rPr>
            </w:pPr>
          </w:p>
        </w:tc>
        <w:tc>
          <w:tcPr>
            <w:tcW w:w="1045" w:type="dxa"/>
            <w:noWrap w:val="0"/>
            <w:vAlign w:val="top"/>
          </w:tcPr>
          <w:p w14:paraId="48BBE2C8">
            <w:pPr>
              <w:jc w:val="both"/>
              <w:rPr>
                <w:rFonts w:hint="eastAsia" w:ascii="宋体" w:hAnsi="宋体" w:eastAsia="宋体" w:cs="宋体"/>
                <w:color w:val="auto"/>
                <w:highlight w:val="none"/>
              </w:rPr>
            </w:pPr>
          </w:p>
        </w:tc>
        <w:tc>
          <w:tcPr>
            <w:tcW w:w="1952" w:type="dxa"/>
            <w:noWrap w:val="0"/>
            <w:vAlign w:val="top"/>
          </w:tcPr>
          <w:p w14:paraId="79EE7B54">
            <w:pPr>
              <w:jc w:val="both"/>
              <w:rPr>
                <w:rFonts w:hint="eastAsia" w:ascii="宋体" w:hAnsi="宋体" w:eastAsia="宋体" w:cs="宋体"/>
                <w:color w:val="auto"/>
                <w:highlight w:val="none"/>
              </w:rPr>
            </w:pPr>
          </w:p>
        </w:tc>
        <w:tc>
          <w:tcPr>
            <w:tcW w:w="850" w:type="dxa"/>
            <w:noWrap w:val="0"/>
            <w:vAlign w:val="top"/>
          </w:tcPr>
          <w:p w14:paraId="209B29D8">
            <w:pPr>
              <w:jc w:val="both"/>
              <w:rPr>
                <w:rFonts w:hint="eastAsia" w:ascii="宋体" w:hAnsi="宋体" w:eastAsia="宋体" w:cs="宋体"/>
                <w:color w:val="auto"/>
                <w:highlight w:val="none"/>
              </w:rPr>
            </w:pPr>
          </w:p>
        </w:tc>
      </w:tr>
      <w:tr w14:paraId="369AE7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74C7C75D">
            <w:pPr>
              <w:jc w:val="both"/>
              <w:rPr>
                <w:rFonts w:hint="eastAsia" w:ascii="宋体" w:hAnsi="宋体" w:eastAsia="宋体" w:cs="宋体"/>
                <w:color w:val="auto"/>
                <w:highlight w:val="none"/>
              </w:rPr>
            </w:pPr>
          </w:p>
        </w:tc>
        <w:tc>
          <w:tcPr>
            <w:tcW w:w="992" w:type="dxa"/>
            <w:noWrap w:val="0"/>
            <w:vAlign w:val="top"/>
          </w:tcPr>
          <w:p w14:paraId="51EA4C77">
            <w:pPr>
              <w:jc w:val="both"/>
              <w:rPr>
                <w:rFonts w:hint="eastAsia" w:ascii="宋体" w:hAnsi="宋体" w:eastAsia="宋体" w:cs="宋体"/>
                <w:color w:val="auto"/>
                <w:highlight w:val="none"/>
              </w:rPr>
            </w:pPr>
          </w:p>
        </w:tc>
        <w:tc>
          <w:tcPr>
            <w:tcW w:w="1134" w:type="dxa"/>
            <w:noWrap w:val="0"/>
            <w:vAlign w:val="top"/>
          </w:tcPr>
          <w:p w14:paraId="0C51DDB3">
            <w:pPr>
              <w:jc w:val="both"/>
              <w:rPr>
                <w:rFonts w:hint="eastAsia" w:ascii="宋体" w:hAnsi="宋体" w:eastAsia="宋体" w:cs="宋体"/>
                <w:color w:val="auto"/>
                <w:highlight w:val="none"/>
              </w:rPr>
            </w:pPr>
          </w:p>
        </w:tc>
        <w:tc>
          <w:tcPr>
            <w:tcW w:w="1345" w:type="dxa"/>
            <w:noWrap w:val="0"/>
            <w:vAlign w:val="top"/>
          </w:tcPr>
          <w:p w14:paraId="45C636C1">
            <w:pPr>
              <w:jc w:val="both"/>
              <w:rPr>
                <w:rFonts w:hint="eastAsia" w:ascii="宋体" w:hAnsi="宋体" w:eastAsia="宋体" w:cs="宋体"/>
                <w:color w:val="auto"/>
                <w:highlight w:val="none"/>
              </w:rPr>
            </w:pPr>
          </w:p>
        </w:tc>
        <w:tc>
          <w:tcPr>
            <w:tcW w:w="1045" w:type="dxa"/>
            <w:noWrap w:val="0"/>
            <w:vAlign w:val="top"/>
          </w:tcPr>
          <w:p w14:paraId="553B5088">
            <w:pPr>
              <w:jc w:val="both"/>
              <w:rPr>
                <w:rFonts w:hint="eastAsia" w:ascii="宋体" w:hAnsi="宋体" w:eastAsia="宋体" w:cs="宋体"/>
                <w:color w:val="auto"/>
                <w:highlight w:val="none"/>
              </w:rPr>
            </w:pPr>
          </w:p>
        </w:tc>
        <w:tc>
          <w:tcPr>
            <w:tcW w:w="1045" w:type="dxa"/>
            <w:noWrap w:val="0"/>
            <w:vAlign w:val="top"/>
          </w:tcPr>
          <w:p w14:paraId="1147A921">
            <w:pPr>
              <w:jc w:val="both"/>
              <w:rPr>
                <w:rFonts w:hint="eastAsia" w:ascii="宋体" w:hAnsi="宋体" w:eastAsia="宋体" w:cs="宋体"/>
                <w:color w:val="auto"/>
                <w:highlight w:val="none"/>
              </w:rPr>
            </w:pPr>
          </w:p>
        </w:tc>
        <w:tc>
          <w:tcPr>
            <w:tcW w:w="1952" w:type="dxa"/>
            <w:noWrap w:val="0"/>
            <w:vAlign w:val="top"/>
          </w:tcPr>
          <w:p w14:paraId="13CD32DA">
            <w:pPr>
              <w:jc w:val="both"/>
              <w:rPr>
                <w:rFonts w:hint="eastAsia" w:ascii="宋体" w:hAnsi="宋体" w:eastAsia="宋体" w:cs="宋体"/>
                <w:color w:val="auto"/>
                <w:highlight w:val="none"/>
              </w:rPr>
            </w:pPr>
          </w:p>
        </w:tc>
        <w:tc>
          <w:tcPr>
            <w:tcW w:w="850" w:type="dxa"/>
            <w:noWrap w:val="0"/>
            <w:vAlign w:val="top"/>
          </w:tcPr>
          <w:p w14:paraId="7FB6D8C5">
            <w:pPr>
              <w:jc w:val="both"/>
              <w:rPr>
                <w:rFonts w:hint="eastAsia" w:ascii="宋体" w:hAnsi="宋体" w:eastAsia="宋体" w:cs="宋体"/>
                <w:color w:val="auto"/>
                <w:highlight w:val="none"/>
              </w:rPr>
            </w:pPr>
          </w:p>
        </w:tc>
      </w:tr>
      <w:tr w14:paraId="007BB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top"/>
          </w:tcPr>
          <w:p w14:paraId="6336FD5C">
            <w:pPr>
              <w:jc w:val="both"/>
              <w:rPr>
                <w:rFonts w:hint="eastAsia" w:ascii="宋体" w:hAnsi="宋体" w:eastAsia="宋体" w:cs="宋体"/>
                <w:color w:val="auto"/>
                <w:highlight w:val="none"/>
              </w:rPr>
            </w:pPr>
          </w:p>
        </w:tc>
        <w:tc>
          <w:tcPr>
            <w:tcW w:w="992" w:type="dxa"/>
            <w:noWrap w:val="0"/>
            <w:vAlign w:val="top"/>
          </w:tcPr>
          <w:p w14:paraId="22526F43">
            <w:pPr>
              <w:jc w:val="both"/>
              <w:rPr>
                <w:rFonts w:hint="eastAsia" w:ascii="宋体" w:hAnsi="宋体" w:eastAsia="宋体" w:cs="宋体"/>
                <w:color w:val="auto"/>
                <w:highlight w:val="none"/>
              </w:rPr>
            </w:pPr>
          </w:p>
        </w:tc>
        <w:tc>
          <w:tcPr>
            <w:tcW w:w="1134" w:type="dxa"/>
            <w:noWrap w:val="0"/>
            <w:vAlign w:val="top"/>
          </w:tcPr>
          <w:p w14:paraId="346E9C44">
            <w:pPr>
              <w:jc w:val="both"/>
              <w:rPr>
                <w:rFonts w:hint="eastAsia" w:ascii="宋体" w:hAnsi="宋体" w:eastAsia="宋体" w:cs="宋体"/>
                <w:color w:val="auto"/>
                <w:highlight w:val="none"/>
              </w:rPr>
            </w:pPr>
          </w:p>
        </w:tc>
        <w:tc>
          <w:tcPr>
            <w:tcW w:w="1345" w:type="dxa"/>
            <w:noWrap w:val="0"/>
            <w:vAlign w:val="top"/>
          </w:tcPr>
          <w:p w14:paraId="58B3916A">
            <w:pPr>
              <w:jc w:val="both"/>
              <w:rPr>
                <w:rFonts w:hint="eastAsia" w:ascii="宋体" w:hAnsi="宋体" w:eastAsia="宋体" w:cs="宋体"/>
                <w:color w:val="auto"/>
                <w:highlight w:val="none"/>
              </w:rPr>
            </w:pPr>
          </w:p>
        </w:tc>
        <w:tc>
          <w:tcPr>
            <w:tcW w:w="1045" w:type="dxa"/>
            <w:noWrap w:val="0"/>
            <w:vAlign w:val="top"/>
          </w:tcPr>
          <w:p w14:paraId="26628978">
            <w:pPr>
              <w:jc w:val="both"/>
              <w:rPr>
                <w:rFonts w:hint="eastAsia" w:ascii="宋体" w:hAnsi="宋体" w:eastAsia="宋体" w:cs="宋体"/>
                <w:color w:val="auto"/>
                <w:highlight w:val="none"/>
              </w:rPr>
            </w:pPr>
          </w:p>
        </w:tc>
        <w:tc>
          <w:tcPr>
            <w:tcW w:w="1045" w:type="dxa"/>
            <w:noWrap w:val="0"/>
            <w:vAlign w:val="top"/>
          </w:tcPr>
          <w:p w14:paraId="4DE402AE">
            <w:pPr>
              <w:jc w:val="both"/>
              <w:rPr>
                <w:rFonts w:hint="eastAsia" w:ascii="宋体" w:hAnsi="宋体" w:eastAsia="宋体" w:cs="宋体"/>
                <w:color w:val="auto"/>
                <w:highlight w:val="none"/>
              </w:rPr>
            </w:pPr>
          </w:p>
        </w:tc>
        <w:tc>
          <w:tcPr>
            <w:tcW w:w="1952" w:type="dxa"/>
            <w:noWrap w:val="0"/>
            <w:vAlign w:val="top"/>
          </w:tcPr>
          <w:p w14:paraId="08A1E8A4">
            <w:pPr>
              <w:jc w:val="both"/>
              <w:rPr>
                <w:rFonts w:hint="eastAsia" w:ascii="宋体" w:hAnsi="宋体" w:eastAsia="宋体" w:cs="宋体"/>
                <w:color w:val="auto"/>
                <w:highlight w:val="none"/>
              </w:rPr>
            </w:pPr>
          </w:p>
        </w:tc>
        <w:tc>
          <w:tcPr>
            <w:tcW w:w="850" w:type="dxa"/>
            <w:noWrap w:val="0"/>
            <w:vAlign w:val="top"/>
          </w:tcPr>
          <w:p w14:paraId="0D5DE3BD">
            <w:pPr>
              <w:jc w:val="both"/>
              <w:rPr>
                <w:rFonts w:hint="eastAsia" w:ascii="宋体" w:hAnsi="宋体" w:eastAsia="宋体" w:cs="宋体"/>
                <w:color w:val="auto"/>
                <w:highlight w:val="none"/>
              </w:rPr>
            </w:pPr>
          </w:p>
        </w:tc>
      </w:tr>
      <w:tr w14:paraId="017BE9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3E4BF2A3">
            <w:pPr>
              <w:jc w:val="both"/>
              <w:rPr>
                <w:rFonts w:hint="eastAsia" w:ascii="宋体" w:hAnsi="宋体" w:eastAsia="宋体" w:cs="宋体"/>
                <w:color w:val="auto"/>
                <w:highlight w:val="none"/>
              </w:rPr>
            </w:pPr>
          </w:p>
        </w:tc>
        <w:tc>
          <w:tcPr>
            <w:tcW w:w="992" w:type="dxa"/>
            <w:noWrap w:val="0"/>
            <w:vAlign w:val="top"/>
          </w:tcPr>
          <w:p w14:paraId="4F2971BB">
            <w:pPr>
              <w:jc w:val="both"/>
              <w:rPr>
                <w:rFonts w:hint="eastAsia" w:ascii="宋体" w:hAnsi="宋体" w:eastAsia="宋体" w:cs="宋体"/>
                <w:color w:val="auto"/>
                <w:highlight w:val="none"/>
              </w:rPr>
            </w:pPr>
          </w:p>
        </w:tc>
        <w:tc>
          <w:tcPr>
            <w:tcW w:w="1134" w:type="dxa"/>
            <w:noWrap w:val="0"/>
            <w:vAlign w:val="top"/>
          </w:tcPr>
          <w:p w14:paraId="3D1BB2F1">
            <w:pPr>
              <w:jc w:val="both"/>
              <w:rPr>
                <w:rFonts w:hint="eastAsia" w:ascii="宋体" w:hAnsi="宋体" w:eastAsia="宋体" w:cs="宋体"/>
                <w:color w:val="auto"/>
                <w:highlight w:val="none"/>
              </w:rPr>
            </w:pPr>
          </w:p>
        </w:tc>
        <w:tc>
          <w:tcPr>
            <w:tcW w:w="1345" w:type="dxa"/>
            <w:noWrap w:val="0"/>
            <w:vAlign w:val="top"/>
          </w:tcPr>
          <w:p w14:paraId="549E1E64">
            <w:pPr>
              <w:jc w:val="both"/>
              <w:rPr>
                <w:rFonts w:hint="eastAsia" w:ascii="宋体" w:hAnsi="宋体" w:eastAsia="宋体" w:cs="宋体"/>
                <w:color w:val="auto"/>
                <w:highlight w:val="none"/>
              </w:rPr>
            </w:pPr>
          </w:p>
        </w:tc>
        <w:tc>
          <w:tcPr>
            <w:tcW w:w="1045" w:type="dxa"/>
            <w:noWrap w:val="0"/>
            <w:vAlign w:val="top"/>
          </w:tcPr>
          <w:p w14:paraId="5E226026">
            <w:pPr>
              <w:jc w:val="both"/>
              <w:rPr>
                <w:rFonts w:hint="eastAsia" w:ascii="宋体" w:hAnsi="宋体" w:eastAsia="宋体" w:cs="宋体"/>
                <w:color w:val="auto"/>
                <w:highlight w:val="none"/>
              </w:rPr>
            </w:pPr>
          </w:p>
        </w:tc>
        <w:tc>
          <w:tcPr>
            <w:tcW w:w="1045" w:type="dxa"/>
            <w:noWrap w:val="0"/>
            <w:vAlign w:val="top"/>
          </w:tcPr>
          <w:p w14:paraId="10C48754">
            <w:pPr>
              <w:jc w:val="both"/>
              <w:rPr>
                <w:rFonts w:hint="eastAsia" w:ascii="宋体" w:hAnsi="宋体" w:eastAsia="宋体" w:cs="宋体"/>
                <w:color w:val="auto"/>
                <w:highlight w:val="none"/>
              </w:rPr>
            </w:pPr>
          </w:p>
        </w:tc>
        <w:tc>
          <w:tcPr>
            <w:tcW w:w="1952" w:type="dxa"/>
            <w:noWrap w:val="0"/>
            <w:vAlign w:val="top"/>
          </w:tcPr>
          <w:p w14:paraId="651B7716">
            <w:pPr>
              <w:jc w:val="both"/>
              <w:rPr>
                <w:rFonts w:hint="eastAsia" w:ascii="宋体" w:hAnsi="宋体" w:eastAsia="宋体" w:cs="宋体"/>
                <w:color w:val="auto"/>
                <w:highlight w:val="none"/>
              </w:rPr>
            </w:pPr>
          </w:p>
        </w:tc>
        <w:tc>
          <w:tcPr>
            <w:tcW w:w="850" w:type="dxa"/>
            <w:noWrap w:val="0"/>
            <w:vAlign w:val="top"/>
          </w:tcPr>
          <w:p w14:paraId="1E3634CB">
            <w:pPr>
              <w:jc w:val="both"/>
              <w:rPr>
                <w:rFonts w:hint="eastAsia" w:ascii="宋体" w:hAnsi="宋体" w:eastAsia="宋体" w:cs="宋体"/>
                <w:color w:val="auto"/>
                <w:highlight w:val="none"/>
              </w:rPr>
            </w:pPr>
          </w:p>
        </w:tc>
      </w:tr>
      <w:tr w14:paraId="12586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noWrap w:val="0"/>
            <w:vAlign w:val="top"/>
          </w:tcPr>
          <w:p w14:paraId="784FB93C">
            <w:pPr>
              <w:jc w:val="both"/>
              <w:rPr>
                <w:rFonts w:hint="eastAsia" w:ascii="宋体" w:hAnsi="宋体" w:eastAsia="宋体" w:cs="宋体"/>
                <w:color w:val="auto"/>
                <w:highlight w:val="none"/>
              </w:rPr>
            </w:pPr>
          </w:p>
        </w:tc>
        <w:tc>
          <w:tcPr>
            <w:tcW w:w="992" w:type="dxa"/>
            <w:noWrap w:val="0"/>
            <w:vAlign w:val="top"/>
          </w:tcPr>
          <w:p w14:paraId="41453A10">
            <w:pPr>
              <w:jc w:val="both"/>
              <w:rPr>
                <w:rFonts w:hint="eastAsia" w:ascii="宋体" w:hAnsi="宋体" w:eastAsia="宋体" w:cs="宋体"/>
                <w:color w:val="auto"/>
                <w:highlight w:val="none"/>
              </w:rPr>
            </w:pPr>
          </w:p>
        </w:tc>
        <w:tc>
          <w:tcPr>
            <w:tcW w:w="1134" w:type="dxa"/>
            <w:noWrap w:val="0"/>
            <w:vAlign w:val="top"/>
          </w:tcPr>
          <w:p w14:paraId="5DD8D2D8">
            <w:pPr>
              <w:jc w:val="both"/>
              <w:rPr>
                <w:rFonts w:hint="eastAsia" w:ascii="宋体" w:hAnsi="宋体" w:eastAsia="宋体" w:cs="宋体"/>
                <w:color w:val="auto"/>
                <w:highlight w:val="none"/>
              </w:rPr>
            </w:pPr>
          </w:p>
        </w:tc>
        <w:tc>
          <w:tcPr>
            <w:tcW w:w="1345" w:type="dxa"/>
            <w:noWrap w:val="0"/>
            <w:vAlign w:val="top"/>
          </w:tcPr>
          <w:p w14:paraId="1B9A7D3D">
            <w:pPr>
              <w:jc w:val="both"/>
              <w:rPr>
                <w:rFonts w:hint="eastAsia" w:ascii="宋体" w:hAnsi="宋体" w:eastAsia="宋体" w:cs="宋体"/>
                <w:color w:val="auto"/>
                <w:highlight w:val="none"/>
              </w:rPr>
            </w:pPr>
          </w:p>
        </w:tc>
        <w:tc>
          <w:tcPr>
            <w:tcW w:w="1045" w:type="dxa"/>
            <w:noWrap w:val="0"/>
            <w:vAlign w:val="top"/>
          </w:tcPr>
          <w:p w14:paraId="61FC804D">
            <w:pPr>
              <w:jc w:val="both"/>
              <w:rPr>
                <w:rFonts w:hint="eastAsia" w:ascii="宋体" w:hAnsi="宋体" w:eastAsia="宋体" w:cs="宋体"/>
                <w:color w:val="auto"/>
                <w:highlight w:val="none"/>
              </w:rPr>
            </w:pPr>
          </w:p>
        </w:tc>
        <w:tc>
          <w:tcPr>
            <w:tcW w:w="1045" w:type="dxa"/>
            <w:noWrap w:val="0"/>
            <w:vAlign w:val="top"/>
          </w:tcPr>
          <w:p w14:paraId="22977687">
            <w:pPr>
              <w:jc w:val="both"/>
              <w:rPr>
                <w:rFonts w:hint="eastAsia" w:ascii="宋体" w:hAnsi="宋体" w:eastAsia="宋体" w:cs="宋体"/>
                <w:color w:val="auto"/>
                <w:highlight w:val="none"/>
              </w:rPr>
            </w:pPr>
          </w:p>
        </w:tc>
        <w:tc>
          <w:tcPr>
            <w:tcW w:w="1952" w:type="dxa"/>
            <w:noWrap w:val="0"/>
            <w:vAlign w:val="top"/>
          </w:tcPr>
          <w:p w14:paraId="30B7155E">
            <w:pPr>
              <w:jc w:val="both"/>
              <w:rPr>
                <w:rFonts w:hint="eastAsia" w:ascii="宋体" w:hAnsi="宋体" w:eastAsia="宋体" w:cs="宋体"/>
                <w:color w:val="auto"/>
                <w:highlight w:val="none"/>
              </w:rPr>
            </w:pPr>
          </w:p>
        </w:tc>
        <w:tc>
          <w:tcPr>
            <w:tcW w:w="850" w:type="dxa"/>
            <w:noWrap w:val="0"/>
            <w:vAlign w:val="top"/>
          </w:tcPr>
          <w:p w14:paraId="2C8BA2E3">
            <w:pPr>
              <w:jc w:val="both"/>
              <w:rPr>
                <w:rFonts w:hint="eastAsia" w:ascii="宋体" w:hAnsi="宋体" w:eastAsia="宋体" w:cs="宋体"/>
                <w:color w:val="auto"/>
                <w:highlight w:val="none"/>
              </w:rPr>
            </w:pPr>
          </w:p>
        </w:tc>
      </w:tr>
    </w:tbl>
    <w:p w14:paraId="31291627">
      <w:pPr>
        <w:spacing w:line="291" w:lineRule="auto"/>
        <w:jc w:val="both"/>
        <w:rPr>
          <w:rFonts w:hint="eastAsia" w:ascii="宋体" w:hAnsi="宋体" w:eastAsia="宋体" w:cs="宋体"/>
          <w:color w:val="auto"/>
          <w:highlight w:val="none"/>
        </w:rPr>
      </w:pPr>
    </w:p>
    <w:p w14:paraId="680F5C43">
      <w:pPr>
        <w:spacing w:line="292" w:lineRule="auto"/>
        <w:jc w:val="both"/>
        <w:rPr>
          <w:rFonts w:hint="eastAsia" w:ascii="宋体" w:hAnsi="宋体" w:eastAsia="宋体" w:cs="宋体"/>
          <w:color w:val="auto"/>
          <w:highlight w:val="none"/>
        </w:rPr>
      </w:pPr>
    </w:p>
    <w:p w14:paraId="40D96820">
      <w:pPr>
        <w:tabs>
          <w:tab w:val="left" w:pos="6520"/>
        </w:tabs>
        <w:spacing w:before="75" w:line="503" w:lineRule="auto"/>
        <w:ind w:left="5429" w:hanging="535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招标人代表：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记录人：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监标人：</w:t>
      </w:r>
      <w:r>
        <w:rPr>
          <w:rFonts w:hint="eastAsia" w:ascii="宋体" w:hAnsi="宋体" w:eastAsia="宋体" w:cs="宋体"/>
          <w:color w:val="auto"/>
          <w:sz w:val="23"/>
          <w:szCs w:val="23"/>
          <w:highlight w:val="none"/>
          <w:u w:val="single"/>
        </w:rPr>
        <w:t xml:space="preserve">   </w:t>
      </w:r>
    </w:p>
    <w:p w14:paraId="49D4F850">
      <w:pPr>
        <w:tabs>
          <w:tab w:val="left" w:pos="6520"/>
        </w:tabs>
        <w:spacing w:before="75" w:line="503" w:lineRule="auto"/>
        <w:ind w:left="5429" w:hanging="5357"/>
        <w:jc w:val="righ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5B8358C8">
      <w:pPr>
        <w:jc w:val="right"/>
        <w:rPr>
          <w:rFonts w:hint="eastAsia" w:ascii="宋体" w:hAnsi="宋体" w:eastAsia="宋体" w:cs="宋体"/>
          <w:color w:val="auto"/>
          <w:highlight w:val="none"/>
        </w:rPr>
        <w:sectPr>
          <w:footerReference r:id="rId7" w:type="default"/>
          <w:pgSz w:w="11906" w:h="16839"/>
          <w:pgMar w:top="1418" w:right="1559" w:bottom="1418" w:left="1474" w:header="0" w:footer="1035" w:gutter="0"/>
          <w:cols w:space="720" w:num="1"/>
        </w:sectPr>
      </w:pPr>
    </w:p>
    <w:p w14:paraId="3CC6B4D8">
      <w:pPr>
        <w:spacing w:line="347" w:lineRule="auto"/>
        <w:jc w:val="both"/>
        <w:rPr>
          <w:rFonts w:hint="eastAsia" w:ascii="宋体" w:hAnsi="宋体" w:eastAsia="宋体" w:cs="宋体"/>
          <w:color w:val="auto"/>
          <w:highlight w:val="none"/>
        </w:rPr>
      </w:pPr>
    </w:p>
    <w:p w14:paraId="0267A9E1">
      <w:pPr>
        <w:spacing w:before="91" w:line="220" w:lineRule="auto"/>
        <w:ind w:left="312"/>
        <w:jc w:val="both"/>
        <w:outlineLvl w:val="1"/>
        <w:rPr>
          <w:rFonts w:hint="eastAsia" w:ascii="宋体" w:hAnsi="宋体" w:eastAsia="宋体" w:cs="宋体"/>
          <w:color w:val="auto"/>
          <w:sz w:val="28"/>
          <w:szCs w:val="28"/>
          <w:highlight w:val="none"/>
        </w:rPr>
      </w:pPr>
      <w:bookmarkStart w:id="40" w:name="_bookmark6"/>
      <w:bookmarkEnd w:id="40"/>
      <w:r>
        <w:rPr>
          <w:rFonts w:hint="eastAsia" w:ascii="宋体" w:hAnsi="宋体" w:eastAsia="宋体" w:cs="宋体"/>
          <w:color w:val="auto"/>
          <w:sz w:val="28"/>
          <w:szCs w:val="28"/>
          <w:highlight w:val="none"/>
        </w:rPr>
        <w:t>附表二：问题澄清通知</w:t>
      </w:r>
    </w:p>
    <w:p w14:paraId="67593187">
      <w:pPr>
        <w:spacing w:line="331" w:lineRule="auto"/>
        <w:jc w:val="both"/>
        <w:rPr>
          <w:rFonts w:hint="eastAsia" w:ascii="宋体" w:hAnsi="宋体" w:eastAsia="宋体" w:cs="宋体"/>
          <w:color w:val="auto"/>
          <w:highlight w:val="none"/>
        </w:rPr>
      </w:pPr>
    </w:p>
    <w:p w14:paraId="6E68D733">
      <w:pPr>
        <w:spacing w:line="332" w:lineRule="auto"/>
        <w:jc w:val="both"/>
        <w:rPr>
          <w:rFonts w:hint="eastAsia" w:ascii="宋体" w:hAnsi="宋体" w:eastAsia="宋体" w:cs="宋体"/>
          <w:color w:val="auto"/>
          <w:highlight w:val="none"/>
        </w:rPr>
      </w:pPr>
    </w:p>
    <w:p w14:paraId="4BAE4D55">
      <w:pPr>
        <w:spacing w:before="91" w:line="221" w:lineRule="auto"/>
        <w:ind w:left="3845"/>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问题澄清通知</w:t>
      </w:r>
    </w:p>
    <w:p w14:paraId="4873E2D7">
      <w:pPr>
        <w:spacing w:before="287" w:line="221" w:lineRule="auto"/>
        <w:ind w:left="3957"/>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编号：</w:t>
      </w:r>
    </w:p>
    <w:p w14:paraId="24D49F27">
      <w:pPr>
        <w:spacing w:line="349" w:lineRule="auto"/>
        <w:jc w:val="both"/>
        <w:rPr>
          <w:rFonts w:hint="eastAsia" w:ascii="宋体" w:hAnsi="宋体" w:eastAsia="宋体" w:cs="宋体"/>
          <w:color w:val="auto"/>
          <w:highlight w:val="none"/>
        </w:rPr>
      </w:pPr>
    </w:p>
    <w:p w14:paraId="5C9637DD">
      <w:pPr>
        <w:spacing w:line="349" w:lineRule="auto"/>
        <w:jc w:val="both"/>
        <w:rPr>
          <w:rFonts w:hint="eastAsia" w:ascii="宋体" w:hAnsi="宋体" w:eastAsia="宋体" w:cs="宋体"/>
          <w:color w:val="auto"/>
          <w:highlight w:val="none"/>
        </w:rPr>
      </w:pPr>
    </w:p>
    <w:p w14:paraId="36FF6C22">
      <w:pPr>
        <w:tabs>
          <w:tab w:val="left" w:pos="197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(投标人名称):</w:t>
      </w:r>
    </w:p>
    <w:p w14:paraId="1A12323F">
      <w:pPr>
        <w:tabs>
          <w:tab w:val="left" w:pos="1558"/>
        </w:tabs>
        <w:spacing w:before="226" w:line="377" w:lineRule="auto"/>
        <w:ind w:left="10" w:right="72" w:firstLine="54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(项目名称)标段招标的评标委员会，对你方的投标文件进行了仔细的审查，现需你方对下列问题以书面形式予以澄清：</w:t>
      </w:r>
    </w:p>
    <w:p w14:paraId="705BFE59">
      <w:pPr>
        <w:spacing w:before="18" w:line="563" w:lineRule="exact"/>
        <w:ind w:left="591"/>
        <w:jc w:val="both"/>
        <w:rPr>
          <w:rFonts w:hint="eastAsia" w:ascii="宋体" w:hAnsi="宋体" w:eastAsia="宋体" w:cs="宋体"/>
          <w:color w:val="auto"/>
          <w:sz w:val="24"/>
          <w:szCs w:val="24"/>
          <w:highlight w:val="none"/>
        </w:rPr>
      </w:pPr>
      <w:r>
        <w:rPr>
          <w:rFonts w:hint="eastAsia" w:ascii="宋体" w:hAnsi="宋体" w:eastAsia="宋体" w:cs="宋体"/>
          <w:color w:val="auto"/>
          <w:position w:val="25"/>
          <w:sz w:val="24"/>
          <w:szCs w:val="24"/>
          <w:highlight w:val="none"/>
        </w:rPr>
        <w:t>1.</w:t>
      </w:r>
    </w:p>
    <w:p w14:paraId="465943D9">
      <w:pPr>
        <w:spacing w:line="186" w:lineRule="auto"/>
        <w:ind w:left="57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4D8BEA48">
      <w:pPr>
        <w:spacing w:before="232" w:line="443" w:lineRule="exact"/>
        <w:ind w:left="588"/>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245C9AEF">
      <w:pPr>
        <w:spacing w:before="116" w:line="379" w:lineRule="auto"/>
        <w:ind w:left="12" w:right="72" w:firstLine="55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请将上述问题的澄清于年月日时前反馈。</w:t>
      </w:r>
    </w:p>
    <w:p w14:paraId="2A0E6085">
      <w:pPr>
        <w:spacing w:line="248" w:lineRule="auto"/>
        <w:jc w:val="both"/>
        <w:rPr>
          <w:rFonts w:hint="eastAsia" w:ascii="宋体" w:hAnsi="宋体" w:eastAsia="宋体" w:cs="宋体"/>
          <w:color w:val="auto"/>
          <w:sz w:val="24"/>
          <w:szCs w:val="24"/>
          <w:highlight w:val="none"/>
        </w:rPr>
      </w:pPr>
    </w:p>
    <w:p w14:paraId="416E59FB">
      <w:pPr>
        <w:spacing w:line="249" w:lineRule="auto"/>
        <w:jc w:val="both"/>
        <w:rPr>
          <w:rFonts w:hint="eastAsia" w:ascii="宋体" w:hAnsi="宋体" w:eastAsia="宋体" w:cs="宋体"/>
          <w:color w:val="auto"/>
          <w:sz w:val="24"/>
          <w:szCs w:val="24"/>
          <w:highlight w:val="none"/>
        </w:rPr>
      </w:pPr>
    </w:p>
    <w:p w14:paraId="6F9567DE">
      <w:pPr>
        <w:spacing w:line="249" w:lineRule="auto"/>
        <w:jc w:val="both"/>
        <w:rPr>
          <w:rFonts w:hint="eastAsia" w:ascii="宋体" w:hAnsi="宋体" w:eastAsia="宋体" w:cs="宋体"/>
          <w:color w:val="auto"/>
          <w:sz w:val="24"/>
          <w:szCs w:val="24"/>
          <w:highlight w:val="none"/>
        </w:rPr>
      </w:pPr>
    </w:p>
    <w:p w14:paraId="032A4A62">
      <w:pPr>
        <w:spacing w:line="249" w:lineRule="auto"/>
        <w:jc w:val="both"/>
        <w:rPr>
          <w:rFonts w:hint="eastAsia" w:ascii="宋体" w:hAnsi="宋体" w:eastAsia="宋体" w:cs="宋体"/>
          <w:color w:val="auto"/>
          <w:sz w:val="24"/>
          <w:szCs w:val="24"/>
          <w:highlight w:val="none"/>
        </w:rPr>
      </w:pPr>
    </w:p>
    <w:p w14:paraId="5BA204B4">
      <w:pPr>
        <w:tabs>
          <w:tab w:val="left" w:pos="6922"/>
        </w:tabs>
        <w:spacing w:before="91" w:line="377" w:lineRule="auto"/>
        <w:ind w:left="6489" w:hanging="29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评标委员会负责人：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070199EE">
      <w:pPr>
        <w:tabs>
          <w:tab w:val="left" w:pos="6922"/>
        </w:tabs>
        <w:spacing w:before="91" w:line="377" w:lineRule="auto"/>
        <w:ind w:left="105" w:leftChars="50" w:firstLine="115" w:firstLine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7A3EAE4B">
      <w:pPr>
        <w:jc w:val="both"/>
        <w:rPr>
          <w:rFonts w:hint="eastAsia" w:ascii="宋体" w:hAnsi="宋体" w:eastAsia="宋体" w:cs="宋体"/>
          <w:color w:val="auto"/>
          <w:highlight w:val="none"/>
        </w:rPr>
        <w:sectPr>
          <w:footerReference r:id="rId8" w:type="default"/>
          <w:pgSz w:w="11906" w:h="16839"/>
          <w:pgMar w:top="1418" w:right="1559" w:bottom="1418" w:left="1474" w:header="0" w:footer="1035" w:gutter="0"/>
          <w:cols w:space="720" w:num="1"/>
        </w:sectPr>
      </w:pPr>
    </w:p>
    <w:p w14:paraId="78529D82">
      <w:pPr>
        <w:spacing w:before="157" w:line="220" w:lineRule="auto"/>
        <w:ind w:left="314"/>
        <w:jc w:val="both"/>
        <w:outlineLvl w:val="1"/>
        <w:rPr>
          <w:rFonts w:hint="eastAsia" w:ascii="宋体" w:hAnsi="宋体" w:eastAsia="宋体" w:cs="宋体"/>
          <w:color w:val="auto"/>
          <w:sz w:val="28"/>
          <w:szCs w:val="28"/>
          <w:highlight w:val="none"/>
        </w:rPr>
      </w:pPr>
      <w:bookmarkStart w:id="41" w:name="_bookmark7"/>
      <w:bookmarkEnd w:id="41"/>
      <w:r>
        <w:rPr>
          <w:rFonts w:hint="eastAsia" w:ascii="宋体" w:hAnsi="宋体" w:eastAsia="宋体" w:cs="宋体"/>
          <w:color w:val="auto"/>
          <w:sz w:val="28"/>
          <w:szCs w:val="28"/>
          <w:highlight w:val="none"/>
        </w:rPr>
        <w:t>附表三：问题的澄清</w:t>
      </w:r>
    </w:p>
    <w:p w14:paraId="02EA6302">
      <w:pPr>
        <w:spacing w:line="264" w:lineRule="auto"/>
        <w:jc w:val="both"/>
        <w:rPr>
          <w:rFonts w:hint="eastAsia" w:ascii="宋体" w:hAnsi="宋体" w:eastAsia="宋体" w:cs="宋体"/>
          <w:color w:val="auto"/>
          <w:highlight w:val="none"/>
        </w:rPr>
      </w:pPr>
    </w:p>
    <w:p w14:paraId="58537553">
      <w:pPr>
        <w:spacing w:line="264" w:lineRule="auto"/>
        <w:jc w:val="both"/>
        <w:rPr>
          <w:rFonts w:hint="eastAsia" w:ascii="宋体" w:hAnsi="宋体" w:eastAsia="宋体" w:cs="宋体"/>
          <w:color w:val="auto"/>
          <w:highlight w:val="none"/>
        </w:rPr>
      </w:pPr>
    </w:p>
    <w:p w14:paraId="72E13E26">
      <w:pPr>
        <w:spacing w:line="264" w:lineRule="auto"/>
        <w:jc w:val="both"/>
        <w:rPr>
          <w:rFonts w:hint="eastAsia" w:ascii="宋体" w:hAnsi="宋体" w:eastAsia="宋体" w:cs="宋体"/>
          <w:color w:val="auto"/>
          <w:highlight w:val="none"/>
        </w:rPr>
      </w:pPr>
    </w:p>
    <w:p w14:paraId="21E9319B">
      <w:pPr>
        <w:spacing w:before="91" w:line="221" w:lineRule="auto"/>
        <w:ind w:firstLine="3220" w:firstLineChars="115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问题的澄清</w:t>
      </w:r>
    </w:p>
    <w:p w14:paraId="3D0B3243">
      <w:pPr>
        <w:spacing w:before="222" w:line="221" w:lineRule="auto"/>
        <w:ind w:left="441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p w14:paraId="765AAF2E">
      <w:pPr>
        <w:tabs>
          <w:tab w:val="left" w:pos="761"/>
        </w:tabs>
        <w:spacing w:line="360" w:lineRule="auto"/>
        <w:ind w:firstLine="120" w:firstLineChars="50"/>
        <w:jc w:val="both"/>
        <w:rPr>
          <w:rFonts w:hint="eastAsia" w:ascii="宋体" w:hAnsi="宋体" w:eastAsia="宋体" w:cs="宋体"/>
          <w:color w:val="auto"/>
          <w:sz w:val="24"/>
          <w:szCs w:val="24"/>
          <w:highlight w:val="none"/>
          <w:u w:val="single"/>
        </w:rPr>
      </w:pPr>
    </w:p>
    <w:p w14:paraId="0002936B">
      <w:pPr>
        <w:tabs>
          <w:tab w:val="left" w:pos="761"/>
        </w:tabs>
        <w:spacing w:line="360" w:lineRule="auto"/>
        <w:ind w:firstLine="120" w:firstLine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(项目名称)标段招标评标委员会：</w:t>
      </w:r>
    </w:p>
    <w:p w14:paraId="184B071C">
      <w:pPr>
        <w:spacing w:line="360" w:lineRule="auto"/>
        <w:ind w:left="60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)已收悉，现澄清如下：</w:t>
      </w:r>
    </w:p>
    <w:p w14:paraId="591783AD">
      <w:pPr>
        <w:spacing w:line="360" w:lineRule="auto"/>
        <w:ind w:left="1135"/>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w:t>
      </w:r>
    </w:p>
    <w:p w14:paraId="73BB80D4">
      <w:pPr>
        <w:spacing w:line="360" w:lineRule="auto"/>
        <w:ind w:left="113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p>
    <w:p w14:paraId="135E9934">
      <w:pPr>
        <w:spacing w:before="234" w:line="443" w:lineRule="exact"/>
        <w:ind w:left="1150"/>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4CB57803">
      <w:pPr>
        <w:spacing w:line="250" w:lineRule="auto"/>
        <w:jc w:val="both"/>
        <w:rPr>
          <w:rFonts w:hint="eastAsia" w:ascii="宋体" w:hAnsi="宋体" w:eastAsia="宋体" w:cs="宋体"/>
          <w:color w:val="auto"/>
          <w:sz w:val="24"/>
          <w:szCs w:val="24"/>
          <w:highlight w:val="none"/>
        </w:rPr>
      </w:pPr>
    </w:p>
    <w:p w14:paraId="5F87D1BF">
      <w:pPr>
        <w:spacing w:line="250" w:lineRule="auto"/>
        <w:jc w:val="both"/>
        <w:rPr>
          <w:rFonts w:hint="eastAsia" w:ascii="宋体" w:hAnsi="宋体" w:eastAsia="宋体" w:cs="宋体"/>
          <w:color w:val="auto"/>
          <w:sz w:val="24"/>
          <w:szCs w:val="24"/>
          <w:highlight w:val="none"/>
        </w:rPr>
      </w:pPr>
    </w:p>
    <w:p w14:paraId="0F84F059">
      <w:pPr>
        <w:spacing w:line="250" w:lineRule="auto"/>
        <w:jc w:val="both"/>
        <w:rPr>
          <w:rFonts w:hint="eastAsia" w:ascii="宋体" w:hAnsi="宋体" w:eastAsia="宋体" w:cs="宋体"/>
          <w:color w:val="auto"/>
          <w:sz w:val="24"/>
          <w:szCs w:val="24"/>
          <w:highlight w:val="none"/>
        </w:rPr>
      </w:pPr>
    </w:p>
    <w:p w14:paraId="32814245">
      <w:pPr>
        <w:spacing w:line="250" w:lineRule="auto"/>
        <w:jc w:val="both"/>
        <w:rPr>
          <w:rFonts w:hint="eastAsia" w:ascii="宋体" w:hAnsi="宋体" w:eastAsia="宋体" w:cs="宋体"/>
          <w:color w:val="auto"/>
          <w:sz w:val="24"/>
          <w:szCs w:val="24"/>
          <w:highlight w:val="none"/>
        </w:rPr>
      </w:pPr>
    </w:p>
    <w:p w14:paraId="6511DFA0">
      <w:pPr>
        <w:spacing w:line="250" w:lineRule="auto"/>
        <w:jc w:val="both"/>
        <w:rPr>
          <w:rFonts w:hint="eastAsia" w:ascii="宋体" w:hAnsi="宋体" w:eastAsia="宋体" w:cs="宋体"/>
          <w:color w:val="auto"/>
          <w:sz w:val="24"/>
          <w:szCs w:val="24"/>
          <w:highlight w:val="none"/>
        </w:rPr>
      </w:pPr>
    </w:p>
    <w:p w14:paraId="5615A922">
      <w:pPr>
        <w:spacing w:line="250" w:lineRule="auto"/>
        <w:jc w:val="both"/>
        <w:rPr>
          <w:rFonts w:hint="eastAsia" w:ascii="宋体" w:hAnsi="宋体" w:eastAsia="宋体" w:cs="宋体"/>
          <w:color w:val="auto"/>
          <w:sz w:val="24"/>
          <w:szCs w:val="24"/>
          <w:highlight w:val="none"/>
        </w:rPr>
      </w:pPr>
    </w:p>
    <w:p w14:paraId="47A106C2">
      <w:pPr>
        <w:spacing w:line="250" w:lineRule="auto"/>
        <w:jc w:val="both"/>
        <w:rPr>
          <w:rFonts w:hint="eastAsia" w:ascii="宋体" w:hAnsi="宋体" w:eastAsia="宋体" w:cs="宋体"/>
          <w:color w:val="auto"/>
          <w:sz w:val="24"/>
          <w:szCs w:val="24"/>
          <w:highlight w:val="none"/>
        </w:rPr>
      </w:pPr>
    </w:p>
    <w:p w14:paraId="41EE8375">
      <w:pPr>
        <w:spacing w:line="250" w:lineRule="auto"/>
        <w:jc w:val="both"/>
        <w:rPr>
          <w:rFonts w:hint="eastAsia" w:ascii="宋体" w:hAnsi="宋体" w:eastAsia="宋体" w:cs="宋体"/>
          <w:color w:val="auto"/>
          <w:sz w:val="24"/>
          <w:szCs w:val="24"/>
          <w:highlight w:val="none"/>
        </w:rPr>
      </w:pPr>
    </w:p>
    <w:p w14:paraId="4287FBDD">
      <w:pPr>
        <w:spacing w:line="251" w:lineRule="auto"/>
        <w:jc w:val="both"/>
        <w:rPr>
          <w:rFonts w:hint="eastAsia" w:ascii="宋体" w:hAnsi="宋体" w:eastAsia="宋体" w:cs="宋体"/>
          <w:color w:val="auto"/>
          <w:sz w:val="24"/>
          <w:szCs w:val="24"/>
          <w:highlight w:val="none"/>
        </w:rPr>
      </w:pPr>
    </w:p>
    <w:p w14:paraId="0394D2DB">
      <w:pPr>
        <w:spacing w:before="92" w:line="369" w:lineRule="auto"/>
        <w:ind w:left="2792" w:right="19"/>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(盖章)</w:t>
      </w:r>
    </w:p>
    <w:p w14:paraId="5C4FF9A6">
      <w:pPr>
        <w:spacing w:before="92" w:line="369" w:lineRule="auto"/>
        <w:ind w:left="120" w:right="19" w:hanging="120"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241319F0">
      <w:pPr>
        <w:spacing w:before="92" w:line="369" w:lineRule="auto"/>
        <w:ind w:left="115" w:right="19" w:hanging="115"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02D7BEE0">
      <w:pPr>
        <w:jc w:val="both"/>
        <w:rPr>
          <w:rFonts w:hint="eastAsia" w:ascii="宋体" w:hAnsi="宋体" w:eastAsia="宋体" w:cs="宋体"/>
          <w:color w:val="auto"/>
          <w:highlight w:val="none"/>
        </w:rPr>
        <w:sectPr>
          <w:footerReference r:id="rId9" w:type="default"/>
          <w:pgSz w:w="11906" w:h="16839"/>
          <w:pgMar w:top="1418" w:right="1559" w:bottom="1418" w:left="1474" w:header="0" w:footer="1035" w:gutter="0"/>
          <w:cols w:space="720" w:num="1"/>
        </w:sectPr>
      </w:pPr>
    </w:p>
    <w:p w14:paraId="4F241DCF">
      <w:pPr>
        <w:spacing w:before="91" w:line="220" w:lineRule="auto"/>
        <w:jc w:val="both"/>
        <w:outlineLvl w:val="1"/>
        <w:rPr>
          <w:rFonts w:hint="eastAsia" w:ascii="宋体" w:hAnsi="宋体" w:eastAsia="宋体" w:cs="宋体"/>
          <w:color w:val="auto"/>
          <w:sz w:val="28"/>
          <w:szCs w:val="28"/>
          <w:highlight w:val="none"/>
        </w:rPr>
      </w:pPr>
      <w:bookmarkStart w:id="42" w:name="_bookmark8"/>
      <w:bookmarkEnd w:id="42"/>
      <w:r>
        <w:rPr>
          <w:rFonts w:hint="eastAsia" w:ascii="宋体" w:hAnsi="宋体" w:eastAsia="宋体" w:cs="宋体"/>
          <w:color w:val="auto"/>
          <w:sz w:val="28"/>
          <w:szCs w:val="28"/>
          <w:highlight w:val="none"/>
        </w:rPr>
        <w:t>附表四：中标通知书</w:t>
      </w:r>
    </w:p>
    <w:p w14:paraId="291471F8">
      <w:pPr>
        <w:spacing w:before="266" w:line="227" w:lineRule="auto"/>
        <w:ind w:left="442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中标通知书</w:t>
      </w:r>
    </w:p>
    <w:p w14:paraId="7DC5C15F">
      <w:pPr>
        <w:spacing w:before="157" w:line="358" w:lineRule="auto"/>
        <w:ind w:left="237" w:leftChars="113" w:right="53" w:rightChars="0" w:firstLine="458" w:firstLineChars="19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459B0302">
      <w:pPr>
        <w:jc w:val="both"/>
        <w:rPr>
          <w:rFonts w:hint="eastAsia" w:ascii="宋体" w:hAnsi="宋体" w:eastAsia="宋体" w:cs="宋体"/>
          <w:color w:val="auto"/>
          <w:highlight w:val="none"/>
        </w:rPr>
      </w:pPr>
    </w:p>
    <w:p w14:paraId="2AF266B4">
      <w:pPr>
        <w:spacing w:line="27" w:lineRule="exact"/>
        <w:jc w:val="both"/>
        <w:rPr>
          <w:rFonts w:hint="eastAsia" w:ascii="宋体" w:hAnsi="宋体" w:eastAsia="宋体" w:cs="宋体"/>
          <w:color w:val="auto"/>
          <w:highlight w:val="none"/>
        </w:rPr>
      </w:pPr>
    </w:p>
    <w:tbl>
      <w:tblPr>
        <w:tblStyle w:val="53"/>
        <w:tblW w:w="856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6438"/>
      </w:tblGrid>
      <w:tr w14:paraId="02C430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40" w:hRule="atLeast"/>
        </w:trPr>
        <w:tc>
          <w:tcPr>
            <w:tcW w:w="2129" w:type="dxa"/>
            <w:noWrap w:val="0"/>
            <w:vAlign w:val="top"/>
          </w:tcPr>
          <w:p w14:paraId="1A12F149">
            <w:pPr>
              <w:spacing w:before="200"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招标项目名称</w:t>
            </w:r>
          </w:p>
        </w:tc>
        <w:tc>
          <w:tcPr>
            <w:tcW w:w="6438" w:type="dxa"/>
            <w:noWrap w:val="0"/>
            <w:vAlign w:val="top"/>
          </w:tcPr>
          <w:p w14:paraId="5F46A3B8">
            <w:pPr>
              <w:jc w:val="both"/>
              <w:rPr>
                <w:rFonts w:hint="eastAsia" w:ascii="宋体" w:hAnsi="宋体" w:eastAsia="宋体" w:cs="宋体"/>
                <w:color w:val="auto"/>
                <w:highlight w:val="none"/>
              </w:rPr>
            </w:pPr>
          </w:p>
        </w:tc>
      </w:tr>
      <w:tr w14:paraId="15E1E5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noWrap w:val="0"/>
            <w:vAlign w:val="top"/>
          </w:tcPr>
          <w:p w14:paraId="1F541383">
            <w:pPr>
              <w:spacing w:before="138"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招标人名称</w:t>
            </w:r>
          </w:p>
        </w:tc>
        <w:tc>
          <w:tcPr>
            <w:tcW w:w="6438" w:type="dxa"/>
            <w:noWrap w:val="0"/>
            <w:vAlign w:val="top"/>
          </w:tcPr>
          <w:p w14:paraId="28A77FA9">
            <w:pPr>
              <w:jc w:val="both"/>
              <w:rPr>
                <w:rFonts w:hint="eastAsia" w:ascii="宋体" w:hAnsi="宋体" w:eastAsia="宋体" w:cs="宋体"/>
                <w:color w:val="auto"/>
                <w:highlight w:val="none"/>
              </w:rPr>
            </w:pPr>
          </w:p>
        </w:tc>
      </w:tr>
      <w:tr w14:paraId="10BB78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noWrap w:val="0"/>
            <w:vAlign w:val="top"/>
          </w:tcPr>
          <w:p w14:paraId="21682F2E">
            <w:pPr>
              <w:spacing w:before="159"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中标人名称</w:t>
            </w:r>
          </w:p>
        </w:tc>
        <w:tc>
          <w:tcPr>
            <w:tcW w:w="6438" w:type="dxa"/>
            <w:noWrap w:val="0"/>
            <w:vAlign w:val="top"/>
          </w:tcPr>
          <w:p w14:paraId="7D0D5E4F">
            <w:pPr>
              <w:jc w:val="both"/>
              <w:rPr>
                <w:rFonts w:hint="eastAsia" w:ascii="宋体" w:hAnsi="宋体" w:eastAsia="宋体" w:cs="宋体"/>
                <w:color w:val="auto"/>
                <w:highlight w:val="none"/>
              </w:rPr>
            </w:pPr>
          </w:p>
        </w:tc>
      </w:tr>
      <w:tr w14:paraId="10B01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noWrap w:val="0"/>
            <w:vAlign w:val="top"/>
          </w:tcPr>
          <w:p w14:paraId="70B5F53F">
            <w:pPr>
              <w:spacing w:before="116"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项目负责人</w:t>
            </w:r>
          </w:p>
        </w:tc>
        <w:tc>
          <w:tcPr>
            <w:tcW w:w="6438" w:type="dxa"/>
            <w:noWrap w:val="0"/>
            <w:vAlign w:val="top"/>
          </w:tcPr>
          <w:p w14:paraId="11DC6C02">
            <w:pPr>
              <w:jc w:val="both"/>
              <w:rPr>
                <w:rFonts w:hint="eastAsia" w:ascii="宋体" w:hAnsi="宋体" w:eastAsia="宋体" w:cs="宋体"/>
                <w:color w:val="auto"/>
                <w:highlight w:val="none"/>
              </w:rPr>
            </w:pPr>
          </w:p>
        </w:tc>
      </w:tr>
      <w:tr w14:paraId="3D3F0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noWrap w:val="0"/>
            <w:vAlign w:val="top"/>
          </w:tcPr>
          <w:p w14:paraId="7FBA0D10">
            <w:pPr>
              <w:spacing w:before="267"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中标金额</w:t>
            </w:r>
          </w:p>
        </w:tc>
        <w:tc>
          <w:tcPr>
            <w:tcW w:w="6438" w:type="dxa"/>
            <w:noWrap w:val="0"/>
            <w:vAlign w:val="top"/>
          </w:tcPr>
          <w:p w14:paraId="25CF74FE">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(大写)：</w:t>
            </w:r>
          </w:p>
          <w:p w14:paraId="6D2301FD">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(小写)：</w:t>
            </w:r>
          </w:p>
        </w:tc>
      </w:tr>
      <w:tr w14:paraId="4415A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noWrap w:val="0"/>
            <w:vAlign w:val="top"/>
          </w:tcPr>
          <w:p w14:paraId="7D9A79A6">
            <w:pPr>
              <w:spacing w:before="178"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中标内容范围</w:t>
            </w:r>
          </w:p>
        </w:tc>
        <w:tc>
          <w:tcPr>
            <w:tcW w:w="6438" w:type="dxa"/>
            <w:noWrap w:val="0"/>
            <w:vAlign w:val="top"/>
          </w:tcPr>
          <w:p w14:paraId="1CBDC5AE">
            <w:pPr>
              <w:jc w:val="both"/>
              <w:rPr>
                <w:rFonts w:hint="eastAsia" w:ascii="宋体" w:hAnsi="宋体" w:eastAsia="宋体" w:cs="宋体"/>
                <w:color w:val="auto"/>
                <w:highlight w:val="none"/>
              </w:rPr>
            </w:pPr>
          </w:p>
        </w:tc>
      </w:tr>
      <w:tr w14:paraId="74C52F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noWrap w:val="0"/>
            <w:vAlign w:val="top"/>
          </w:tcPr>
          <w:p w14:paraId="4F55FAF9">
            <w:pPr>
              <w:spacing w:before="116" w:line="468" w:lineRule="exact"/>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position w:val="17"/>
                <w:sz w:val="23"/>
                <w:szCs w:val="23"/>
                <w:highlight w:val="none"/>
              </w:rPr>
              <w:t>中标人与招标人签订</w:t>
            </w:r>
          </w:p>
          <w:p w14:paraId="3922616C">
            <w:pPr>
              <w:spacing w:before="1"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中标合同期限</w:t>
            </w:r>
          </w:p>
        </w:tc>
        <w:tc>
          <w:tcPr>
            <w:tcW w:w="6438" w:type="dxa"/>
            <w:noWrap w:val="0"/>
            <w:vAlign w:val="top"/>
          </w:tcPr>
          <w:p w14:paraId="63AC5FDA">
            <w:pPr>
              <w:jc w:val="both"/>
              <w:rPr>
                <w:rFonts w:hint="eastAsia" w:ascii="宋体" w:hAnsi="宋体" w:eastAsia="宋体" w:cs="宋体"/>
                <w:color w:val="auto"/>
                <w:highlight w:val="none"/>
              </w:rPr>
            </w:pPr>
          </w:p>
        </w:tc>
      </w:tr>
      <w:tr w14:paraId="58636B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noWrap w:val="0"/>
            <w:vAlign w:val="top"/>
          </w:tcPr>
          <w:p w14:paraId="2EBED150">
            <w:pPr>
              <w:spacing w:before="196"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签订中标合同地址</w:t>
            </w:r>
          </w:p>
        </w:tc>
        <w:tc>
          <w:tcPr>
            <w:tcW w:w="6438" w:type="dxa"/>
            <w:noWrap w:val="0"/>
            <w:vAlign w:val="top"/>
          </w:tcPr>
          <w:p w14:paraId="7A51ECCE">
            <w:pPr>
              <w:jc w:val="both"/>
              <w:rPr>
                <w:rFonts w:hint="eastAsia" w:ascii="宋体" w:hAnsi="宋体" w:eastAsia="宋体" w:cs="宋体"/>
                <w:color w:val="auto"/>
                <w:highlight w:val="none"/>
              </w:rPr>
            </w:pPr>
          </w:p>
        </w:tc>
      </w:tr>
      <w:tr w14:paraId="6AE42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noWrap w:val="0"/>
            <w:vAlign w:val="top"/>
          </w:tcPr>
          <w:p w14:paraId="5C33F6E5">
            <w:pPr>
              <w:spacing w:before="159"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其他需说明内容</w:t>
            </w:r>
          </w:p>
        </w:tc>
        <w:tc>
          <w:tcPr>
            <w:tcW w:w="6438" w:type="dxa"/>
            <w:noWrap w:val="0"/>
            <w:vAlign w:val="top"/>
          </w:tcPr>
          <w:p w14:paraId="6B460546">
            <w:pPr>
              <w:jc w:val="both"/>
              <w:rPr>
                <w:rFonts w:hint="eastAsia" w:ascii="宋体" w:hAnsi="宋体" w:eastAsia="宋体" w:cs="宋体"/>
                <w:color w:val="auto"/>
                <w:highlight w:val="none"/>
              </w:rPr>
            </w:pPr>
          </w:p>
        </w:tc>
      </w:tr>
    </w:tbl>
    <w:p w14:paraId="77B7F8F0">
      <w:pPr>
        <w:spacing w:line="245" w:lineRule="auto"/>
        <w:jc w:val="both"/>
        <w:rPr>
          <w:rFonts w:hint="eastAsia" w:ascii="宋体" w:hAnsi="宋体" w:eastAsia="宋体" w:cs="宋体"/>
          <w:color w:val="auto"/>
          <w:highlight w:val="none"/>
        </w:rPr>
      </w:pPr>
    </w:p>
    <w:p w14:paraId="2873B9B0">
      <w:pPr>
        <w:spacing w:line="246" w:lineRule="auto"/>
        <w:jc w:val="both"/>
        <w:rPr>
          <w:rFonts w:hint="eastAsia" w:ascii="宋体" w:hAnsi="宋体" w:eastAsia="宋体" w:cs="宋体"/>
          <w:color w:val="auto"/>
          <w:highlight w:val="none"/>
        </w:rPr>
      </w:pPr>
    </w:p>
    <w:p w14:paraId="426C30D7">
      <w:pPr>
        <w:spacing w:line="246" w:lineRule="auto"/>
        <w:jc w:val="both"/>
        <w:rPr>
          <w:rFonts w:hint="eastAsia" w:ascii="宋体" w:hAnsi="宋体" w:eastAsia="宋体" w:cs="宋体"/>
          <w:color w:val="auto"/>
          <w:highlight w:val="none"/>
        </w:rPr>
      </w:pPr>
    </w:p>
    <w:p w14:paraId="66123050">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6985A237">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经办人：</w:t>
      </w:r>
      <w:r>
        <w:rPr>
          <w:rFonts w:hint="eastAsia" w:ascii="宋体" w:hAnsi="宋体" w:eastAsia="宋体" w:cs="宋体"/>
          <w:color w:val="auto"/>
          <w:sz w:val="23"/>
          <w:szCs w:val="23"/>
          <w:highlight w:val="none"/>
          <w:u w:val="single"/>
        </w:rPr>
        <w:t xml:space="preserve">      </w:t>
      </w:r>
    </w:p>
    <w:p w14:paraId="7F3644C2">
      <w:pPr>
        <w:spacing w:before="2" w:line="500"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14:paraId="496C62BC">
      <w:pPr>
        <w:spacing w:before="2" w:line="500"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传真：</w:t>
      </w:r>
      <w:r>
        <w:rPr>
          <w:rFonts w:hint="eastAsia" w:ascii="宋体" w:hAnsi="宋体" w:eastAsia="宋体" w:cs="宋体"/>
          <w:color w:val="auto"/>
          <w:sz w:val="23"/>
          <w:szCs w:val="23"/>
          <w:highlight w:val="none"/>
          <w:u w:val="single"/>
        </w:rPr>
        <w:t xml:space="preserve">       </w:t>
      </w:r>
    </w:p>
    <w:p w14:paraId="042ED68E">
      <w:pPr>
        <w:tabs>
          <w:tab w:val="left" w:pos="7447"/>
        </w:tabs>
        <w:spacing w:line="228" w:lineRule="auto"/>
        <w:ind w:left="6837" w:hanging="1035"/>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AEB7ECB">
      <w:pPr>
        <w:jc w:val="both"/>
        <w:rPr>
          <w:rFonts w:hint="eastAsia" w:ascii="宋体" w:hAnsi="宋体" w:eastAsia="宋体" w:cs="宋体"/>
          <w:color w:val="auto"/>
          <w:highlight w:val="none"/>
        </w:rPr>
        <w:sectPr>
          <w:footerReference r:id="rId10" w:type="default"/>
          <w:pgSz w:w="11906" w:h="16839"/>
          <w:pgMar w:top="1418" w:right="1559" w:bottom="1418" w:left="1474" w:header="0" w:footer="1035" w:gutter="0"/>
          <w:cols w:space="720" w:num="1"/>
        </w:sectPr>
      </w:pPr>
    </w:p>
    <w:p w14:paraId="5D0D9051">
      <w:pPr>
        <w:spacing w:before="91" w:line="220" w:lineRule="auto"/>
        <w:jc w:val="both"/>
        <w:outlineLvl w:val="1"/>
        <w:rPr>
          <w:rFonts w:hint="eastAsia" w:ascii="宋体" w:hAnsi="宋体" w:eastAsia="宋体" w:cs="宋体"/>
          <w:color w:val="auto"/>
          <w:sz w:val="28"/>
          <w:szCs w:val="28"/>
          <w:highlight w:val="none"/>
        </w:rPr>
      </w:pPr>
      <w:bookmarkStart w:id="43" w:name="_bookmark10"/>
      <w:bookmarkEnd w:id="43"/>
      <w:r>
        <w:rPr>
          <w:rFonts w:hint="eastAsia" w:ascii="宋体" w:hAnsi="宋体" w:eastAsia="宋体" w:cs="宋体"/>
          <w:color w:val="auto"/>
          <w:sz w:val="28"/>
          <w:szCs w:val="28"/>
          <w:highlight w:val="none"/>
        </w:rPr>
        <w:t>附表五：确认通知</w:t>
      </w:r>
    </w:p>
    <w:p w14:paraId="5D278FB5">
      <w:pPr>
        <w:spacing w:line="349" w:lineRule="auto"/>
        <w:jc w:val="both"/>
        <w:rPr>
          <w:rFonts w:hint="eastAsia" w:ascii="宋体" w:hAnsi="宋体" w:eastAsia="宋体" w:cs="宋体"/>
          <w:color w:val="auto"/>
          <w:highlight w:val="none"/>
        </w:rPr>
      </w:pPr>
    </w:p>
    <w:p w14:paraId="1578CDB0">
      <w:pPr>
        <w:spacing w:line="350" w:lineRule="auto"/>
        <w:jc w:val="both"/>
        <w:rPr>
          <w:rFonts w:hint="eastAsia" w:ascii="宋体" w:hAnsi="宋体" w:eastAsia="宋体" w:cs="宋体"/>
          <w:color w:val="auto"/>
          <w:highlight w:val="none"/>
        </w:rPr>
      </w:pPr>
    </w:p>
    <w:p w14:paraId="266E490C">
      <w:pPr>
        <w:spacing w:before="91" w:line="221" w:lineRule="auto"/>
        <w:ind w:left="4094"/>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确认通知</w:t>
      </w:r>
    </w:p>
    <w:p w14:paraId="3160ADB2">
      <w:pPr>
        <w:spacing w:line="345" w:lineRule="auto"/>
        <w:jc w:val="both"/>
        <w:rPr>
          <w:rFonts w:hint="eastAsia" w:ascii="宋体" w:hAnsi="宋体" w:eastAsia="宋体" w:cs="宋体"/>
          <w:color w:val="auto"/>
          <w:highlight w:val="none"/>
        </w:rPr>
      </w:pPr>
    </w:p>
    <w:p w14:paraId="6C0133D3">
      <w:pPr>
        <w:spacing w:line="345" w:lineRule="auto"/>
        <w:jc w:val="both"/>
        <w:rPr>
          <w:rFonts w:hint="eastAsia" w:ascii="宋体" w:hAnsi="宋体" w:eastAsia="宋体" w:cs="宋体"/>
          <w:color w:val="auto"/>
          <w:highlight w:val="none"/>
        </w:rPr>
      </w:pPr>
    </w:p>
    <w:p w14:paraId="42C7703A">
      <w:pPr>
        <w:tabs>
          <w:tab w:val="left" w:pos="183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(招标人名称):</w:t>
      </w:r>
    </w:p>
    <w:p w14:paraId="591705FD">
      <w:pPr>
        <w:spacing w:before="223" w:line="375" w:lineRule="auto"/>
        <w:ind w:left="10" w:right="72" w:firstLine="56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我方已接到你方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日发出的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标段招标关于中标结果的通知，我方已于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日收到。</w:t>
      </w:r>
    </w:p>
    <w:p w14:paraId="6BE5B063">
      <w:pPr>
        <w:spacing w:line="441" w:lineRule="auto"/>
        <w:jc w:val="both"/>
        <w:rPr>
          <w:rFonts w:hint="eastAsia" w:ascii="宋体" w:hAnsi="宋体" w:eastAsia="宋体" w:cs="宋体"/>
          <w:color w:val="auto"/>
          <w:sz w:val="24"/>
          <w:szCs w:val="24"/>
          <w:highlight w:val="none"/>
        </w:rPr>
      </w:pPr>
    </w:p>
    <w:p w14:paraId="01147137">
      <w:pPr>
        <w:spacing w:before="91" w:line="221" w:lineRule="auto"/>
        <w:ind w:left="5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特此确认。</w:t>
      </w:r>
    </w:p>
    <w:p w14:paraId="4553A095">
      <w:pPr>
        <w:spacing w:line="249" w:lineRule="auto"/>
        <w:jc w:val="both"/>
        <w:rPr>
          <w:rFonts w:hint="eastAsia" w:ascii="宋体" w:hAnsi="宋体" w:eastAsia="宋体" w:cs="宋体"/>
          <w:color w:val="auto"/>
          <w:sz w:val="24"/>
          <w:szCs w:val="24"/>
          <w:highlight w:val="none"/>
        </w:rPr>
      </w:pPr>
    </w:p>
    <w:p w14:paraId="708D32C5">
      <w:pPr>
        <w:spacing w:line="249" w:lineRule="auto"/>
        <w:jc w:val="both"/>
        <w:rPr>
          <w:rFonts w:hint="eastAsia" w:ascii="宋体" w:hAnsi="宋体" w:eastAsia="宋体" w:cs="宋体"/>
          <w:color w:val="auto"/>
          <w:sz w:val="24"/>
          <w:szCs w:val="24"/>
          <w:highlight w:val="none"/>
        </w:rPr>
      </w:pPr>
    </w:p>
    <w:p w14:paraId="37B83498">
      <w:pPr>
        <w:spacing w:line="249" w:lineRule="auto"/>
        <w:jc w:val="both"/>
        <w:rPr>
          <w:rFonts w:hint="eastAsia" w:ascii="宋体" w:hAnsi="宋体" w:eastAsia="宋体" w:cs="宋体"/>
          <w:color w:val="auto"/>
          <w:sz w:val="24"/>
          <w:szCs w:val="24"/>
          <w:highlight w:val="none"/>
        </w:rPr>
      </w:pPr>
    </w:p>
    <w:p w14:paraId="622FF58F">
      <w:pPr>
        <w:spacing w:line="249" w:lineRule="auto"/>
        <w:jc w:val="both"/>
        <w:rPr>
          <w:rFonts w:hint="eastAsia" w:ascii="宋体" w:hAnsi="宋体" w:eastAsia="宋体" w:cs="宋体"/>
          <w:color w:val="auto"/>
          <w:sz w:val="24"/>
          <w:szCs w:val="24"/>
          <w:highlight w:val="none"/>
        </w:rPr>
      </w:pPr>
    </w:p>
    <w:p w14:paraId="5221ACD7">
      <w:pPr>
        <w:spacing w:line="250" w:lineRule="auto"/>
        <w:jc w:val="both"/>
        <w:rPr>
          <w:rFonts w:hint="eastAsia" w:ascii="宋体" w:hAnsi="宋体" w:eastAsia="宋体" w:cs="宋体"/>
          <w:color w:val="auto"/>
          <w:sz w:val="24"/>
          <w:szCs w:val="24"/>
          <w:highlight w:val="none"/>
        </w:rPr>
      </w:pPr>
    </w:p>
    <w:p w14:paraId="01D0EA37">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(盖单位公章)</w:t>
      </w:r>
    </w:p>
    <w:p w14:paraId="46C31705">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1D967338">
      <w:pPr>
        <w:jc w:val="both"/>
        <w:rPr>
          <w:rFonts w:hint="eastAsia" w:ascii="宋体" w:hAnsi="宋体" w:eastAsia="宋体" w:cs="宋体"/>
          <w:color w:val="auto"/>
          <w:highlight w:val="none"/>
        </w:rPr>
        <w:sectPr>
          <w:footerReference r:id="rId11" w:type="default"/>
          <w:pgSz w:w="11906" w:h="16839"/>
          <w:pgMar w:top="1418" w:right="1559" w:bottom="1418" w:left="1474" w:header="0" w:footer="1035" w:gutter="0"/>
          <w:cols w:space="720" w:num="1"/>
        </w:sectPr>
      </w:pPr>
    </w:p>
    <w:p w14:paraId="6FFC7326">
      <w:pPr>
        <w:spacing w:line="371" w:lineRule="auto"/>
        <w:jc w:val="both"/>
        <w:rPr>
          <w:rFonts w:hint="eastAsia" w:ascii="宋体" w:hAnsi="宋体" w:eastAsia="宋体" w:cs="宋体"/>
          <w:color w:val="auto"/>
          <w:highlight w:val="none"/>
        </w:rPr>
      </w:pPr>
    </w:p>
    <w:p w14:paraId="0BCF158D">
      <w:pPr>
        <w:pStyle w:val="2"/>
        <w:jc w:val="center"/>
        <w:rPr>
          <w:rFonts w:hint="eastAsia" w:ascii="宋体" w:hAnsi="宋体" w:eastAsia="宋体" w:cs="宋体"/>
          <w:snapToGrid/>
          <w:color w:val="auto"/>
          <w:sz w:val="36"/>
          <w:szCs w:val="36"/>
          <w:highlight w:val="none"/>
        </w:rPr>
      </w:pPr>
      <w:bookmarkStart w:id="44" w:name="_bookmark11"/>
      <w:bookmarkEnd w:id="44"/>
      <w:r>
        <w:rPr>
          <w:rFonts w:hint="eastAsia" w:ascii="宋体" w:hAnsi="宋体" w:eastAsia="宋体" w:cs="宋体"/>
          <w:color w:val="auto"/>
          <w:sz w:val="31"/>
          <w:szCs w:val="31"/>
          <w:highlight w:val="none"/>
        </w:rPr>
        <w:t>第三章</w:t>
      </w:r>
      <w:r>
        <w:rPr>
          <w:rFonts w:hint="eastAsia" w:ascii="宋体" w:hAnsi="宋体" w:eastAsia="宋体" w:cs="宋体"/>
          <w:snapToGrid/>
          <w:color w:val="auto"/>
          <w:sz w:val="36"/>
          <w:szCs w:val="36"/>
          <w:highlight w:val="none"/>
        </w:rPr>
        <w:t>评标定标办法</w:t>
      </w:r>
    </w:p>
    <w:p w14:paraId="744185A2">
      <w:pPr>
        <w:widowControl w:val="0"/>
        <w:kinsoku/>
        <w:autoSpaceDE/>
        <w:autoSpaceDN/>
        <w:adjustRightInd/>
        <w:snapToGrid/>
        <w:jc w:val="both"/>
        <w:textAlignment w:val="auto"/>
        <w:rPr>
          <w:rFonts w:hint="eastAsia" w:ascii="宋体" w:hAnsi="宋体" w:eastAsia="宋体" w:cs="宋体"/>
          <w:snapToGrid/>
          <w:color w:val="auto"/>
          <w:kern w:val="2"/>
          <w:sz w:val="24"/>
          <w:szCs w:val="24"/>
          <w:highlight w:val="none"/>
        </w:rPr>
      </w:pPr>
    </w:p>
    <w:p w14:paraId="1E5DB303">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一、评标办法：</w:t>
      </w:r>
    </w:p>
    <w:p w14:paraId="5156ED7E">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color w:val="auto"/>
          <w:sz w:val="24"/>
          <w:szCs w:val="24"/>
          <w:highlight w:val="none"/>
        </w:rPr>
        <w:t>经评审的最低投标价法</w:t>
      </w:r>
    </w:p>
    <w:p w14:paraId="49717B75">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rFonts w:hint="eastAsia" w:ascii="宋体" w:hAnsi="宋体" w:eastAsia="宋体" w:cs="宋体"/>
          <w:color w:val="auto"/>
          <w:sz w:val="24"/>
          <w:szCs w:val="24"/>
          <w:highlight w:val="none"/>
        </w:rPr>
        <w:fldChar w:fldCharType="separate"/>
      </w:r>
      <w:r>
        <w:rPr>
          <w:rFonts w:hint="eastAsia" w:ascii="宋体" w:hAnsi="宋体" w:eastAsia="宋体" w:cs="宋体"/>
          <w:snapToGrid/>
          <w:color w:val="auto"/>
          <w:kern w:val="2"/>
          <w:sz w:val="24"/>
          <w:szCs w:val="24"/>
          <w:highlight w:val="none"/>
        </w:rPr>
        <w:t>综合评估法</w:t>
      </w:r>
      <w:r>
        <w:rPr>
          <w:rFonts w:hint="eastAsia" w:ascii="宋体" w:hAnsi="宋体" w:eastAsia="宋体" w:cs="宋体"/>
          <w:snapToGrid/>
          <w:color w:val="auto"/>
          <w:kern w:val="2"/>
          <w:sz w:val="24"/>
          <w:szCs w:val="24"/>
          <w:highlight w:val="none"/>
        </w:rPr>
        <w:fldChar w:fldCharType="end"/>
      </w:r>
      <w:r>
        <w:rPr>
          <w:rFonts w:hint="eastAsia" w:ascii="宋体" w:hAnsi="宋体" w:eastAsia="宋体" w:cs="宋体"/>
          <w:snapToGrid/>
          <w:color w:val="auto"/>
          <w:kern w:val="2"/>
          <w:sz w:val="24"/>
          <w:szCs w:val="24"/>
          <w:highlight w:val="none"/>
        </w:rPr>
        <w:t>（设技术标）</w:t>
      </w:r>
    </w:p>
    <w:p w14:paraId="5026D8F3">
      <w:pPr>
        <w:widowControl w:val="0"/>
        <w:kinsoku/>
        <w:autoSpaceDE/>
        <w:autoSpaceDN/>
        <w:adjustRightInd/>
        <w:snapToGrid/>
        <w:spacing w:after="120"/>
        <w:jc w:val="both"/>
        <w:textAlignment w:val="auto"/>
        <w:rPr>
          <w:rFonts w:hint="eastAsia" w:ascii="宋体" w:hAnsi="宋体" w:eastAsia="宋体" w:cs="宋体"/>
          <w:snapToGrid/>
          <w:color w:val="auto"/>
          <w:kern w:val="2"/>
          <w:sz w:val="24"/>
          <w:szCs w:val="24"/>
          <w:highlight w:val="none"/>
        </w:rPr>
      </w:pPr>
    </w:p>
    <w:p w14:paraId="47048CC8">
      <w:pPr>
        <w:widowControl w:val="0"/>
        <w:kinsoku/>
        <w:autoSpaceDE/>
        <w:autoSpaceDN/>
        <w:adjustRightInd/>
        <w:snapToGrid/>
        <w:ind w:left="420" w:left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二、定标办法：</w:t>
      </w:r>
    </w:p>
    <w:p w14:paraId="4127094E">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7F2D46AC">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票决法：由定标委员会以直接票决或者逐轮票决的方式确定中标人。</w:t>
      </w:r>
    </w:p>
    <w:p w14:paraId="220FEB47">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17B4C60D">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其他：</w:t>
      </w:r>
      <w:r>
        <w:rPr>
          <w:rFonts w:hint="eastAsia" w:ascii="宋体" w:hAnsi="宋体" w:eastAsia="宋体" w:cs="宋体"/>
          <w:snapToGrid/>
          <w:color w:val="auto"/>
          <w:kern w:val="2"/>
          <w:sz w:val="24"/>
          <w:szCs w:val="24"/>
          <w:highlight w:val="none"/>
          <w:u w:val="single"/>
        </w:rPr>
        <w:t xml:space="preserve">                                                    。</w:t>
      </w:r>
    </w:p>
    <w:p w14:paraId="0A3F8669">
      <w:pPr>
        <w:widowControl w:val="0"/>
        <w:kinsoku/>
        <w:autoSpaceDE/>
        <w:autoSpaceDN/>
        <w:adjustRightInd/>
        <w:snapToGrid/>
        <w:jc w:val="both"/>
        <w:textAlignment w:val="auto"/>
        <w:rPr>
          <w:rFonts w:hint="eastAsia" w:ascii="宋体" w:hAnsi="宋体" w:eastAsia="宋体" w:cs="宋体"/>
          <w:snapToGrid/>
          <w:color w:val="auto"/>
          <w:kern w:val="2"/>
          <w:szCs w:val="24"/>
          <w:highlight w:val="none"/>
        </w:rPr>
      </w:pPr>
    </w:p>
    <w:p w14:paraId="3D26ADF3">
      <w:pPr>
        <w:spacing w:before="101" w:line="225" w:lineRule="auto"/>
        <w:ind w:left="3188"/>
        <w:jc w:val="both"/>
        <w:outlineLvl w:val="0"/>
        <w:rPr>
          <w:rFonts w:hint="eastAsia" w:ascii="宋体" w:hAnsi="宋体" w:eastAsia="宋体" w:cs="宋体"/>
          <w:color w:val="auto"/>
          <w:highlight w:val="none"/>
        </w:rPr>
        <w:sectPr>
          <w:footerReference r:id="rId12" w:type="default"/>
          <w:pgSz w:w="11907" w:h="16840"/>
          <w:pgMar w:top="1418" w:right="1559" w:bottom="1418" w:left="1474" w:header="0" w:footer="723" w:gutter="0"/>
          <w:cols w:space="720" w:num="1"/>
        </w:sectPr>
      </w:pPr>
    </w:p>
    <w:p w14:paraId="24973A1B">
      <w:pPr>
        <w:spacing w:before="64" w:line="224" w:lineRule="auto"/>
        <w:ind w:left="3326"/>
        <w:jc w:val="both"/>
        <w:rPr>
          <w:rFonts w:hint="eastAsia" w:ascii="宋体" w:hAnsi="宋体" w:eastAsia="宋体" w:cs="宋体"/>
          <w:color w:val="auto"/>
          <w:sz w:val="31"/>
          <w:szCs w:val="31"/>
          <w:highlight w:val="none"/>
        </w:rPr>
      </w:pPr>
    </w:p>
    <w:p w14:paraId="0D53F208">
      <w:pPr>
        <w:spacing w:before="64" w:line="224" w:lineRule="auto"/>
        <w:ind w:left="3326"/>
        <w:jc w:val="both"/>
        <w:rPr>
          <w:rFonts w:hint="eastAsia" w:ascii="宋体" w:hAnsi="宋体" w:eastAsia="宋体" w:cs="宋体"/>
          <w:strike/>
          <w:dstrike w:val="0"/>
          <w:color w:val="auto"/>
          <w:sz w:val="31"/>
          <w:szCs w:val="31"/>
          <w:highlight w:val="none"/>
        </w:rPr>
      </w:pPr>
      <w:r>
        <w:rPr>
          <w:rFonts w:hint="eastAsia" w:ascii="宋体" w:hAnsi="宋体" w:eastAsia="宋体" w:cs="宋体"/>
          <w:strike/>
          <w:dstrike w:val="0"/>
          <w:color w:val="auto"/>
          <w:sz w:val="31"/>
          <w:szCs w:val="31"/>
          <w:highlight w:val="none"/>
        </w:rPr>
        <w:t>经评审的最低投标价法</w:t>
      </w:r>
    </w:p>
    <w:p w14:paraId="10FAB00F">
      <w:pPr>
        <w:spacing w:line="247" w:lineRule="auto"/>
        <w:jc w:val="both"/>
        <w:rPr>
          <w:rFonts w:hint="eastAsia" w:ascii="宋体" w:hAnsi="宋体" w:eastAsia="宋体" w:cs="宋体"/>
          <w:strike/>
          <w:dstrike w:val="0"/>
          <w:color w:val="auto"/>
          <w:highlight w:val="none"/>
        </w:rPr>
      </w:pPr>
    </w:p>
    <w:p w14:paraId="46C650D7">
      <w:pPr>
        <w:spacing w:line="248" w:lineRule="auto"/>
        <w:jc w:val="both"/>
        <w:rPr>
          <w:rFonts w:hint="eastAsia" w:ascii="宋体" w:hAnsi="宋体" w:eastAsia="宋体" w:cs="宋体"/>
          <w:strike/>
          <w:dstrike w:val="0"/>
          <w:color w:val="auto"/>
          <w:highlight w:val="none"/>
        </w:rPr>
      </w:pPr>
    </w:p>
    <w:p w14:paraId="2EE30016">
      <w:pPr>
        <w:spacing w:before="75" w:line="353" w:lineRule="auto"/>
        <w:ind w:left="2" w:right="63" w:firstLine="479"/>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根据《中华人民共和国招标投标法》、《中华人民共和国招标投标法实施条例》、《浙江省招标投标条例》、《工程建设项目施工招标投标办法》、《评标委员会和评标办法暂行规定》、《浙江省综合性评标专家库管理办法实施细则》等有关规定，制定本办法。</w:t>
      </w:r>
    </w:p>
    <w:p w14:paraId="0624443E">
      <w:pPr>
        <w:spacing w:line="394" w:lineRule="exact"/>
        <w:ind w:left="485"/>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2"/>
          <w:sz w:val="23"/>
          <w:szCs w:val="23"/>
          <w:highlight w:val="none"/>
        </w:rPr>
        <w:t>一、评标原则</w:t>
      </w:r>
    </w:p>
    <w:p w14:paraId="2AF99731">
      <w:pPr>
        <w:spacing w:before="44" w:line="228" w:lineRule="auto"/>
        <w:ind w:left="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评标应遵循公平、公正、科学、择优的原则。</w:t>
      </w:r>
    </w:p>
    <w:p w14:paraId="19D98057">
      <w:pPr>
        <w:spacing w:before="157" w:line="315" w:lineRule="exact"/>
        <w:ind w:left="485"/>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二、评标组织</w:t>
      </w:r>
    </w:p>
    <w:p w14:paraId="218A79AC">
      <w:pPr>
        <w:spacing w:before="125" w:line="353" w:lineRule="auto"/>
        <w:ind w:left="3" w:firstLine="477"/>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评标工作由招标人依法组建的评标委员会负责。评标委员会的组建见投标人须知前附表，成员为不少于5人的单数。</w:t>
      </w:r>
    </w:p>
    <w:p w14:paraId="2517FDF7">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6C9217B1">
      <w:pPr>
        <w:spacing w:before="1" w:line="352" w:lineRule="auto"/>
        <w:ind w:left="2" w:right="104" w:firstLine="478"/>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评标委员会应当按照招标文件确定的评标标准和方法，客观、公正对投标文件进行评审和比较，招标文件没有规定的评标标准和方法不得作为评标的依据。</w:t>
      </w:r>
    </w:p>
    <w:p w14:paraId="53AD39C6">
      <w:pPr>
        <w:spacing w:before="1" w:line="353" w:lineRule="auto"/>
        <w:ind w:left="2" w:right="65" w:firstLine="478"/>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评标委员会对投标文件作出的评审结论，应当符合有关法律、法规、规章和招标文件的规定。</w:t>
      </w:r>
    </w:p>
    <w:p w14:paraId="79BEE2AB">
      <w:pPr>
        <w:spacing w:line="420" w:lineRule="exact"/>
        <w:ind w:firstLine="460" w:firstLineChars="20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三、评标程序</w:t>
      </w:r>
    </w:p>
    <w:p w14:paraId="4EE22341">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1.熟悉招标文件和评标办法；</w:t>
      </w:r>
    </w:p>
    <w:p w14:paraId="15C8A917">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2.投标文件的符合性评审；</w:t>
      </w:r>
    </w:p>
    <w:p w14:paraId="14C70DDD">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3.投标文件的技术标评审；</w:t>
      </w:r>
    </w:p>
    <w:p w14:paraId="0FA6604B">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4.投标文件的商务标评审；</w:t>
      </w:r>
    </w:p>
    <w:p w14:paraId="5BE601CC">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5.必要时对投标文件中的问题进行询标，包括拟作出否决投标决定前对相关投标人进行询问核实；</w:t>
      </w:r>
    </w:p>
    <w:p w14:paraId="598427E6">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6.当否决投标后，剩余投标人少于3个时，评标委员会应对投标是否具有竞争性进行认定。认为明显缺乏竞争的，可以否决全部投标，否则，应继续进行评审；</w:t>
      </w:r>
    </w:p>
    <w:p w14:paraId="1E054383">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7.对投标文件进行排序，推荐中标候选人；</w:t>
      </w:r>
    </w:p>
    <w:p w14:paraId="590089BC">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8.完成评标报告。</w:t>
      </w:r>
    </w:p>
    <w:p w14:paraId="2ACBAE8D">
      <w:pPr>
        <w:spacing w:line="420" w:lineRule="exact"/>
        <w:ind w:firstLine="462" w:firstLineChars="200"/>
        <w:jc w:val="both"/>
        <w:rPr>
          <w:rFonts w:hint="eastAsia" w:ascii="宋体" w:hAnsi="宋体" w:eastAsia="宋体" w:cs="宋体"/>
          <w:b/>
          <w:bCs/>
          <w:strike/>
          <w:dstrike w:val="0"/>
          <w:color w:val="auto"/>
          <w:position w:val="1"/>
          <w:sz w:val="23"/>
          <w:szCs w:val="23"/>
          <w:highlight w:val="none"/>
        </w:rPr>
      </w:pPr>
      <w:r>
        <w:rPr>
          <w:rFonts w:hint="eastAsia" w:ascii="宋体" w:hAnsi="宋体" w:eastAsia="宋体" w:cs="宋体"/>
          <w:b/>
          <w:bCs/>
          <w:strike/>
          <w:dstrike w:val="0"/>
          <w:color w:val="auto"/>
          <w:position w:val="1"/>
          <w:sz w:val="23"/>
          <w:szCs w:val="23"/>
          <w:highlight w:val="none"/>
        </w:rPr>
        <w:t>四、评审细则</w:t>
      </w:r>
    </w:p>
    <w:p w14:paraId="2765881A">
      <w:pPr>
        <w:spacing w:line="420" w:lineRule="exact"/>
        <w:ind w:firstLine="462" w:firstLineChars="200"/>
        <w:jc w:val="both"/>
        <w:rPr>
          <w:rFonts w:hint="eastAsia" w:ascii="宋体" w:hAnsi="宋体" w:eastAsia="宋体" w:cs="宋体"/>
          <w:b/>
          <w:bCs/>
          <w:strike/>
          <w:dstrike w:val="0"/>
          <w:color w:val="auto"/>
          <w:position w:val="1"/>
          <w:sz w:val="23"/>
          <w:szCs w:val="23"/>
          <w:highlight w:val="none"/>
        </w:rPr>
      </w:pPr>
      <w:r>
        <w:rPr>
          <w:rFonts w:hint="eastAsia" w:ascii="宋体" w:hAnsi="宋体" w:eastAsia="宋体" w:cs="宋体"/>
          <w:b/>
          <w:bCs/>
          <w:strike/>
          <w:dstrike w:val="0"/>
          <w:color w:val="auto"/>
          <w:position w:val="1"/>
          <w:sz w:val="23"/>
          <w:szCs w:val="23"/>
          <w:highlight w:val="none"/>
        </w:rPr>
        <w:t>(一)投标文件的符合性评审</w:t>
      </w:r>
    </w:p>
    <w:p w14:paraId="660CD158">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评标委员会首先对投标报价最低的投标文件进行符合性评审。当最低投标报价有多份投标文件时，最低投标报价的所有投标文件均进入符合性评审(以下程序中出现类似情况时照此进行)。</w:t>
      </w:r>
    </w:p>
    <w:p w14:paraId="7433B2CF">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如评标委员会发现投标文件存在招标文件投标人须知前附表10.1“否决投标的情形”第二款(一)符合性内容之一的，经询问核实并认定后，该投标文件符合性审查不通过应予以否决。</w:t>
      </w:r>
    </w:p>
    <w:p w14:paraId="1D1CB5FE">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当出现否决投标时，评标委员会按上述办法对投标报价由低到高的顺序依次评审下一个投标文件，直至通过符合性审查进入下一轮评审。</w:t>
      </w:r>
    </w:p>
    <w:p w14:paraId="7DE8A3F2">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(二)投标文件的技术标评审</w:t>
      </w:r>
    </w:p>
    <w:p w14:paraId="4DFAE5E4">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评标委员会应对通过符合性评审的投标文件进行技术标评审。</w:t>
      </w:r>
    </w:p>
    <w:p w14:paraId="1D397267">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如评标委员会发现投标文件存在招标文件投标人须知前附表10.1“否决投标的情形”第二款(二)技术标内容之一的，经询问核实并认定后，该投标文件技术标评审不通过应予以否决。</w:t>
      </w:r>
    </w:p>
    <w:p w14:paraId="3636727F">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当出现否决投标时，评标委员会按上述办法对投标报价由低到高的顺序依次评审下一个投标文件，直至通过符合性评审、技术标评审，进入下一轮评审。</w:t>
      </w:r>
    </w:p>
    <w:p w14:paraId="2326B516">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(三)投标文件的商务标评审</w:t>
      </w:r>
    </w:p>
    <w:p w14:paraId="66039891">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评标委员会应对通过符合性评审及技术标评审的投标文件进行商务标评审。评标委员会应对商务报价的范围、数量、单价、费用组成和总价等进行全面审阅和对比分析，找出报价差异的原因及存在的问题。</w:t>
      </w:r>
    </w:p>
    <w:p w14:paraId="52C9E088">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报价评审应以报价口径范围一致的评标价为依据。评标价应在最终报价的基础上，按照招标文件约定的因素和方法进行计算。</w:t>
      </w:r>
    </w:p>
    <w:p w14:paraId="0567DF82">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如评标委员会发现投标文件存在招标文件投标人须知前附表10.1“否决投标的情形”第二款(三)商务标内容之一的，经询问核实并认定后，该投标文件商务标审查不合格应予以否决。</w:t>
      </w:r>
    </w:p>
    <w:p w14:paraId="1EC33846">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当出现否决投标时，评标委员会按上述办法对投标报价由低到高的顺序依次评审下一个投标文件，直至通过符合性评审、技术标评审、商务标评审为止。</w:t>
      </w:r>
    </w:p>
    <w:p w14:paraId="56907C12">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五、询标</w:t>
      </w:r>
    </w:p>
    <w:p w14:paraId="63EF15AE">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(一)投标文件中有含义不明确、投标报价可能低于成本价、对同类问题表达不一致或者有明显文字和计算错误的内容，评标委员会认为需要投标人作出必要澄清、说明的，应当组织询标。</w:t>
      </w:r>
    </w:p>
    <w:p w14:paraId="12824744">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二)凡是评标委员会拟做出否决投标认定的，应组织相关投标人询问核实。未进行询问核实程序的，不得做出否决投标的认定，投标人放弃询问核实机会的除外。投标人应及时答复，在规定的时限内投标人不参加核实或不予答复的，视为放弃接受询问核实的机会。</w:t>
      </w:r>
    </w:p>
    <w:p w14:paraId="5109B289">
      <w:pPr>
        <w:spacing w:line="353" w:lineRule="auto"/>
        <w:ind w:left="4" w:right="104" w:firstLine="488"/>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(三)询标问题及投标人的澄清、说明应当采用书面形式，并不得超出投标文件的范围或者改变投标文件的实质性内容。</w:t>
      </w:r>
    </w:p>
    <w:p w14:paraId="0327104B">
      <w:pPr>
        <w:spacing w:before="1" w:line="353" w:lineRule="auto"/>
        <w:ind w:left="21" w:right="104" w:firstLine="471"/>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(四)评标委员会不得暗示或者诱导投标人作出澄清、说明，不得接受投标人主动提出的澄清、说明。</w:t>
      </w:r>
    </w:p>
    <w:p w14:paraId="163430BE">
      <w:pPr>
        <w:spacing w:before="1" w:line="352" w:lineRule="auto"/>
        <w:ind w:left="4" w:firstLine="488"/>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(五)投标人不得通过补充、修改或撤销投标文件中的内容使其成为实质性响应的投标，投标人在投标截止时间以后不得提交任何资料作为评标依据。</w:t>
      </w:r>
    </w:p>
    <w:p w14:paraId="2D8B6D0D">
      <w:pPr>
        <w:spacing w:line="232" w:lineRule="auto"/>
        <w:ind w:left="483"/>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六、推荐中标候选人</w:t>
      </w:r>
    </w:p>
    <w:p w14:paraId="2149E975">
      <w:pPr>
        <w:spacing w:before="151" w:line="353" w:lineRule="auto"/>
        <w:ind w:left="1" w:right="63" w:firstLine="479"/>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评标委员会对通过商务评审的投标人按投标报价从低到高进行排序，并按照排序推荐中标候选人。当出现有多个投标人通过上述评审时，由评标委员会通过</w:t>
      </w:r>
      <w:r>
        <w:rPr>
          <w:rFonts w:hint="eastAsia" w:ascii="宋体" w:hAnsi="宋体" w:eastAsia="宋体" w:cs="宋体"/>
          <w:strike/>
          <w:dstrike w:val="0"/>
          <w:color w:val="auto"/>
          <w:sz w:val="23"/>
          <w:szCs w:val="23"/>
          <w:highlight w:val="none"/>
          <w:lang w:eastAsia="zh-CN"/>
        </w:rPr>
        <w:t>□</w:t>
      </w:r>
      <w:r>
        <w:rPr>
          <w:rFonts w:hint="eastAsia" w:ascii="宋体" w:hAnsi="宋体" w:eastAsia="宋体" w:cs="宋体"/>
          <w:strike/>
          <w:dstrike w:val="0"/>
          <w:color w:val="auto"/>
          <w:sz w:val="23"/>
          <w:szCs w:val="23"/>
          <w:highlight w:val="none"/>
        </w:rPr>
        <w:t>抽签(或</w:t>
      </w:r>
      <w:r>
        <w:rPr>
          <w:rFonts w:hint="eastAsia" w:ascii="宋体" w:hAnsi="宋体" w:eastAsia="宋体" w:cs="宋体"/>
          <w:strike/>
          <w:dstrike w:val="0"/>
          <w:color w:val="auto"/>
          <w:sz w:val="23"/>
          <w:szCs w:val="23"/>
          <w:highlight w:val="none"/>
          <w:lang w:eastAsia="zh-CN"/>
        </w:rPr>
        <w:t>□</w:t>
      </w:r>
      <w:r>
        <w:rPr>
          <w:rFonts w:hint="eastAsia" w:ascii="宋体" w:hAnsi="宋体" w:eastAsia="宋体" w:cs="宋体"/>
          <w:strike/>
          <w:dstrike w:val="0"/>
          <w:color w:val="auto"/>
          <w:sz w:val="23"/>
          <w:szCs w:val="23"/>
          <w:highlight w:val="none"/>
        </w:rPr>
        <w:t>记名投票表决)方式推荐名中标候选人。</w:t>
      </w:r>
    </w:p>
    <w:p w14:paraId="03DFA4FF">
      <w:pPr>
        <w:spacing w:line="239" w:lineRule="auto"/>
        <w:ind w:left="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七、完成评标报告</w:t>
      </w:r>
    </w:p>
    <w:p w14:paraId="7352081D">
      <w:pPr>
        <w:spacing w:before="144" w:line="353" w:lineRule="auto"/>
        <w:ind w:right="65" w:firstLine="493"/>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38C967F7">
      <w:pPr>
        <w:spacing w:line="439" w:lineRule="exact"/>
        <w:ind w:left="493"/>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5"/>
          <w:sz w:val="23"/>
          <w:szCs w:val="23"/>
          <w:highlight w:val="none"/>
        </w:rPr>
        <w:t>(二)评标报告应包括以下内容：</w:t>
      </w:r>
    </w:p>
    <w:p w14:paraId="4AE94587">
      <w:pPr>
        <w:spacing w:line="311" w:lineRule="exact"/>
        <w:ind w:left="499"/>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1.开标记录；</w:t>
      </w:r>
    </w:p>
    <w:p w14:paraId="70453BF1">
      <w:pPr>
        <w:spacing w:before="130" w:line="311" w:lineRule="exact"/>
        <w:ind w:left="484"/>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2.评标内容、过程和结果；</w:t>
      </w:r>
    </w:p>
    <w:p w14:paraId="279ABE86">
      <w:pPr>
        <w:spacing w:before="129" w:line="309" w:lineRule="exact"/>
        <w:ind w:left="48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3.询标澄清纪要；</w:t>
      </w:r>
    </w:p>
    <w:p w14:paraId="509C48D2">
      <w:pPr>
        <w:spacing w:before="130" w:line="311" w:lineRule="exact"/>
        <w:ind w:left="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4.否决投标情况说明及依据；</w:t>
      </w:r>
    </w:p>
    <w:p w14:paraId="6FF6B28C">
      <w:pPr>
        <w:spacing w:before="130" w:line="440" w:lineRule="exact"/>
        <w:ind w:left="48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5"/>
          <w:sz w:val="23"/>
          <w:szCs w:val="23"/>
          <w:highlight w:val="none"/>
        </w:rPr>
        <w:t>5.推荐中标候选人；</w:t>
      </w:r>
    </w:p>
    <w:p w14:paraId="5FE92CA8">
      <w:pPr>
        <w:spacing w:line="212" w:lineRule="auto"/>
        <w:ind w:left="483"/>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6.中标候选人投标业绩(招标文件对投标资格有业绩要求的)；</w:t>
      </w:r>
    </w:p>
    <w:p w14:paraId="37E99DB1">
      <w:pPr>
        <w:spacing w:before="152" w:line="309" w:lineRule="exact"/>
        <w:ind w:left="487"/>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7.其他建议。</w:t>
      </w:r>
    </w:p>
    <w:p w14:paraId="6ADF18C7">
      <w:pPr>
        <w:jc w:val="both"/>
        <w:rPr>
          <w:rFonts w:hint="eastAsia" w:ascii="宋体" w:hAnsi="宋体" w:eastAsia="宋体" w:cs="宋体"/>
          <w:strike/>
          <w:dstrike w:val="0"/>
          <w:color w:val="auto"/>
          <w:highlight w:val="none"/>
        </w:rPr>
        <w:sectPr>
          <w:footerReference r:id="rId13" w:type="default"/>
          <w:pgSz w:w="11907" w:h="16840"/>
          <w:pgMar w:top="1418" w:right="1559" w:bottom="1418" w:left="1474" w:header="0" w:footer="723" w:gutter="0"/>
          <w:cols w:space="720" w:num="1"/>
        </w:sectPr>
      </w:pPr>
    </w:p>
    <w:p w14:paraId="1E3F6B11">
      <w:pPr>
        <w:spacing w:before="64" w:line="224" w:lineRule="auto"/>
        <w:jc w:val="cente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综合评估法</w:t>
      </w:r>
    </w:p>
    <w:p w14:paraId="68A97155">
      <w:pPr>
        <w:spacing w:line="247" w:lineRule="auto"/>
        <w:jc w:val="both"/>
        <w:rPr>
          <w:rFonts w:hint="eastAsia" w:ascii="宋体" w:hAnsi="宋体" w:eastAsia="宋体" w:cs="宋体"/>
          <w:color w:val="auto"/>
          <w:highlight w:val="none"/>
        </w:rPr>
      </w:pPr>
    </w:p>
    <w:p w14:paraId="7BE52437">
      <w:pPr>
        <w:spacing w:line="248" w:lineRule="auto"/>
        <w:jc w:val="both"/>
        <w:rPr>
          <w:rFonts w:hint="eastAsia" w:ascii="宋体" w:hAnsi="宋体" w:eastAsia="宋体" w:cs="宋体"/>
          <w:color w:val="auto"/>
          <w:highlight w:val="none"/>
        </w:rPr>
      </w:pPr>
    </w:p>
    <w:p w14:paraId="16F733A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根据《中华人民共和国招标投标法》、《中华人民共和国招标投标法实施条例》、</w:t>
      </w:r>
      <w:r>
        <w:rPr>
          <w:rFonts w:hint="eastAsia" w:ascii="宋体" w:hAnsi="宋体" w:eastAsia="宋体" w:cs="宋体"/>
          <w:strike/>
          <w:dstrike w:val="0"/>
          <w:color w:val="auto"/>
          <w:sz w:val="23"/>
          <w:szCs w:val="23"/>
          <w:highlight w:val="none"/>
        </w:rPr>
        <w:t>《浙江省招标投标条例》</w:t>
      </w:r>
      <w:r>
        <w:rPr>
          <w:rFonts w:hint="eastAsia" w:ascii="宋体" w:hAnsi="宋体" w:eastAsia="宋体" w:cs="宋体"/>
          <w:color w:val="auto"/>
          <w:sz w:val="23"/>
          <w:szCs w:val="23"/>
          <w:highlight w:val="none"/>
        </w:rPr>
        <w:t>、《评标委员会和评标办法暂行规定》、《浙江省综合性评标专家库管理办法实施细则》等有关规定，制定本办法。</w:t>
      </w:r>
    </w:p>
    <w:p w14:paraId="43358B9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position w:val="2"/>
          <w:sz w:val="23"/>
          <w:szCs w:val="23"/>
          <w:highlight w:val="none"/>
        </w:rPr>
        <w:t>一、评标原则</w:t>
      </w:r>
    </w:p>
    <w:p w14:paraId="29750C7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评标应遵循公平、公正、科学、择优的原则。</w:t>
      </w:r>
    </w:p>
    <w:p w14:paraId="17E8EFF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二、评标组织</w:t>
      </w:r>
    </w:p>
    <w:p w14:paraId="378E9DE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77"/>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评标工作由招标人依法组建的评标委员会负责。评标委员会的组建见投标人须知前附表，成员为不少于5人的单数。</w:t>
      </w:r>
    </w:p>
    <w:p w14:paraId="2D858BB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3F88B8B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7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评标委员会应当按照招标文件确定的评标标准和方法，客观、公正对投标文件进行评审和比较，招标文件没有规定的评标标准和方法不得作为评标的依据。</w:t>
      </w:r>
    </w:p>
    <w:p w14:paraId="5979B73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7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评标委员会对投标文件作出的评审结论，应当符合有关法律、法规、规章和招标文件的规定。</w:t>
      </w:r>
    </w:p>
    <w:p w14:paraId="6A980ED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三、评标程序和内容</w:t>
      </w:r>
    </w:p>
    <w:p w14:paraId="362FB02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1.熟悉招标文件和评标办法；</w:t>
      </w:r>
    </w:p>
    <w:p w14:paraId="5361158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2.投标文件的符合性评审；</w:t>
      </w:r>
    </w:p>
    <w:p w14:paraId="6D9230F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3.投标文件的资信、业绩评审；</w:t>
      </w:r>
    </w:p>
    <w:p w14:paraId="7448B48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4.投标文件的技术标评审；</w:t>
      </w:r>
    </w:p>
    <w:p w14:paraId="7F27D8A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5.投标文件的商务标评审；</w:t>
      </w:r>
    </w:p>
    <w:p w14:paraId="166CF19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6.必要时对投标文件中的问题进行询标，包括拟作出否决投标决定前对相关投标人进行的询问核实；</w:t>
      </w:r>
    </w:p>
    <w:p w14:paraId="690121A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7.根据评标办法和标准对投标文件进行综合评分、排序；</w:t>
      </w:r>
    </w:p>
    <w:p w14:paraId="55EAB28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8.完成评标报告，推荐中标候选人。</w:t>
      </w:r>
    </w:p>
    <w:p w14:paraId="43AA9C6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四、评审细则</w:t>
      </w:r>
    </w:p>
    <w:p w14:paraId="6E33541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(一)投标文件的符合性评审</w:t>
      </w:r>
    </w:p>
    <w:p w14:paraId="041A99C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5"/>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1.评标委员会应依照招标文件的要求和规定，首先对投标人的投标资格和投标文件进行符合性评审。</w:t>
      </w:r>
    </w:p>
    <w:p w14:paraId="3A067C3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如评标委员会发现投标文件存在招标文件投标人须知前附表10.1“否决投标的情形”第二款(一)符合性内容、(二)技术标内容、(三)商务标内容之一的，经询问核实并认定后，即可判定该投标文件符合性评审不通过应予以否决，不再进入后续的综合评分程序。</w:t>
      </w:r>
    </w:p>
    <w:p w14:paraId="3B35CFD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575" w:firstLineChars="25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2.询标</w:t>
      </w:r>
    </w:p>
    <w:p w14:paraId="3ED228C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9"/>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(1)投标文件中有含义不明确的内容、明显文字或计算错误，评标委员会认为需要投标人作出必要澄清、说明的，应当组织询标。</w:t>
      </w:r>
    </w:p>
    <w:p w14:paraId="0CF493D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2"/>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14:paraId="5CD2AFB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(3)询标问题及投标人的澄清、说明应当采用书面形式，并不得超出投标文件的范围或者改变投标文件的实质性内容。</w:t>
      </w:r>
    </w:p>
    <w:p w14:paraId="208C82B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(4)评标委员会不得暗示或者诱导投标人作出澄清、说明，不得接受投标人主动提出的澄清、说明。</w:t>
      </w:r>
    </w:p>
    <w:p w14:paraId="4D7CF7F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(5)投标人不得通过补充、修改或撤销投标文件中的内容使其成为实质性响应的投标，投标人在投标截止时间以后不得提交任何资料作为评标依据。</w:t>
      </w:r>
    </w:p>
    <w:p w14:paraId="49F79EE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(二)资信、业绩评审</w:t>
      </w:r>
    </w:p>
    <w:p w14:paraId="0F7AFFA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由评标委员会全体成员根据投标人提供的相关证明材料进行集体认定。</w:t>
      </w:r>
    </w:p>
    <w:p w14:paraId="0F3CB7E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b/>
          <w:bCs/>
          <w:color w:val="auto"/>
          <w:sz w:val="23"/>
          <w:szCs w:val="23"/>
          <w:highlight w:val="none"/>
        </w:rPr>
      </w:pPr>
      <w:r>
        <w:rPr>
          <w:rFonts w:hint="eastAsia" w:ascii="宋体" w:hAnsi="宋体" w:eastAsia="宋体" w:cs="宋体"/>
          <w:color w:val="auto"/>
          <w:sz w:val="23"/>
          <w:szCs w:val="23"/>
          <w:highlight w:val="none"/>
        </w:rPr>
        <w:t>业绩评分</w:t>
      </w:r>
      <w:r>
        <w:rPr>
          <w:rFonts w:hint="eastAsia" w:ascii="宋体" w:hAnsi="宋体" w:eastAsia="宋体" w:cs="宋体"/>
          <w:b/>
          <w:bCs/>
          <w:color w:val="auto"/>
          <w:sz w:val="23"/>
          <w:szCs w:val="23"/>
          <w:highlight w:val="none"/>
        </w:rPr>
        <w:t>(3分)</w:t>
      </w:r>
    </w:p>
    <w:p w14:paraId="743530A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投标人自2021年7月1日（</w:t>
      </w:r>
      <w:r>
        <w:rPr>
          <w:rFonts w:hint="eastAsia" w:ascii="宋体" w:hAnsi="宋体" w:eastAsia="宋体" w:cs="宋体"/>
          <w:b/>
          <w:bCs/>
          <w:color w:val="auto"/>
          <w:sz w:val="23"/>
          <w:szCs w:val="23"/>
          <w:highlight w:val="none"/>
        </w:rPr>
        <w:t>时间以</w:t>
      </w:r>
      <w:r>
        <w:rPr>
          <w:rFonts w:hint="eastAsia" w:ascii="宋体" w:hAnsi="宋体" w:eastAsia="宋体" w:cs="宋体"/>
          <w:b/>
          <w:bCs/>
          <w:color w:val="auto"/>
          <w:sz w:val="23"/>
          <w:szCs w:val="23"/>
          <w:highlight w:val="none"/>
          <w:lang w:val="en-US" w:eastAsia="zh-CN"/>
        </w:rPr>
        <w:t>单项验收证明或整体</w:t>
      </w:r>
      <w:r>
        <w:rPr>
          <w:rFonts w:hint="eastAsia" w:ascii="宋体" w:hAnsi="宋体" w:eastAsia="宋体" w:cs="宋体"/>
          <w:b/>
          <w:bCs/>
          <w:color w:val="auto"/>
          <w:sz w:val="23"/>
          <w:szCs w:val="23"/>
          <w:highlight w:val="none"/>
        </w:rPr>
        <w:t>竣工验收证明时间为准</w:t>
      </w:r>
      <w:r>
        <w:rPr>
          <w:rFonts w:hint="eastAsia" w:ascii="宋体" w:hAnsi="宋体" w:eastAsia="宋体" w:cs="宋体"/>
          <w:b/>
          <w:bCs/>
          <w:color w:val="auto"/>
          <w:sz w:val="23"/>
          <w:szCs w:val="23"/>
          <w:highlight w:val="none"/>
          <w:lang w:val="en-US" w:eastAsia="zh-CN"/>
        </w:rPr>
        <w:t>）至今完成过</w:t>
      </w:r>
      <w:r>
        <w:rPr>
          <w:rFonts w:hint="eastAsia" w:ascii="宋体" w:hAnsi="宋体" w:eastAsia="宋体" w:cs="宋体"/>
          <w:b/>
          <w:bCs/>
          <w:color w:val="auto"/>
          <w:sz w:val="23"/>
          <w:szCs w:val="23"/>
          <w:highlight w:val="none"/>
        </w:rPr>
        <w:t>单个合同金额</w:t>
      </w:r>
      <w:r>
        <w:rPr>
          <w:rFonts w:hint="eastAsia" w:ascii="宋体" w:hAnsi="宋体" w:eastAsia="宋体" w:cs="宋体"/>
          <w:b/>
          <w:bCs/>
          <w:color w:val="auto"/>
          <w:sz w:val="23"/>
          <w:szCs w:val="23"/>
          <w:highlight w:val="none"/>
          <w:lang w:val="en-US" w:eastAsia="zh-CN"/>
        </w:rPr>
        <w:t>1700</w:t>
      </w:r>
      <w:r>
        <w:rPr>
          <w:rFonts w:hint="eastAsia" w:ascii="宋体" w:hAnsi="宋体" w:eastAsia="宋体" w:cs="宋体"/>
          <w:b/>
          <w:bCs/>
          <w:color w:val="auto"/>
          <w:sz w:val="23"/>
          <w:szCs w:val="23"/>
          <w:highlight w:val="none"/>
        </w:rPr>
        <w:t>万元及以上的</w:t>
      </w:r>
      <w:r>
        <w:rPr>
          <w:rFonts w:hint="eastAsia" w:ascii="宋体" w:hAnsi="宋体" w:eastAsia="宋体" w:cs="宋体"/>
          <w:b/>
          <w:bCs/>
          <w:color w:val="auto"/>
          <w:sz w:val="23"/>
          <w:szCs w:val="23"/>
          <w:highlight w:val="none"/>
          <w:lang w:val="en-US" w:eastAsia="zh-CN"/>
        </w:rPr>
        <w:t>医疗净化</w:t>
      </w:r>
      <w:r>
        <w:rPr>
          <w:rFonts w:hint="eastAsia" w:ascii="宋体" w:hAnsi="宋体" w:eastAsia="宋体" w:cs="宋体"/>
          <w:b/>
          <w:bCs/>
          <w:color w:val="auto"/>
          <w:sz w:val="23"/>
          <w:szCs w:val="23"/>
          <w:highlight w:val="none"/>
          <w:lang w:eastAsia="zh-CN"/>
        </w:rPr>
        <w:t>业绩（</w:t>
      </w:r>
      <w:r>
        <w:rPr>
          <w:rFonts w:hint="default" w:ascii="宋体" w:hAnsi="宋体" w:eastAsia="宋体" w:cs="宋体"/>
          <w:b/>
          <w:bCs/>
          <w:color w:val="auto"/>
          <w:sz w:val="23"/>
          <w:szCs w:val="23"/>
          <w:highlight w:val="none"/>
          <w:lang w:val="en-US" w:eastAsia="zh-CN"/>
        </w:rPr>
        <w:t>合同中的实施内容包含手术室或实验室或静配中心等特殊需要空气净化的科室或功能用房</w:t>
      </w:r>
      <w:r>
        <w:rPr>
          <w:rFonts w:hint="eastAsia" w:ascii="宋体" w:hAnsi="宋体" w:eastAsia="宋体" w:cs="宋体"/>
          <w:b/>
          <w:bCs/>
          <w:color w:val="auto"/>
          <w:sz w:val="23"/>
          <w:szCs w:val="23"/>
          <w:highlight w:val="none"/>
          <w:lang w:eastAsia="zh-CN"/>
        </w:rPr>
        <w:t>）的，每个得</w:t>
      </w:r>
      <w:r>
        <w:rPr>
          <w:rFonts w:hint="eastAsia" w:ascii="宋体" w:hAnsi="宋体" w:eastAsia="宋体" w:cs="宋体"/>
          <w:b/>
          <w:bCs/>
          <w:color w:val="auto"/>
          <w:sz w:val="23"/>
          <w:szCs w:val="23"/>
          <w:highlight w:val="none"/>
          <w:lang w:val="en-US" w:eastAsia="zh-CN"/>
        </w:rPr>
        <w:t>3分。</w:t>
      </w:r>
    </w:p>
    <w:p w14:paraId="4DF1602D">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default"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本项最多得3分。</w:t>
      </w:r>
    </w:p>
    <w:p w14:paraId="0F9EA78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注：①业绩证明材料同资格业绩：</w:t>
      </w:r>
    </w:p>
    <w:p w14:paraId="2F1A195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②投标资格证明中的业绩</w:t>
      </w:r>
      <w:r>
        <w:rPr>
          <w:rFonts w:hint="eastAsia" w:ascii="宋体" w:hAnsi="宋体" w:eastAsia="宋体" w:cs="宋体"/>
          <w:b/>
          <w:bCs/>
          <w:color w:val="auto"/>
          <w:sz w:val="23"/>
          <w:szCs w:val="23"/>
          <w:highlight w:val="none"/>
          <w:lang w:val="en-US" w:eastAsia="zh-CN"/>
        </w:rPr>
        <w:t>满足评分项</w:t>
      </w:r>
      <w:r>
        <w:rPr>
          <w:rFonts w:hint="eastAsia" w:ascii="宋体" w:hAnsi="宋体" w:eastAsia="宋体" w:cs="宋体"/>
          <w:b/>
          <w:bCs/>
          <w:color w:val="auto"/>
          <w:sz w:val="23"/>
          <w:szCs w:val="23"/>
          <w:highlight w:val="none"/>
        </w:rPr>
        <w:t>可以作为本项计分业绩。</w:t>
      </w:r>
    </w:p>
    <w:p w14:paraId="35172DE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(三)投标文件的技术标评审</w:t>
      </w:r>
    </w:p>
    <w:p w14:paraId="4464E05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7"/>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的采用记名方式各自评分。如发现某个单项的评分超出了规定的分值范围的，则该张评分表无效。此项评分为：从评标专家的有效评分中扣除一个最高总分和一个最低总分后的算术平均值(保留小数2位)。</w:t>
      </w:r>
    </w:p>
    <w:p w14:paraId="599E349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7"/>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2.技术评分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60</w:t>
      </w:r>
      <w:r>
        <w:rPr>
          <w:rFonts w:hint="eastAsia" w:ascii="宋体" w:hAnsi="宋体" w:eastAsia="宋体" w:cs="宋体"/>
          <w:b/>
          <w:bCs/>
          <w:color w:val="auto"/>
          <w:sz w:val="23"/>
          <w:szCs w:val="23"/>
          <w:highlight w:val="none"/>
        </w:rPr>
        <w:t>分)：</w:t>
      </w:r>
    </w:p>
    <w:p w14:paraId="3DBB7C0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招标人可根据招标项目的特点设置相应的评审内容和标准，原则上技术含量高的货物，技术评分权重大。可自选评审内容并要求细化，每一打分项分值区间不宜超过3分：</w:t>
      </w:r>
    </w:p>
    <w:p w14:paraId="70F4FA0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25" w:firstLineChars="185"/>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加工能力、制造水平</w:t>
      </w:r>
    </w:p>
    <w:p w14:paraId="30701861">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投标技术指标的符合性、优越性</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28分</w:t>
      </w:r>
      <w:r>
        <w:rPr>
          <w:rFonts w:hint="eastAsia" w:ascii="宋体" w:hAnsi="宋体" w:eastAsia="宋体" w:cs="宋体"/>
          <w:b/>
          <w:bCs/>
          <w:color w:val="auto"/>
          <w:sz w:val="24"/>
          <w:szCs w:val="24"/>
          <w:highlight w:val="none"/>
          <w:lang w:val="en-US" w:eastAsia="zh-CN"/>
        </w:rPr>
        <w:t>）</w:t>
      </w:r>
    </w:p>
    <w:p w14:paraId="4C5667FB">
      <w:pPr>
        <w:keepNext w:val="0"/>
        <w:keepLines w:val="0"/>
        <w:pageBreakBefore w:val="0"/>
        <w:widowControl/>
        <w:shd w:val="clear"/>
        <w:kinsoku/>
        <w:wordWrap/>
        <w:overflowPunct/>
        <w:topLinePunct w:val="0"/>
        <w:autoSpaceDE w:val="0"/>
        <w:autoSpaceDN w:val="0"/>
        <w:bidi w:val="0"/>
        <w:adjustRightInd w:val="0"/>
        <w:snapToGrid w:val="0"/>
        <w:spacing w:line="300" w:lineRule="auto"/>
        <w:ind w:left="0" w:leftChars="0" w:right="0" w:firstLine="480"/>
        <w:jc w:val="both"/>
        <w:textAlignment w:val="baseline"/>
        <w:rPr>
          <w:rFonts w:hint="eastAsia" w:ascii="宋体" w:hAnsi="宋体" w:eastAsia="宋体" w:cs="宋体"/>
          <w:b w:val="0"/>
          <w:bCs w:val="0"/>
          <w:color w:val="auto"/>
          <w:spacing w:val="0"/>
          <w:sz w:val="24"/>
          <w:szCs w:val="24"/>
          <w:highlight w:val="none"/>
          <w:u w:val="single"/>
          <w:lang w:val="en-US" w:eastAsia="zh-CN"/>
        </w:rPr>
      </w:pPr>
      <w:r>
        <w:rPr>
          <w:rFonts w:hint="eastAsia" w:ascii="宋体" w:hAnsi="宋体" w:eastAsia="宋体" w:cs="宋体"/>
          <w:b w:val="0"/>
          <w:bCs w:val="0"/>
          <w:color w:val="auto"/>
          <w:spacing w:val="0"/>
          <w:sz w:val="24"/>
          <w:szCs w:val="24"/>
          <w:highlight w:val="none"/>
          <w:u w:val="single"/>
          <w:lang w:val="en-US" w:eastAsia="zh-CN"/>
        </w:rPr>
        <w:t>根据所投产品的详细技术参数进行打分。满足需求指标和商务要求的得</w:t>
      </w:r>
      <w:r>
        <w:rPr>
          <w:rFonts w:hint="eastAsia" w:ascii="宋体" w:hAnsi="宋体" w:cs="宋体"/>
          <w:b w:val="0"/>
          <w:bCs w:val="0"/>
          <w:color w:val="auto"/>
          <w:spacing w:val="0"/>
          <w:sz w:val="24"/>
          <w:szCs w:val="24"/>
          <w:highlight w:val="none"/>
          <w:u w:val="single"/>
          <w:lang w:val="en-US" w:eastAsia="zh-CN"/>
        </w:rPr>
        <w:t>28</w:t>
      </w:r>
      <w:r>
        <w:rPr>
          <w:rFonts w:hint="eastAsia" w:ascii="宋体" w:hAnsi="宋体" w:eastAsia="宋体" w:cs="宋体"/>
          <w:b w:val="0"/>
          <w:bCs w:val="0"/>
          <w:color w:val="auto"/>
          <w:spacing w:val="0"/>
          <w:sz w:val="24"/>
          <w:szCs w:val="24"/>
          <w:highlight w:val="none"/>
          <w:u w:val="single"/>
          <w:lang w:val="en-US" w:eastAsia="zh-CN"/>
        </w:rPr>
        <w:t>分。打“★”号的实质性指标必须满足，如有负偏离或不响应则作无效投标处理；打“▲”号的主要性能指标每负偏离或不响应一项扣1分,；其余指标每负偏离或不响应一项扣0.5分；扣完为止。</w:t>
      </w:r>
    </w:p>
    <w:p w14:paraId="3520BB56">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80"/>
        <w:jc w:val="both"/>
        <w:textAlignment w:val="baseline"/>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pacing w:val="0"/>
          <w:sz w:val="24"/>
          <w:szCs w:val="24"/>
          <w:highlight w:val="none"/>
          <w:u w:val="single"/>
          <w:lang w:val="en-US" w:eastAsia="zh-CN"/>
        </w:rPr>
        <w:t>注：投标文件需提供技术要求中要求提供的相关佐证材料；技术要求中未作要求的或要求供货时提供的，投标阶段无需提供。</w:t>
      </w:r>
    </w:p>
    <w:p w14:paraId="63DC80E4">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4" w:firstLineChars="185"/>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□主要制作材料选用的比较</w:t>
      </w:r>
    </w:p>
    <w:p w14:paraId="670A6A14">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4" w:firstLineChars="185"/>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□辅助制作材料及配件选用的比较</w:t>
      </w:r>
    </w:p>
    <w:p w14:paraId="09C0FA11">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组织实施方案：投标人组织实施方案的科学性、合理性、规范性和可操作性，包括供货、验货、组装就位、关键步骤的思路和要点以及组织机构、工作时间进度表、工作程序和步骤等内容。</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17</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34"/>
        <w:gridCol w:w="1656"/>
        <w:gridCol w:w="6895"/>
      </w:tblGrid>
      <w:tr w14:paraId="2BC48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4"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1D68627C">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1</w:t>
            </w:r>
          </w:p>
        </w:tc>
        <w:tc>
          <w:tcPr>
            <w:tcW w:w="911" w:type="pct"/>
            <w:vMerge w:val="restar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2B96596">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rPr>
              <w:t>项目实施方案计划及技术措施</w:t>
            </w:r>
            <w:r>
              <w:rPr>
                <w:rFonts w:hint="eastAsia" w:ascii="宋体" w:hAnsi="宋体" w:cs="宋体"/>
                <w:b w:val="0"/>
                <w:bCs w:val="0"/>
                <w:color w:val="auto"/>
                <w:spacing w:val="0"/>
                <w:sz w:val="24"/>
                <w:szCs w:val="24"/>
                <w:highlight w:val="none"/>
                <w:lang w:eastAsia="zh-CN"/>
              </w:rPr>
              <w:t>（</w:t>
            </w:r>
            <w:r>
              <w:rPr>
                <w:rFonts w:hint="eastAsia" w:ascii="宋体" w:hAnsi="宋体" w:cs="宋体"/>
                <w:b w:val="0"/>
                <w:bCs w:val="0"/>
                <w:color w:val="auto"/>
                <w:spacing w:val="0"/>
                <w:sz w:val="24"/>
                <w:szCs w:val="24"/>
                <w:highlight w:val="none"/>
                <w:lang w:val="en-US" w:eastAsia="zh-CN"/>
              </w:rPr>
              <w:t>14分</w:t>
            </w:r>
            <w:r>
              <w:rPr>
                <w:rFonts w:hint="eastAsia" w:ascii="宋体" w:hAnsi="宋体" w:cs="宋体"/>
                <w:b w:val="0"/>
                <w:bCs w:val="0"/>
                <w:color w:val="auto"/>
                <w:spacing w:val="0"/>
                <w:sz w:val="24"/>
                <w:szCs w:val="24"/>
                <w:highlight w:val="none"/>
                <w:lang w:eastAsia="zh-CN"/>
              </w:rPr>
              <w:t>）</w:t>
            </w: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55163BA5">
            <w:pPr>
              <w:keepNext w:val="0"/>
              <w:keepLines w:val="0"/>
              <w:pageBreakBefore w:val="0"/>
              <w:widowControl/>
              <w:suppressLineNumbers w:val="0"/>
              <w:shd w:val="clear"/>
              <w:kinsoku/>
              <w:wordWrap/>
              <w:overflowPunct/>
              <w:topLinePunct w:val="0"/>
              <w:bidi w:val="0"/>
              <w:adjustRightInd w:val="0"/>
              <w:snapToGrid w:val="0"/>
              <w:spacing w:line="300" w:lineRule="auto"/>
              <w:ind w:left="0" w:leftChars="0"/>
              <w:jc w:val="left"/>
              <w:rPr>
                <w:rFonts w:hint="eastAsia" w:ascii="宋体" w:hAnsi="宋体" w:eastAsia="宋体" w:cs="宋体"/>
                <w:b w:val="0"/>
                <w:bCs w:val="0"/>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根据投标人提供的</w:t>
            </w:r>
            <w:r>
              <w:rPr>
                <w:rFonts w:hint="eastAsia" w:ascii="宋体" w:hAnsi="宋体" w:eastAsia="宋体" w:cs="宋体"/>
                <w:color w:val="auto"/>
                <w:spacing w:val="0"/>
                <w:kern w:val="0"/>
                <w:sz w:val="24"/>
                <w:szCs w:val="24"/>
                <w:highlight w:val="none"/>
                <w:lang w:val="en-US" w:eastAsia="zh-CN" w:bidi="ar"/>
              </w:rPr>
              <w:t>施工方案内容完整，编制规范统一、齐全，施工方案和技术措施科学、合理，有针对性，满足施工要求</w:t>
            </w:r>
            <w:r>
              <w:rPr>
                <w:rFonts w:hint="eastAsia" w:ascii="宋体" w:hAnsi="宋体" w:cs="宋体"/>
                <w:color w:val="auto"/>
                <w:spacing w:val="0"/>
                <w:kern w:val="0"/>
                <w:sz w:val="24"/>
                <w:szCs w:val="24"/>
                <w:highlight w:val="none"/>
                <w:lang w:val="en-US" w:eastAsia="zh-CN" w:bidi="ar"/>
              </w:rPr>
              <w:t>等内容进行综合评审。</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[0-3]分</w:t>
            </w:r>
          </w:p>
        </w:tc>
      </w:tr>
      <w:tr w14:paraId="369A9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4"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A515A2C">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default" w:ascii="宋体" w:hAnsi="宋体" w:eastAsia="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2</w:t>
            </w:r>
          </w:p>
        </w:tc>
        <w:tc>
          <w:tcPr>
            <w:tcW w:w="911" w:type="pct"/>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DDA5D20">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rPr>
            </w:pP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0ECAE275">
            <w:pPr>
              <w:keepNext w:val="0"/>
              <w:keepLines w:val="0"/>
              <w:pageBreakBefore w:val="0"/>
              <w:widowControl/>
              <w:suppressLineNumbers w:val="0"/>
              <w:shd w:val="clear"/>
              <w:kinsoku/>
              <w:wordWrap/>
              <w:overflowPunct/>
              <w:topLinePunct w:val="0"/>
              <w:bidi w:val="0"/>
              <w:adjustRightInd w:val="0"/>
              <w:snapToGrid w:val="0"/>
              <w:spacing w:line="300" w:lineRule="auto"/>
              <w:ind w:left="0" w:leftChars="0"/>
              <w:jc w:val="left"/>
              <w:rPr>
                <w:rFonts w:hint="default" w:ascii="宋体" w:hAnsi="宋体" w:eastAsia="宋体" w:cs="宋体"/>
                <w:b w:val="0"/>
                <w:bCs w:val="0"/>
                <w:color w:val="auto"/>
                <w:spacing w:val="0"/>
                <w:sz w:val="24"/>
                <w:szCs w:val="24"/>
                <w:highlight w:val="none"/>
                <w:lang w:val="en-US" w:eastAsia="zh-CN"/>
              </w:rPr>
            </w:pPr>
            <w:r>
              <w:rPr>
                <w:rFonts w:hint="eastAsia" w:ascii="宋体" w:hAnsi="宋体" w:cs="宋体"/>
                <w:color w:val="auto"/>
                <w:spacing w:val="0"/>
                <w:kern w:val="0"/>
                <w:sz w:val="24"/>
                <w:szCs w:val="24"/>
                <w:highlight w:val="none"/>
                <w:lang w:val="en-US" w:eastAsia="zh-CN" w:bidi="ar"/>
              </w:rPr>
              <w:t>根据投标人提供的</w:t>
            </w:r>
            <w:r>
              <w:rPr>
                <w:rFonts w:hint="eastAsia" w:ascii="宋体" w:hAnsi="宋体" w:eastAsia="宋体" w:cs="宋体"/>
                <w:color w:val="auto"/>
                <w:spacing w:val="0"/>
                <w:kern w:val="0"/>
                <w:sz w:val="24"/>
                <w:szCs w:val="24"/>
                <w:highlight w:val="none"/>
                <w:lang w:val="en-US" w:eastAsia="zh-CN" w:bidi="ar"/>
              </w:rPr>
              <w:t>施工进度安排合理，工期安排满足施工要求，施工中劳动力计划安排合理，拟投入的机械设备及材料安排科学、合理，有针对性，满足施工要求</w:t>
            </w:r>
            <w:r>
              <w:rPr>
                <w:rFonts w:hint="eastAsia" w:ascii="宋体" w:hAnsi="宋体" w:cs="宋体"/>
                <w:color w:val="auto"/>
                <w:spacing w:val="0"/>
                <w:kern w:val="0"/>
                <w:sz w:val="24"/>
                <w:szCs w:val="24"/>
                <w:highlight w:val="none"/>
                <w:lang w:val="en-US" w:eastAsia="zh-CN" w:bidi="ar"/>
              </w:rPr>
              <w:t>等内容进行综合评审。</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[0-3]分</w:t>
            </w:r>
          </w:p>
        </w:tc>
      </w:tr>
      <w:tr w14:paraId="2ADC1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4"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9A57094">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default"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w:t>
            </w:r>
          </w:p>
        </w:tc>
        <w:tc>
          <w:tcPr>
            <w:tcW w:w="911" w:type="pct"/>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19D9DE5">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rPr>
            </w:pP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2B6419C2">
            <w:pPr>
              <w:keepNext w:val="0"/>
              <w:keepLines w:val="0"/>
              <w:pageBreakBefore w:val="0"/>
              <w:widowControl/>
              <w:suppressLineNumbers w:val="0"/>
              <w:shd w:val="clear"/>
              <w:kinsoku/>
              <w:wordWrap/>
              <w:overflowPunct/>
              <w:topLinePunct w:val="0"/>
              <w:bidi w:val="0"/>
              <w:adjustRightInd w:val="0"/>
              <w:snapToGrid w:val="0"/>
              <w:spacing w:line="300" w:lineRule="auto"/>
              <w:ind w:left="0" w:leftChars="0"/>
              <w:jc w:val="left"/>
              <w:rPr>
                <w:rFonts w:hint="eastAsia" w:ascii="宋体" w:hAnsi="宋体" w:eastAsia="宋体" w:cs="宋体"/>
                <w:b w:val="0"/>
                <w:bCs w:val="0"/>
                <w:color w:val="auto"/>
                <w:spacing w:val="0"/>
                <w:sz w:val="24"/>
                <w:szCs w:val="24"/>
                <w:highlight w:val="none"/>
              </w:rPr>
            </w:pPr>
            <w:r>
              <w:rPr>
                <w:rFonts w:hint="eastAsia" w:ascii="宋体" w:hAnsi="宋体" w:eastAsia="宋体" w:cs="宋体"/>
                <w:color w:val="auto"/>
                <w:spacing w:val="0"/>
                <w:sz w:val="24"/>
                <w:szCs w:val="24"/>
                <w:highlight w:val="none"/>
                <w:lang w:bidi="ar"/>
              </w:rPr>
              <w:t>根据本项目的概况及施工技术，针对本项目特点对整个系统方案的理解并提供专项技术解决方案，技术方案必须分为手术室技术实施专篇、实验室技术实施专篇和</w:t>
            </w:r>
            <w:r>
              <w:rPr>
                <w:rFonts w:hint="eastAsia" w:ascii="宋体" w:hAnsi="宋体" w:eastAsia="宋体" w:cs="宋体"/>
                <w:color w:val="auto"/>
                <w:spacing w:val="0"/>
                <w:sz w:val="24"/>
                <w:szCs w:val="24"/>
                <w:highlight w:val="none"/>
                <w:lang w:val="en-US" w:eastAsia="zh-CN" w:bidi="ar"/>
              </w:rPr>
              <w:t>放射防护</w:t>
            </w:r>
            <w:r>
              <w:rPr>
                <w:rFonts w:hint="eastAsia" w:ascii="宋体" w:hAnsi="宋体" w:eastAsia="宋体" w:cs="宋体"/>
                <w:color w:val="auto"/>
                <w:spacing w:val="0"/>
                <w:sz w:val="24"/>
                <w:szCs w:val="24"/>
                <w:highlight w:val="none"/>
                <w:lang w:bidi="ar"/>
              </w:rPr>
              <w:t>技术实施专篇分别进行直观有效的说明展示。</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[0-3]分</w:t>
            </w:r>
          </w:p>
        </w:tc>
      </w:tr>
      <w:tr w14:paraId="7BC94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4"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9549654">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default"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4</w:t>
            </w:r>
          </w:p>
        </w:tc>
        <w:tc>
          <w:tcPr>
            <w:tcW w:w="911" w:type="pct"/>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15FF4AF">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rPr>
            </w:pP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682BC5CC">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i w:val="0"/>
                <w:iCs w:val="0"/>
                <w:color w:val="auto"/>
                <w:spacing w:val="0"/>
                <w:sz w:val="24"/>
                <w:highlight w:val="none"/>
                <w:lang w:val="en-US" w:eastAsia="zh-CN"/>
              </w:rPr>
              <w:t>根据投标单位对本工程的重点、难点（</w:t>
            </w:r>
            <w:r>
              <w:rPr>
                <w:rFonts w:hint="eastAsia" w:ascii="宋体" w:hAnsi="宋体" w:eastAsia="宋体" w:cs="宋体"/>
                <w:i w:val="0"/>
                <w:iCs w:val="0"/>
                <w:color w:val="auto"/>
                <w:spacing w:val="0"/>
                <w:sz w:val="24"/>
                <w:highlight w:val="none"/>
              </w:rPr>
              <w:t>装饰系统、</w:t>
            </w:r>
            <w:r>
              <w:rPr>
                <w:rFonts w:hint="eastAsia" w:ascii="宋体" w:hAnsi="宋体" w:eastAsia="宋体" w:cs="宋体"/>
                <w:i w:val="0"/>
                <w:iCs w:val="0"/>
                <w:color w:val="auto"/>
                <w:spacing w:val="0"/>
                <w:sz w:val="24"/>
                <w:highlight w:val="none"/>
                <w:lang w:val="en-US" w:eastAsia="zh-CN"/>
              </w:rPr>
              <w:t>暖通空调</w:t>
            </w:r>
            <w:r>
              <w:rPr>
                <w:rFonts w:hint="eastAsia" w:ascii="宋体" w:hAnsi="宋体" w:eastAsia="宋体" w:cs="宋体"/>
                <w:i w:val="0"/>
                <w:iCs w:val="0"/>
                <w:color w:val="auto"/>
                <w:spacing w:val="0"/>
                <w:sz w:val="24"/>
                <w:highlight w:val="none"/>
              </w:rPr>
              <w:t>、</w:t>
            </w:r>
            <w:r>
              <w:rPr>
                <w:rFonts w:hint="eastAsia" w:ascii="宋体" w:hAnsi="宋体" w:eastAsia="宋体" w:cs="宋体"/>
                <w:i w:val="0"/>
                <w:iCs w:val="0"/>
                <w:color w:val="auto"/>
                <w:spacing w:val="0"/>
                <w:sz w:val="24"/>
                <w:highlight w:val="none"/>
                <w:lang w:val="en-US" w:eastAsia="zh-CN"/>
              </w:rPr>
              <w:t>强弱电</w:t>
            </w:r>
            <w:r>
              <w:rPr>
                <w:rFonts w:hint="eastAsia" w:ascii="宋体" w:hAnsi="宋体" w:eastAsia="宋体" w:cs="宋体"/>
                <w:i w:val="0"/>
                <w:iCs w:val="0"/>
                <w:color w:val="auto"/>
                <w:spacing w:val="0"/>
                <w:sz w:val="24"/>
                <w:highlight w:val="none"/>
              </w:rPr>
              <w:t>系统、给排水、</w:t>
            </w:r>
            <w:r>
              <w:rPr>
                <w:rFonts w:hint="eastAsia" w:ascii="宋体" w:hAnsi="宋体" w:eastAsia="宋体" w:cs="宋体"/>
                <w:i w:val="0"/>
                <w:iCs w:val="0"/>
                <w:color w:val="auto"/>
                <w:spacing w:val="0"/>
                <w:sz w:val="24"/>
                <w:highlight w:val="none"/>
                <w:lang w:val="en-US" w:eastAsia="zh-CN"/>
              </w:rPr>
              <w:t>实验室设备等系统）</w:t>
            </w:r>
            <w:r>
              <w:rPr>
                <w:rFonts w:hint="eastAsia" w:ascii="宋体" w:hAnsi="宋体" w:eastAsia="宋体" w:cs="宋体"/>
                <w:i w:val="0"/>
                <w:iCs w:val="0"/>
                <w:color w:val="auto"/>
                <w:spacing w:val="0"/>
                <w:sz w:val="24"/>
                <w:highlight w:val="none"/>
              </w:rPr>
              <w:t>评标委员会根据投标人针对招标文件的响应情况进行打分</w:t>
            </w:r>
            <w:r>
              <w:rPr>
                <w:rFonts w:hint="eastAsia" w:ascii="宋体" w:hAnsi="宋体" w:eastAsia="宋体" w:cs="宋体"/>
                <w:i w:val="0"/>
                <w:iCs w:val="0"/>
                <w:color w:val="auto"/>
                <w:spacing w:val="0"/>
                <w:sz w:val="24"/>
                <w:highlight w:val="none"/>
                <w:lang w:val="en-US" w:eastAsia="zh-CN"/>
              </w:rPr>
              <w:t>。</w:t>
            </w:r>
            <w:r>
              <w:rPr>
                <w:rFonts w:hint="eastAsia" w:ascii="宋体" w:hAnsi="宋体" w:cs="宋体"/>
                <w:b w:val="0"/>
                <w:bCs w:val="0"/>
                <w:color w:val="auto"/>
                <w:spacing w:val="0"/>
                <w:sz w:val="24"/>
                <w:szCs w:val="24"/>
                <w:highlight w:val="none"/>
                <w:lang w:val="en-US" w:eastAsia="zh-CN"/>
              </w:rPr>
              <w:t>[0-3]分</w:t>
            </w:r>
          </w:p>
        </w:tc>
      </w:tr>
      <w:tr w14:paraId="3ABAC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4"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2114316">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default"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5</w:t>
            </w:r>
          </w:p>
        </w:tc>
        <w:tc>
          <w:tcPr>
            <w:tcW w:w="911" w:type="pct"/>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95B4A88">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rPr>
            </w:pP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082A1553">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textAlignment w:val="auto"/>
              <w:rPr>
                <w:rFonts w:hint="eastAsia" w:ascii="宋体" w:hAnsi="宋体" w:eastAsia="宋体" w:cs="宋体"/>
                <w:i w:val="0"/>
                <w:iCs w:val="0"/>
                <w:color w:val="auto"/>
                <w:spacing w:val="0"/>
                <w:sz w:val="24"/>
                <w:highlight w:val="none"/>
                <w:lang w:val="en-US" w:eastAsia="zh-CN"/>
              </w:rPr>
            </w:pPr>
            <w:r>
              <w:rPr>
                <w:rFonts w:hint="eastAsia" w:ascii="宋体" w:hAnsi="宋体" w:eastAsia="宋体" w:cs="宋体"/>
                <w:snapToGrid w:val="0"/>
                <w:color w:val="auto"/>
                <w:sz w:val="24"/>
                <w:szCs w:val="21"/>
                <w:highlight w:val="none"/>
              </w:rPr>
              <w:t>与总承包及其它专项施工单位之间的具体协同施工措施,本项目施工工况相对复杂，根据投标人提供的与总承包及其它专项施工单位之间的管线碰撞、交叉作业等具体协同施工措施方案进行打分，</w:t>
            </w:r>
            <w:r>
              <w:rPr>
                <w:rFonts w:hint="eastAsia" w:ascii="宋体" w:hAnsi="宋体" w:eastAsia="宋体" w:cs="宋体"/>
                <w:b w:val="0"/>
                <w:bCs w:val="0"/>
                <w:color w:val="auto"/>
                <w:kern w:val="0"/>
                <w:sz w:val="24"/>
                <w:szCs w:val="21"/>
                <w:highlight w:val="none"/>
                <w:lang w:val="en-US" w:eastAsia="zh-CN" w:bidi="ar-SA"/>
              </w:rPr>
              <w:t>[0-2]分</w:t>
            </w:r>
            <w:r>
              <w:rPr>
                <w:rFonts w:hint="eastAsia" w:ascii="宋体" w:hAnsi="宋体" w:eastAsia="宋体" w:cs="宋体"/>
                <w:snapToGrid w:val="0"/>
                <w:color w:val="auto"/>
                <w:sz w:val="24"/>
                <w:szCs w:val="21"/>
                <w:highlight w:val="none"/>
              </w:rPr>
              <w:t>。</w:t>
            </w:r>
          </w:p>
        </w:tc>
      </w:tr>
      <w:tr w14:paraId="1DE12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4"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49C4F4E">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default"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6</w:t>
            </w:r>
          </w:p>
        </w:tc>
        <w:tc>
          <w:tcPr>
            <w:tcW w:w="911"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5C6F9AA">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en-US" w:eastAsia="zh-CN"/>
              </w:rPr>
              <w:t>试运行阶段方案</w:t>
            </w:r>
            <w:r>
              <w:rPr>
                <w:rFonts w:hint="eastAsia" w:ascii="宋体" w:hAnsi="宋体" w:cs="宋体"/>
                <w:b w:val="0"/>
                <w:bCs w:val="0"/>
                <w:color w:val="auto"/>
                <w:spacing w:val="0"/>
                <w:sz w:val="24"/>
                <w:szCs w:val="24"/>
                <w:highlight w:val="none"/>
                <w:lang w:val="en-US" w:eastAsia="zh-CN"/>
              </w:rPr>
              <w:t>（3分）</w:t>
            </w: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1E0AC2B4">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textAlignment w:val="auto"/>
              <w:rPr>
                <w:rFonts w:hint="eastAsia" w:ascii="宋体" w:hAnsi="宋体" w:eastAsia="宋体" w:cs="宋体"/>
                <w:b w:val="0"/>
                <w:bCs w:val="0"/>
                <w:color w:val="auto"/>
                <w:spacing w:val="0"/>
                <w:sz w:val="24"/>
                <w:szCs w:val="24"/>
                <w:highlight w:val="none"/>
              </w:rPr>
            </w:pPr>
            <w:r>
              <w:rPr>
                <w:rFonts w:hint="eastAsia" w:ascii="宋体" w:hAnsi="宋体" w:cs="宋体"/>
                <w:b w:val="0"/>
                <w:bCs w:val="0"/>
                <w:i w:val="0"/>
                <w:iCs w:val="0"/>
                <w:caps w:val="0"/>
                <w:color w:val="auto"/>
                <w:spacing w:val="0"/>
                <w:sz w:val="24"/>
                <w:szCs w:val="24"/>
                <w:highlight w:val="none"/>
                <w:shd w:val="clear" w:color="auto" w:fill="auto"/>
                <w:lang w:val="en-US" w:eastAsia="zh-CN"/>
              </w:rPr>
              <w:t>在满足招标文件最低要求的基础上，</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投标人编制的试运行阶段服务，包括</w:t>
            </w:r>
            <w:r>
              <w:rPr>
                <w:rFonts w:hint="eastAsia" w:ascii="宋体" w:hAnsi="宋体" w:eastAsia="宋体" w:cs="宋体"/>
                <w:b w:val="0"/>
                <w:bCs w:val="0"/>
                <w:i w:val="0"/>
                <w:iCs w:val="0"/>
                <w:caps w:val="0"/>
                <w:color w:val="auto"/>
                <w:spacing w:val="0"/>
                <w:sz w:val="24"/>
                <w:szCs w:val="24"/>
                <w:highlight w:val="none"/>
                <w:shd w:val="clear" w:color="auto" w:fill="auto"/>
              </w:rPr>
              <w:t>试运行管理计划、试运行准备、试运行过程指导和服务等关键环节</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全面性进行综合评审。</w:t>
            </w:r>
            <w:r>
              <w:rPr>
                <w:rFonts w:hint="eastAsia" w:ascii="宋体" w:hAnsi="宋体" w:cs="宋体"/>
                <w:b w:val="0"/>
                <w:bCs w:val="0"/>
                <w:color w:val="auto"/>
                <w:spacing w:val="0"/>
                <w:sz w:val="24"/>
                <w:szCs w:val="24"/>
                <w:highlight w:val="none"/>
                <w:lang w:val="en-US" w:eastAsia="zh-CN"/>
              </w:rPr>
              <w:t>[0-3]分</w:t>
            </w:r>
          </w:p>
        </w:tc>
      </w:tr>
    </w:tbl>
    <w:p w14:paraId="31CC56B3">
      <w:pPr>
        <w:keepNext w:val="0"/>
        <w:keepLines w:val="0"/>
        <w:pageBreakBefore w:val="0"/>
        <w:widowControl/>
        <w:kinsoku w:val="0"/>
        <w:wordWrap/>
        <w:overflowPunct/>
        <w:topLinePunct w:val="0"/>
        <w:autoSpaceDE w:val="0"/>
        <w:autoSpaceDN w:val="0"/>
        <w:bidi w:val="0"/>
        <w:adjustRightInd w:val="0"/>
        <w:snapToGrid w:val="0"/>
        <w:spacing w:line="312" w:lineRule="auto"/>
        <w:ind w:right="0"/>
        <w:jc w:val="both"/>
        <w:textAlignment w:val="baseline"/>
        <w:rPr>
          <w:rFonts w:hint="eastAsia" w:ascii="宋体" w:hAnsi="宋体" w:eastAsia="宋体" w:cs="宋体"/>
          <w:b/>
          <w:bCs/>
          <w:color w:val="auto"/>
          <w:sz w:val="24"/>
          <w:szCs w:val="24"/>
          <w:highlight w:val="none"/>
          <w:lang w:eastAsia="zh-CN"/>
        </w:rPr>
      </w:pPr>
    </w:p>
    <w:p w14:paraId="762E4237">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投标人是否具有较强的本地化服务能力、售后服务承诺、提供的售后服务方案的可行性、完整性以及服务承诺落实的保障措施，质保期内外的后续技术支持和维护能力情况等。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12分</w:t>
      </w:r>
      <w:r>
        <w:rPr>
          <w:rFonts w:hint="eastAsia" w:ascii="宋体" w:hAnsi="宋体" w:eastAsia="宋体" w:cs="宋体"/>
          <w:b/>
          <w:bCs/>
          <w:color w:val="auto"/>
          <w:sz w:val="24"/>
          <w:szCs w:val="24"/>
          <w:highlight w:val="none"/>
          <w:lang w:eastAsia="zh-CN"/>
        </w:rPr>
        <w:t>）</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23"/>
        <w:gridCol w:w="1705"/>
        <w:gridCol w:w="6857"/>
      </w:tblGrid>
      <w:tr w14:paraId="7FA8D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8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3E74412">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1</w:t>
            </w:r>
          </w:p>
        </w:tc>
        <w:tc>
          <w:tcPr>
            <w:tcW w:w="938"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9238F4D">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人员培训</w:t>
            </w:r>
            <w:r>
              <w:rPr>
                <w:rFonts w:hint="eastAsia" w:ascii="宋体" w:hAnsi="宋体" w:cs="宋体"/>
                <w:b w:val="0"/>
                <w:bCs w:val="0"/>
                <w:color w:val="auto"/>
                <w:spacing w:val="0"/>
                <w:sz w:val="24"/>
                <w:szCs w:val="24"/>
                <w:highlight w:val="none"/>
                <w:lang w:val="en-US" w:eastAsia="zh-CN"/>
              </w:rPr>
              <w:t>（3分）</w:t>
            </w:r>
          </w:p>
        </w:tc>
        <w:tc>
          <w:tcPr>
            <w:tcW w:w="3772"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591A7F2">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textAlignment w:val="auto"/>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根据投标人编制的人员培训方案，包括培训知识、实际操作、</w:t>
            </w:r>
            <w:r>
              <w:rPr>
                <w:rFonts w:hint="eastAsia" w:ascii="宋体" w:hAnsi="宋体" w:eastAsia="宋体" w:cs="宋体"/>
                <w:b w:val="0"/>
                <w:bCs w:val="0"/>
                <w:i w:val="0"/>
                <w:iCs w:val="0"/>
                <w:caps w:val="0"/>
                <w:color w:val="auto"/>
                <w:spacing w:val="0"/>
                <w:sz w:val="24"/>
                <w:szCs w:val="24"/>
                <w:highlight w:val="none"/>
                <w:shd w:val="clear" w:color="auto" w:fill="auto"/>
              </w:rPr>
              <w:t>标准化与安全管理</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等方面进行综合性评审。</w:t>
            </w:r>
            <w:r>
              <w:rPr>
                <w:rFonts w:hint="eastAsia" w:ascii="宋体" w:hAnsi="宋体" w:cs="宋体"/>
                <w:b w:val="0"/>
                <w:bCs w:val="0"/>
                <w:color w:val="auto"/>
                <w:spacing w:val="0"/>
                <w:sz w:val="24"/>
                <w:szCs w:val="24"/>
                <w:highlight w:val="none"/>
                <w:lang w:val="en-US" w:eastAsia="zh-CN"/>
              </w:rPr>
              <w:t>[0-3]分</w:t>
            </w:r>
          </w:p>
        </w:tc>
      </w:tr>
      <w:tr w14:paraId="6E9C7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8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D2357FE">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2</w:t>
            </w:r>
          </w:p>
        </w:tc>
        <w:tc>
          <w:tcPr>
            <w:tcW w:w="938" w:type="pct"/>
            <w:vMerge w:val="restar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E0751FD">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售后服务方案</w:t>
            </w:r>
            <w:r>
              <w:rPr>
                <w:rFonts w:hint="eastAsia" w:ascii="宋体" w:hAnsi="宋体" w:cs="宋体"/>
                <w:b w:val="0"/>
                <w:bCs w:val="0"/>
                <w:color w:val="auto"/>
                <w:spacing w:val="0"/>
                <w:sz w:val="24"/>
                <w:szCs w:val="24"/>
                <w:highlight w:val="none"/>
                <w:lang w:val="en-US" w:eastAsia="zh-CN"/>
              </w:rPr>
              <w:t>（6分）</w:t>
            </w:r>
          </w:p>
        </w:tc>
        <w:tc>
          <w:tcPr>
            <w:tcW w:w="3772"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5737A2C">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eastAsia="zh-CN"/>
              </w:rPr>
              <w:t>投标人提供的售后服务方案、维护人员等情况，是否满足招标人的要求，质保期内的服务承诺的可行性、完整性以及服务承诺的保障措施；对服务承诺的保障措施，运行维护人员安排是否合理；满足招标文件要求且满足现实的情况下，售后响应时间等，进行综合比较评分。</w:t>
            </w:r>
            <w:r>
              <w:rPr>
                <w:rFonts w:hint="eastAsia" w:ascii="宋体" w:hAnsi="宋体" w:eastAsia="宋体" w:cs="宋体"/>
                <w:b w:val="0"/>
                <w:bCs w:val="0"/>
                <w:color w:val="auto"/>
                <w:spacing w:val="0"/>
                <w:sz w:val="24"/>
                <w:szCs w:val="24"/>
                <w:highlight w:val="none"/>
                <w:lang w:val="en-US" w:eastAsia="zh-CN"/>
              </w:rPr>
              <w:t>[</w:t>
            </w:r>
            <w:r>
              <w:rPr>
                <w:rFonts w:hint="eastAsia" w:ascii="宋体" w:hAnsi="宋体" w:cs="宋体"/>
                <w:b w:val="0"/>
                <w:bCs w:val="0"/>
                <w:color w:val="auto"/>
                <w:spacing w:val="0"/>
                <w:sz w:val="24"/>
                <w:szCs w:val="24"/>
                <w:highlight w:val="none"/>
                <w:lang w:val="en-US" w:eastAsia="zh-CN"/>
              </w:rPr>
              <w:t>0-3]分</w:t>
            </w:r>
          </w:p>
        </w:tc>
      </w:tr>
      <w:tr w14:paraId="662CC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8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21C0DE3">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default"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3</w:t>
            </w:r>
          </w:p>
        </w:tc>
        <w:tc>
          <w:tcPr>
            <w:tcW w:w="938" w:type="pct"/>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42785FE9">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val="en-US" w:eastAsia="zh-CN"/>
              </w:rPr>
            </w:pPr>
          </w:p>
        </w:tc>
        <w:tc>
          <w:tcPr>
            <w:tcW w:w="3772"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876856C">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textAlignment w:val="auto"/>
              <w:rPr>
                <w:rFonts w:hint="default"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根据</w:t>
            </w:r>
            <w:r>
              <w:rPr>
                <w:rFonts w:hint="eastAsia" w:ascii="宋体" w:hAnsi="宋体" w:eastAsia="宋体" w:cs="宋体"/>
                <w:b w:val="0"/>
                <w:bCs w:val="0"/>
                <w:color w:val="auto"/>
                <w:spacing w:val="0"/>
                <w:sz w:val="24"/>
                <w:szCs w:val="24"/>
                <w:highlight w:val="none"/>
                <w:lang w:eastAsia="zh-CN"/>
              </w:rPr>
              <w:t>据投标人售后服务</w:t>
            </w:r>
            <w:r>
              <w:rPr>
                <w:rFonts w:hint="eastAsia" w:ascii="宋体" w:hAnsi="宋体" w:eastAsia="宋体" w:cs="宋体"/>
                <w:b w:val="0"/>
                <w:bCs w:val="0"/>
                <w:color w:val="auto"/>
                <w:spacing w:val="0"/>
                <w:sz w:val="24"/>
                <w:szCs w:val="24"/>
                <w:highlight w:val="none"/>
                <w:lang w:val="en-US" w:eastAsia="zh-CN"/>
              </w:rPr>
              <w:t>的</w:t>
            </w:r>
            <w:r>
              <w:rPr>
                <w:rFonts w:hint="eastAsia" w:ascii="宋体" w:hAnsi="宋体" w:eastAsia="宋体" w:cs="宋体"/>
                <w:b w:val="0"/>
                <w:bCs w:val="0"/>
                <w:color w:val="auto"/>
                <w:spacing w:val="0"/>
                <w:sz w:val="24"/>
                <w:szCs w:val="24"/>
                <w:highlight w:val="none"/>
                <w:lang w:eastAsia="zh-CN"/>
              </w:rPr>
              <w:t>便利性，应急维修响应能力等</w:t>
            </w:r>
            <w:r>
              <w:rPr>
                <w:rFonts w:hint="eastAsia" w:ascii="宋体" w:hAnsi="宋体" w:eastAsia="宋体" w:cs="宋体"/>
                <w:b w:val="0"/>
                <w:bCs w:val="0"/>
                <w:color w:val="auto"/>
                <w:spacing w:val="0"/>
                <w:sz w:val="24"/>
                <w:szCs w:val="24"/>
                <w:highlight w:val="none"/>
                <w:lang w:val="en-US" w:eastAsia="zh-CN"/>
              </w:rPr>
              <w:t>内容进行综合评审。[0-3]分</w:t>
            </w:r>
          </w:p>
        </w:tc>
      </w:tr>
      <w:tr w14:paraId="534D3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8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3AE6399">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4</w:t>
            </w:r>
          </w:p>
        </w:tc>
        <w:tc>
          <w:tcPr>
            <w:tcW w:w="938" w:type="pct"/>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29ABF212">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jc w:val="center"/>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eastAsia="zh-CN"/>
              </w:rPr>
              <w:t>质保期</w:t>
            </w:r>
            <w:r>
              <w:rPr>
                <w:rFonts w:hint="eastAsia" w:ascii="宋体" w:hAnsi="宋体" w:cs="宋体"/>
                <w:b w:val="0"/>
                <w:bCs w:val="0"/>
                <w:color w:val="auto"/>
                <w:spacing w:val="0"/>
                <w:sz w:val="24"/>
                <w:szCs w:val="24"/>
                <w:highlight w:val="none"/>
                <w:lang w:val="en-US" w:eastAsia="zh-CN"/>
              </w:rPr>
              <w:t>承诺（3分）</w:t>
            </w:r>
          </w:p>
        </w:tc>
        <w:tc>
          <w:tcPr>
            <w:tcW w:w="3772"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top"/>
          </w:tcPr>
          <w:p w14:paraId="69EA7349">
            <w:pPr>
              <w:keepNext w:val="0"/>
              <w:keepLines w:val="0"/>
              <w:pageBreakBefore w:val="0"/>
              <w:widowControl w:val="0"/>
              <w:shd w:val="clear"/>
              <w:kinsoku/>
              <w:wordWrap/>
              <w:overflowPunct/>
              <w:topLinePunct w:val="0"/>
              <w:autoSpaceDE/>
              <w:autoSpaceDN/>
              <w:bidi w:val="0"/>
              <w:adjustRightInd w:val="0"/>
              <w:snapToGrid w:val="0"/>
              <w:spacing w:line="300" w:lineRule="auto"/>
              <w:ind w:left="0" w:leftChars="0"/>
              <w:textAlignment w:val="auto"/>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eastAsia="zh-CN"/>
              </w:rPr>
              <w:t>质保期期限仅满足招标文件规定的质保期（至少</w:t>
            </w:r>
            <w:r>
              <w:rPr>
                <w:rFonts w:hint="eastAsia" w:ascii="宋体" w:hAnsi="宋体" w:cs="宋体"/>
                <w:b w:val="0"/>
                <w:bCs w:val="0"/>
                <w:color w:val="auto"/>
                <w:spacing w:val="0"/>
                <w:sz w:val="24"/>
                <w:szCs w:val="24"/>
                <w:highlight w:val="none"/>
                <w:lang w:val="en-US" w:eastAsia="zh-CN"/>
              </w:rPr>
              <w:t>36</w:t>
            </w:r>
            <w:r>
              <w:rPr>
                <w:rFonts w:hint="eastAsia" w:ascii="宋体" w:hAnsi="宋体" w:eastAsia="宋体" w:cs="宋体"/>
                <w:b w:val="0"/>
                <w:bCs w:val="0"/>
                <w:color w:val="auto"/>
                <w:spacing w:val="0"/>
                <w:sz w:val="24"/>
                <w:szCs w:val="24"/>
                <w:highlight w:val="none"/>
                <w:lang w:eastAsia="zh-CN"/>
              </w:rPr>
              <w:t>个月）要求的，得0分，若不满足最低质保期要求的作无效标处理；</w:t>
            </w:r>
            <w:r>
              <w:rPr>
                <w:rFonts w:hint="eastAsia" w:ascii="宋体" w:hAnsi="宋体" w:eastAsia="宋体" w:cs="宋体"/>
                <w:b w:val="0"/>
                <w:bCs w:val="0"/>
                <w:color w:val="auto"/>
                <w:spacing w:val="0"/>
                <w:sz w:val="24"/>
                <w:szCs w:val="24"/>
                <w:highlight w:val="none"/>
                <w:lang w:val="en-US" w:eastAsia="zh-CN"/>
              </w:rPr>
              <w:t>质保期限</w:t>
            </w:r>
            <w:r>
              <w:rPr>
                <w:rFonts w:hint="eastAsia" w:ascii="宋体" w:hAnsi="宋体" w:eastAsia="宋体" w:cs="宋体"/>
                <w:b w:val="0"/>
                <w:bCs w:val="0"/>
                <w:color w:val="auto"/>
                <w:spacing w:val="0"/>
                <w:sz w:val="24"/>
                <w:szCs w:val="24"/>
                <w:highlight w:val="none"/>
                <w:lang w:eastAsia="zh-CN"/>
              </w:rPr>
              <w:t>超过招标文件规定的质保期每</w:t>
            </w:r>
            <w:r>
              <w:rPr>
                <w:rFonts w:hint="eastAsia" w:ascii="宋体" w:hAnsi="宋体" w:eastAsia="宋体" w:cs="宋体"/>
                <w:b w:val="0"/>
                <w:bCs w:val="0"/>
                <w:color w:val="auto"/>
                <w:spacing w:val="0"/>
                <w:sz w:val="24"/>
                <w:szCs w:val="24"/>
                <w:highlight w:val="none"/>
                <w:lang w:val="en-US" w:eastAsia="zh-CN"/>
              </w:rPr>
              <w:t>12</w:t>
            </w:r>
            <w:r>
              <w:rPr>
                <w:rFonts w:hint="eastAsia" w:ascii="宋体" w:hAnsi="宋体" w:eastAsia="宋体" w:cs="宋体"/>
                <w:b w:val="0"/>
                <w:bCs w:val="0"/>
                <w:color w:val="auto"/>
                <w:spacing w:val="0"/>
                <w:sz w:val="24"/>
                <w:szCs w:val="24"/>
                <w:highlight w:val="none"/>
                <w:lang w:eastAsia="zh-CN"/>
              </w:rPr>
              <w:t>个月得</w:t>
            </w:r>
            <w:r>
              <w:rPr>
                <w:rFonts w:hint="eastAsia" w:ascii="宋体" w:hAnsi="宋体" w:cs="宋体"/>
                <w:b w:val="0"/>
                <w:bCs w:val="0"/>
                <w:color w:val="auto"/>
                <w:spacing w:val="0"/>
                <w:sz w:val="24"/>
                <w:szCs w:val="24"/>
                <w:highlight w:val="none"/>
                <w:lang w:val="en-US" w:eastAsia="zh-CN"/>
              </w:rPr>
              <w:t>1.5</w:t>
            </w:r>
            <w:r>
              <w:rPr>
                <w:rFonts w:hint="eastAsia" w:ascii="宋体" w:hAnsi="宋体" w:eastAsia="宋体" w:cs="宋体"/>
                <w:b w:val="0"/>
                <w:bCs w:val="0"/>
                <w:color w:val="auto"/>
                <w:spacing w:val="0"/>
                <w:sz w:val="24"/>
                <w:szCs w:val="24"/>
                <w:highlight w:val="none"/>
                <w:lang w:eastAsia="zh-CN"/>
              </w:rPr>
              <w:t>分，最高得</w:t>
            </w:r>
            <w:r>
              <w:rPr>
                <w:rFonts w:hint="eastAsia" w:ascii="宋体" w:hAnsi="宋体" w:eastAsia="宋体" w:cs="宋体"/>
                <w:b w:val="0"/>
                <w:bCs w:val="0"/>
                <w:color w:val="auto"/>
                <w:spacing w:val="0"/>
                <w:sz w:val="24"/>
                <w:szCs w:val="24"/>
                <w:highlight w:val="none"/>
                <w:lang w:val="en-US" w:eastAsia="zh-CN"/>
              </w:rPr>
              <w:t>3</w:t>
            </w:r>
            <w:r>
              <w:rPr>
                <w:rFonts w:hint="eastAsia" w:ascii="宋体" w:hAnsi="宋体" w:eastAsia="宋体" w:cs="宋体"/>
                <w:b w:val="0"/>
                <w:bCs w:val="0"/>
                <w:color w:val="auto"/>
                <w:spacing w:val="0"/>
                <w:sz w:val="24"/>
                <w:szCs w:val="24"/>
                <w:highlight w:val="none"/>
                <w:lang w:eastAsia="zh-CN"/>
              </w:rPr>
              <w:t>分</w:t>
            </w:r>
            <w:r>
              <w:rPr>
                <w:rFonts w:hint="eastAsia" w:ascii="宋体" w:hAnsi="宋体" w:cs="宋体"/>
                <w:b w:val="0"/>
                <w:bCs w:val="0"/>
                <w:color w:val="auto"/>
                <w:spacing w:val="0"/>
                <w:sz w:val="24"/>
                <w:szCs w:val="24"/>
                <w:highlight w:val="none"/>
                <w:lang w:eastAsia="zh-CN"/>
              </w:rPr>
              <w:t>，不足</w:t>
            </w:r>
            <w:r>
              <w:rPr>
                <w:rFonts w:hint="eastAsia" w:ascii="宋体" w:hAnsi="宋体" w:cs="宋体"/>
                <w:b w:val="0"/>
                <w:bCs w:val="0"/>
                <w:color w:val="auto"/>
                <w:spacing w:val="0"/>
                <w:sz w:val="24"/>
                <w:szCs w:val="24"/>
                <w:highlight w:val="none"/>
                <w:lang w:val="en-US" w:eastAsia="zh-CN"/>
              </w:rPr>
              <w:t>12个月不计分</w:t>
            </w:r>
            <w:r>
              <w:rPr>
                <w:rFonts w:hint="eastAsia" w:ascii="宋体" w:hAnsi="宋体" w:eastAsia="宋体" w:cs="宋体"/>
                <w:b w:val="0"/>
                <w:bCs w:val="0"/>
                <w:color w:val="auto"/>
                <w:spacing w:val="0"/>
                <w:sz w:val="24"/>
                <w:szCs w:val="24"/>
                <w:highlight w:val="none"/>
                <w:lang w:eastAsia="zh-CN"/>
              </w:rPr>
              <w:t>。</w:t>
            </w:r>
            <w:r>
              <w:rPr>
                <w:rFonts w:hint="eastAsia" w:ascii="宋体" w:hAnsi="宋体" w:cs="宋体"/>
                <w:b w:val="0"/>
                <w:bCs w:val="0"/>
                <w:color w:val="auto"/>
                <w:spacing w:val="0"/>
                <w:sz w:val="24"/>
                <w:szCs w:val="24"/>
                <w:highlight w:val="none"/>
                <w:lang w:val="en-US" w:eastAsia="zh-CN"/>
              </w:rPr>
              <w:t>[0-3]分</w:t>
            </w:r>
          </w:p>
        </w:tc>
      </w:tr>
    </w:tbl>
    <w:p w14:paraId="09029AF5">
      <w:pPr>
        <w:keepNext w:val="0"/>
        <w:keepLines w:val="0"/>
        <w:pageBreakBefore w:val="0"/>
        <w:widowControl/>
        <w:kinsoku w:val="0"/>
        <w:wordWrap/>
        <w:overflowPunct/>
        <w:topLinePunct w:val="0"/>
        <w:autoSpaceDE w:val="0"/>
        <w:autoSpaceDN w:val="0"/>
        <w:bidi w:val="0"/>
        <w:adjustRightInd w:val="0"/>
        <w:snapToGrid w:val="0"/>
        <w:spacing w:line="312" w:lineRule="auto"/>
        <w:ind w:right="0"/>
        <w:jc w:val="both"/>
        <w:textAlignment w:val="baseline"/>
        <w:rPr>
          <w:rFonts w:hint="eastAsia" w:ascii="宋体" w:hAnsi="宋体" w:cs="宋体"/>
          <w:b w:val="0"/>
          <w:bCs w:val="0"/>
          <w:color w:val="auto"/>
          <w:sz w:val="24"/>
          <w:szCs w:val="24"/>
          <w:highlight w:val="none"/>
          <w:lang w:val="en-US" w:eastAsia="zh-CN"/>
        </w:rPr>
      </w:pPr>
    </w:p>
    <w:p w14:paraId="55DA2C1B">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25" w:firstLineChars="185"/>
        <w:jc w:val="both"/>
        <w:textAlignment w:val="baseline"/>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eastAsia="zh-CN"/>
        </w:rPr>
        <w:t>□</w:t>
      </w:r>
      <w:r>
        <w:rPr>
          <w:rFonts w:hint="eastAsia" w:ascii="宋体" w:hAnsi="宋体" w:eastAsia="宋体" w:cs="宋体"/>
          <w:b w:val="0"/>
          <w:bCs w:val="0"/>
          <w:color w:val="auto"/>
          <w:sz w:val="24"/>
          <w:szCs w:val="24"/>
          <w:highlight w:val="none"/>
          <w:lang w:val="en-US" w:eastAsia="zh-CN"/>
        </w:rPr>
        <w:t>投标人提供的样品质量比较</w:t>
      </w:r>
    </w:p>
    <w:p w14:paraId="29701D62">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4"/>
          <w:szCs w:val="24"/>
          <w:highlight w:val="none"/>
          <w:lang w:val="en-US" w:eastAsia="zh-CN"/>
        </w:rPr>
        <w:t>☑其它（3分）</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0"/>
        <w:gridCol w:w="1606"/>
        <w:gridCol w:w="6420"/>
      </w:tblGrid>
      <w:tr w14:paraId="43A8F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 w:type="dxa"/>
            <w:vAlign w:val="center"/>
          </w:tcPr>
          <w:p w14:paraId="1A73B136">
            <w:pPr>
              <w:pStyle w:val="8"/>
              <w:keepNext w:val="0"/>
              <w:keepLines w:val="0"/>
              <w:pageBreakBefore w:val="0"/>
              <w:widowControl w:val="0"/>
              <w:shd w:val="clear"/>
              <w:kinsoku/>
              <w:wordWrap/>
              <w:overflowPunct/>
              <w:topLinePunct w:val="0"/>
              <w:bidi w:val="0"/>
              <w:adjustRightInd w:val="0"/>
              <w:snapToGrid w:val="0"/>
              <w:spacing w:line="300" w:lineRule="auto"/>
              <w:ind w:left="0" w:leftChars="0"/>
              <w:jc w:val="center"/>
              <w:rPr>
                <w:rFonts w:hint="eastAsia" w:ascii="宋体" w:hAnsi="宋体" w:eastAsia="宋体" w:cs="宋体"/>
                <w:color w:val="auto"/>
                <w:spacing w:val="0"/>
                <w:sz w:val="24"/>
                <w:szCs w:val="24"/>
                <w:highlight w:val="none"/>
                <w:vertAlign w:val="baseline"/>
                <w:lang w:val="en-US" w:eastAsia="zh-CN"/>
              </w:rPr>
            </w:pPr>
            <w:r>
              <w:rPr>
                <w:rFonts w:hint="eastAsia" w:ascii="宋体" w:hAnsi="宋体" w:eastAsia="宋体" w:cs="宋体"/>
                <w:color w:val="auto"/>
                <w:spacing w:val="0"/>
                <w:sz w:val="24"/>
                <w:szCs w:val="24"/>
                <w:highlight w:val="none"/>
                <w:vertAlign w:val="baseline"/>
                <w:lang w:val="en-US" w:eastAsia="zh-CN"/>
              </w:rPr>
              <w:t>1</w:t>
            </w:r>
          </w:p>
        </w:tc>
        <w:tc>
          <w:tcPr>
            <w:tcW w:w="1606" w:type="dxa"/>
            <w:vAlign w:val="center"/>
          </w:tcPr>
          <w:p w14:paraId="0956B1B1">
            <w:pPr>
              <w:pStyle w:val="8"/>
              <w:keepNext w:val="0"/>
              <w:keepLines w:val="0"/>
              <w:pageBreakBefore w:val="0"/>
              <w:widowControl w:val="0"/>
              <w:shd w:val="clear"/>
              <w:kinsoku/>
              <w:wordWrap/>
              <w:overflowPunct/>
              <w:topLinePunct w:val="0"/>
              <w:bidi w:val="0"/>
              <w:adjustRightInd w:val="0"/>
              <w:snapToGrid w:val="0"/>
              <w:spacing w:line="300" w:lineRule="auto"/>
              <w:ind w:left="0" w:leftChars="0"/>
              <w:jc w:val="center"/>
              <w:rPr>
                <w:rFonts w:hint="eastAsia" w:ascii="宋体" w:hAnsi="宋体" w:eastAsia="宋体" w:cs="宋体"/>
                <w:color w:val="auto"/>
                <w:spacing w:val="0"/>
                <w:sz w:val="24"/>
                <w:szCs w:val="24"/>
                <w:highlight w:val="none"/>
                <w:vertAlign w:val="baseline"/>
                <w:lang w:val="en-US" w:eastAsia="zh-CN"/>
              </w:rPr>
            </w:pPr>
            <w:r>
              <w:rPr>
                <w:rFonts w:hint="eastAsia" w:ascii="宋体" w:hAnsi="宋体" w:eastAsia="宋体" w:cs="宋体"/>
                <w:i w:val="0"/>
                <w:iCs w:val="0"/>
                <w:color w:val="auto"/>
                <w:spacing w:val="0"/>
                <w:sz w:val="24"/>
                <w:szCs w:val="24"/>
                <w:highlight w:val="none"/>
              </w:rPr>
              <w:t>项目管理人员配置情况</w:t>
            </w:r>
            <w:r>
              <w:rPr>
                <w:rFonts w:hint="eastAsia" w:ascii="宋体" w:hAnsi="宋体" w:eastAsia="宋体" w:cs="宋体"/>
                <w:i w:val="0"/>
                <w:iCs w:val="0"/>
                <w:color w:val="auto"/>
                <w:spacing w:val="0"/>
                <w:sz w:val="24"/>
                <w:szCs w:val="24"/>
                <w:highlight w:val="none"/>
                <w:lang w:eastAsia="zh-CN"/>
              </w:rPr>
              <w:t>（</w:t>
            </w:r>
            <w:r>
              <w:rPr>
                <w:rFonts w:hint="eastAsia" w:ascii="宋体" w:hAnsi="宋体" w:eastAsia="宋体" w:cs="宋体"/>
                <w:i w:val="0"/>
                <w:iCs w:val="0"/>
                <w:color w:val="auto"/>
                <w:spacing w:val="0"/>
                <w:sz w:val="24"/>
                <w:szCs w:val="24"/>
                <w:highlight w:val="none"/>
                <w:lang w:val="en-US" w:eastAsia="zh-CN"/>
              </w:rPr>
              <w:t>3分</w:t>
            </w:r>
            <w:r>
              <w:rPr>
                <w:rFonts w:hint="eastAsia" w:ascii="宋体" w:hAnsi="宋体" w:eastAsia="宋体" w:cs="宋体"/>
                <w:i w:val="0"/>
                <w:iCs w:val="0"/>
                <w:color w:val="auto"/>
                <w:spacing w:val="0"/>
                <w:sz w:val="24"/>
                <w:szCs w:val="24"/>
                <w:highlight w:val="none"/>
                <w:lang w:eastAsia="zh-CN"/>
              </w:rPr>
              <w:t>）</w:t>
            </w:r>
          </w:p>
        </w:tc>
        <w:tc>
          <w:tcPr>
            <w:tcW w:w="6420" w:type="dxa"/>
          </w:tcPr>
          <w:p w14:paraId="440B45B9">
            <w:pPr>
              <w:keepNext w:val="0"/>
              <w:keepLines w:val="0"/>
              <w:pageBreakBefore w:val="0"/>
              <w:widowControl w:val="0"/>
              <w:shd w:val="clear"/>
              <w:kinsoku/>
              <w:wordWrap/>
              <w:overflowPunct/>
              <w:topLinePunct w:val="0"/>
              <w:bidi w:val="0"/>
              <w:adjustRightInd w:val="0"/>
              <w:snapToGrid w:val="0"/>
              <w:spacing w:line="300" w:lineRule="auto"/>
              <w:ind w:left="0" w:leftChars="0"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bidi="ar"/>
              </w:rPr>
              <w:t>拟派项目管理团队岗位配置完整性、与医院洁净内容的匹配性，包括项目负责人、技术负责人、安全、质量、材料等岗位的设置；同时结合项目管理团队人员机电工程和建筑工程相关专业职称等级、专业背景、资格证书等内容进行打分。[0-3]分</w:t>
            </w:r>
          </w:p>
        </w:tc>
      </w:tr>
    </w:tbl>
    <w:p w14:paraId="79A645B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25" w:firstLineChars="185"/>
        <w:jc w:val="both"/>
        <w:textAlignment w:val="baseline"/>
        <w:rPr>
          <w:rFonts w:hint="eastAsia" w:ascii="宋体" w:hAnsi="宋体" w:eastAsia="宋体" w:cs="宋体"/>
          <w:color w:val="auto"/>
          <w:sz w:val="23"/>
          <w:szCs w:val="23"/>
          <w:highlight w:val="none"/>
        </w:rPr>
      </w:pPr>
    </w:p>
    <w:p w14:paraId="2E54451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(四)投标文件的商务标评审</w:t>
      </w:r>
    </w:p>
    <w:p w14:paraId="3F7A7BC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5"/>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1.由评标委员会全体成员对投标文件的报价进行评审。评标专家应对报价的范围、数量、单价、费用组成和总价等进行全面审阅和对比分析，找出报价差异的原因及存在的问题。</w:t>
      </w:r>
    </w:p>
    <w:p w14:paraId="54E60E7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2.报价评审应以报价口径范围一致的投标评标价为依据。投标评标价应在最终报价的基础上，按照招标文件约定的因素和方法进行计算。</w:t>
      </w:r>
    </w:p>
    <w:p w14:paraId="6C755EF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3.评标基准价由评标委员会依据下述方法计算，除计算差错外，确认后的评标基准价在本次招标期间保持不变。</w:t>
      </w:r>
    </w:p>
    <w:p w14:paraId="6BB5C6A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计算差错，仅限于以下两种情况：(1)纯算术性四则运算差错；(2)未按约定的计算方</w:t>
      </w:r>
    </w:p>
    <w:p w14:paraId="7AA53445">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2"/>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法，多计或者少计投标人报价的。由于评标差错，导致否决投标错误，重新评标纠正等其他情况，不属于计算差错。</w:t>
      </w:r>
    </w:p>
    <w:p w14:paraId="40851BC2">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4.报价评分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37</w:t>
      </w:r>
      <w:r>
        <w:rPr>
          <w:rFonts w:hint="eastAsia" w:ascii="宋体" w:hAnsi="宋体" w:eastAsia="宋体" w:cs="宋体"/>
          <w:b/>
          <w:bCs/>
          <w:color w:val="auto"/>
          <w:sz w:val="23"/>
          <w:szCs w:val="23"/>
          <w:highlight w:val="none"/>
        </w:rPr>
        <w:t>分)</w:t>
      </w:r>
    </w:p>
    <w:p w14:paraId="36BF8C35">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lang w:eastAsia="zh-CN"/>
        </w:rPr>
        <w:t>☑</w:t>
      </w:r>
      <w:r>
        <w:rPr>
          <w:rFonts w:hint="eastAsia" w:ascii="宋体" w:hAnsi="宋体" w:eastAsia="宋体" w:cs="宋体"/>
          <w:strike w:val="0"/>
          <w:dstrike w:val="0"/>
          <w:color w:val="auto"/>
          <w:sz w:val="23"/>
          <w:szCs w:val="23"/>
          <w:highlight w:val="none"/>
        </w:rPr>
        <w:t>平均价法（方法一）</w:t>
      </w:r>
    </w:p>
    <w:p w14:paraId="381D89D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(1)评分范围：通过符合性审查的所有投标文件进入评分范围。</w:t>
      </w:r>
    </w:p>
    <w:p w14:paraId="2DAB6C0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(2)评标基准价：进入评分范围的投标评标价的算术平均值为评标基准价(其中，</w:t>
      </w:r>
    </w:p>
    <w:p w14:paraId="552EA49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投标评标价在5个至7个时，去除一个最高价和一个最低价；投标评标价在8个及以上时，去除一个最高、次高价和一个最低、次低价)。</w:t>
      </w:r>
    </w:p>
    <w:p w14:paraId="0D14A45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(3)根据投标文件的投标评标价与评标基准价对比，计算投标人的商务报价的得分值。</w:t>
      </w:r>
    </w:p>
    <w:p w14:paraId="2B5FB47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即：</w:t>
      </w:r>
    </w:p>
    <w:p w14:paraId="11F8447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position w:val="15"/>
          <w:sz w:val="23"/>
          <w:szCs w:val="23"/>
          <w:highlight w:val="none"/>
        </w:rPr>
        <w:t>a.投标评标价等于评标基准价时，得满分(</w:t>
      </w:r>
      <w:r>
        <w:rPr>
          <w:rFonts w:hint="eastAsia" w:ascii="宋体" w:hAnsi="宋体" w:eastAsia="宋体" w:cs="宋体"/>
          <w:strike w:val="0"/>
          <w:dstrike w:val="0"/>
          <w:color w:val="auto"/>
          <w:position w:val="15"/>
          <w:sz w:val="23"/>
          <w:szCs w:val="23"/>
          <w:highlight w:val="none"/>
          <w:lang w:val="en-US" w:eastAsia="zh-CN"/>
        </w:rPr>
        <w:t>37</w:t>
      </w:r>
      <w:r>
        <w:rPr>
          <w:rFonts w:hint="eastAsia" w:ascii="宋体" w:hAnsi="宋体" w:eastAsia="宋体" w:cs="宋体"/>
          <w:strike w:val="0"/>
          <w:dstrike w:val="0"/>
          <w:color w:val="auto"/>
          <w:position w:val="15"/>
          <w:sz w:val="23"/>
          <w:szCs w:val="23"/>
          <w:highlight w:val="none"/>
        </w:rPr>
        <w:t>分)；</w:t>
      </w:r>
    </w:p>
    <w:p w14:paraId="2125E44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b.投标评标价每低于评标基准价1个百分点，扣0.5分；</w:t>
      </w:r>
    </w:p>
    <w:p w14:paraId="133BF02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c.投标评标价每高于评标基准价1个百分点，扣1分。</w:t>
      </w:r>
    </w:p>
    <w:p w14:paraId="36973D1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60" w:firstLineChars="20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以上报价得分不足一个百分点时，使用直线插入法计算，保留小数2位。投标文件的商务标评分不足10分的，计为10分。</w:t>
      </w:r>
    </w:p>
    <w:p w14:paraId="0812CF1D">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(五)投标文件的综合评分：投标文件的资信业绩评分、技术评分、商务评分的总和。</w:t>
      </w:r>
    </w:p>
    <w:p w14:paraId="1838CC8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(六)对投标人进行排序，推荐中标候选人</w:t>
      </w:r>
    </w:p>
    <w:p w14:paraId="75C8260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抽签(或</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记名投票表决)方式排序。</w:t>
      </w:r>
    </w:p>
    <w:p w14:paraId="1CB84AF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2.评标委员会根据投标人须知前附表7.1规定，确定中标人或推荐中标候选人。</w:t>
      </w:r>
    </w:p>
    <w:p w14:paraId="370420F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五、完成评标报告</w:t>
      </w:r>
    </w:p>
    <w:p w14:paraId="1B722634">
      <w:pPr>
        <w:keepNext w:val="0"/>
        <w:keepLines w:val="0"/>
        <w:pageBreakBefore w:val="0"/>
        <w:widowControl/>
        <w:kinsoku w:val="0"/>
        <w:wordWrap/>
        <w:overflowPunct/>
        <w:topLinePunct w:val="0"/>
        <w:autoSpaceDE w:val="0"/>
        <w:autoSpaceDN w:val="0"/>
        <w:bidi w:val="0"/>
        <w:adjustRightInd w:val="0"/>
        <w:snapToGrid w:val="0"/>
        <w:spacing w:line="324" w:lineRule="auto"/>
        <w:ind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38607F76">
      <w:pPr>
        <w:keepNext w:val="0"/>
        <w:keepLines w:val="0"/>
        <w:pageBreakBefore w:val="0"/>
        <w:widowControl/>
        <w:kinsoku w:val="0"/>
        <w:wordWrap/>
        <w:overflowPunct/>
        <w:topLinePunct w:val="0"/>
        <w:autoSpaceDE w:val="0"/>
        <w:autoSpaceDN w:val="0"/>
        <w:bidi w:val="0"/>
        <w:adjustRightInd w:val="0"/>
        <w:snapToGrid w:val="0"/>
        <w:spacing w:line="324" w:lineRule="auto"/>
        <w:ind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(二)评标报告应包括以下内容：</w:t>
      </w:r>
    </w:p>
    <w:p w14:paraId="6C7A2E4D">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1.开标记录；</w:t>
      </w:r>
    </w:p>
    <w:p w14:paraId="7413146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2.评标内容、过程和结果；</w:t>
      </w:r>
    </w:p>
    <w:p w14:paraId="4493A89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3.询标澄清纪要；</w:t>
      </w:r>
    </w:p>
    <w:p w14:paraId="717215E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4.否决投标情况说明及依据；</w:t>
      </w:r>
    </w:p>
    <w:p w14:paraId="10B9A11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5.推荐中标候选人；</w:t>
      </w:r>
    </w:p>
    <w:p w14:paraId="42B204B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6.中标候选人投标资格条件业绩和评分业绩(招标文件对投标资格或评分有业绩要求的)；</w:t>
      </w:r>
    </w:p>
    <w:p w14:paraId="59288B6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7.其他建议。</w:t>
      </w:r>
    </w:p>
    <w:p w14:paraId="2E0C4138">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highlight w:val="none"/>
        </w:rPr>
        <w:sectPr>
          <w:footerReference r:id="rId14" w:type="default"/>
          <w:pgSz w:w="11907" w:h="16840"/>
          <w:pgMar w:top="1418" w:right="1559" w:bottom="1418" w:left="1474" w:header="0" w:footer="723" w:gutter="0"/>
          <w:cols w:space="720" w:num="1"/>
        </w:sectPr>
      </w:pPr>
    </w:p>
    <w:p w14:paraId="5CAD1AD0">
      <w:pPr>
        <w:spacing w:line="243" w:lineRule="auto"/>
        <w:jc w:val="both"/>
        <w:rPr>
          <w:rFonts w:hint="eastAsia" w:ascii="宋体" w:hAnsi="宋体" w:eastAsia="宋体" w:cs="宋体"/>
          <w:color w:val="auto"/>
          <w:highlight w:val="none"/>
        </w:rPr>
      </w:pPr>
    </w:p>
    <w:p w14:paraId="24149DD1">
      <w:pPr>
        <w:spacing w:line="243" w:lineRule="auto"/>
        <w:jc w:val="both"/>
        <w:rPr>
          <w:rFonts w:hint="eastAsia" w:ascii="宋体" w:hAnsi="宋体" w:eastAsia="宋体" w:cs="宋体"/>
          <w:color w:val="auto"/>
          <w:highlight w:val="none"/>
        </w:rPr>
      </w:pPr>
    </w:p>
    <w:p w14:paraId="47E3B12A">
      <w:pPr>
        <w:spacing w:before="101" w:line="225" w:lineRule="auto"/>
        <w:ind w:left="2654"/>
        <w:jc w:val="both"/>
        <w:outlineLvl w:val="0"/>
        <w:rPr>
          <w:rFonts w:hint="eastAsia" w:ascii="宋体" w:hAnsi="宋体" w:eastAsia="宋体" w:cs="宋体"/>
          <w:color w:val="auto"/>
          <w:sz w:val="31"/>
          <w:szCs w:val="31"/>
          <w:highlight w:val="none"/>
        </w:rPr>
      </w:pPr>
      <w:bookmarkStart w:id="45" w:name="_bookmark12"/>
      <w:bookmarkEnd w:id="45"/>
      <w:r>
        <w:rPr>
          <w:rFonts w:hint="eastAsia" w:ascii="宋体" w:hAnsi="宋体" w:eastAsia="宋体" w:cs="宋体"/>
          <w:color w:val="auto"/>
          <w:sz w:val="31"/>
          <w:szCs w:val="31"/>
          <w:highlight w:val="none"/>
        </w:rPr>
        <w:t>第四章合同条款及格式</w:t>
      </w:r>
    </w:p>
    <w:p w14:paraId="388F3F06">
      <w:pPr>
        <w:spacing w:line="360" w:lineRule="auto"/>
        <w:ind w:firstLine="462" w:firstLineChars="200"/>
        <w:jc w:val="both"/>
        <w:rPr>
          <w:rFonts w:hint="eastAsia" w:ascii="宋体" w:hAnsi="宋体" w:eastAsia="宋体" w:cs="宋体"/>
          <w:b/>
          <w:bCs/>
          <w:color w:val="auto"/>
          <w:sz w:val="23"/>
          <w:szCs w:val="23"/>
          <w:highlight w:val="none"/>
          <w:lang w:bidi="ar"/>
        </w:rPr>
      </w:pPr>
    </w:p>
    <w:p w14:paraId="37B9C31A">
      <w:pPr>
        <w:spacing w:line="360" w:lineRule="auto"/>
        <w:ind w:firstLine="482" w:firstLineChars="200"/>
        <w:jc w:val="both"/>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第一节通用合同条款</w:t>
      </w:r>
    </w:p>
    <w:p w14:paraId="65147BAE">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1.一般约定</w:t>
      </w:r>
    </w:p>
    <w:p w14:paraId="4F0DF62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1.1词语定义</w:t>
      </w:r>
    </w:p>
    <w:p w14:paraId="71540C4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除专用合同条款另有约定外，合同中的下列词语应具有本款所赋予的含义。</w:t>
      </w:r>
    </w:p>
    <w:p w14:paraId="0332F5AA">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1.1.1合同</w:t>
      </w:r>
    </w:p>
    <w:p w14:paraId="69969E1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1.1.1.1合同文件（或称合同）：指合同协议书、中标通知书、投标函、商务和技术偏差表、专用合同条款、通用合同条款、供货要求、分项报价表、中标设备(材料)技术性能指标的详细描述、技术服务和质保期服务计划，以及其他构成合同组成部分的文件。</w:t>
      </w:r>
    </w:p>
    <w:p w14:paraId="6CC3C0F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1.1.1.2合同协议书：指买方和卖方共同签署的合同协议书。</w:t>
      </w:r>
    </w:p>
    <w:p w14:paraId="3F7FBA1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1.1.1.3中标通知书：指买方通知卖方中标的函件。</w:t>
      </w:r>
    </w:p>
    <w:p w14:paraId="45DEE8A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1.1.1.4投标函：指由卖方填写并签署的，名为“投标函”的函件。</w:t>
      </w:r>
    </w:p>
    <w:p w14:paraId="668069C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1.1.1.5商务和技术偏差表：指卖方投标文件中的商务和技术偏差表。</w:t>
      </w:r>
    </w:p>
    <w:p w14:paraId="3DE5126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1.1.1.6供货要求：指合同文件中名为“供货要求”的文件。</w:t>
      </w:r>
    </w:p>
    <w:p w14:paraId="2D695EB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1.1.1.7中标设备(材料)技术性能指标的详细描述：指卖方投标文件中的投标设备(材料)技术性能指标的详细描述。</w:t>
      </w:r>
    </w:p>
    <w:p w14:paraId="5C87D2F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1.1.1.8技术服务和质保期服务计划：指卖方投标文件中的技术服务和质保期服务计划。</w:t>
      </w:r>
    </w:p>
    <w:p w14:paraId="03EB659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1.1.1.9分项报价表：指卖方投标文件中的分项报价表。</w:t>
      </w:r>
    </w:p>
    <w:p w14:paraId="1346FF35">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1.1.1.10其他合同文件：指经合同双方当事人确认构成合同文件的其他文件。</w:t>
      </w:r>
    </w:p>
    <w:p w14:paraId="22DD2E09">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1.1.2合同当事人</w:t>
      </w:r>
    </w:p>
    <w:p w14:paraId="2066BD0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1.1.2.1合同当事人：指买方和（或）卖方。</w:t>
      </w:r>
    </w:p>
    <w:p w14:paraId="74CD48D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1.1.2.2买方：指与卖方签订合同协议书，购买合同设备(材料)和技术服务和质保期服务的当事人，及其合法继承人。</w:t>
      </w:r>
    </w:p>
    <w:p w14:paraId="4C968F6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1.1.2.3卖方：指与买方签订合同协议书，提供合同设备(材料)和技术服务和质保期服务的当事人，及其合法继承人。</w:t>
      </w:r>
    </w:p>
    <w:p w14:paraId="25CB4C0D">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1.1.3合同价格</w:t>
      </w:r>
    </w:p>
    <w:p w14:paraId="394F899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1.1.3.1签约合同价：是签订合同时合同协议书中写明的合同总金额。</w:t>
      </w:r>
    </w:p>
    <w:p w14:paraId="587BA04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1.1.3.2合同价格：指卖方按合同约定履行了全部合同义务后，买方应付给卖方的金额。</w:t>
      </w:r>
    </w:p>
    <w:p w14:paraId="08218C5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1.1.4合同设备(材料)：指卖方按合同约定应向买方提供的设备(材料)、装置、备品、备件、易损易耗件、配套使用的软件或其他辅助电子应用程序及技术资料，或其中任何一部分。</w:t>
      </w:r>
    </w:p>
    <w:p w14:paraId="722694E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1.1.5技术资料：指各种纸质及电子载体的与合同设备(材料)的设计、检验、安装、调试、考核、操作、维修以及保养等有关的技术指标、规格、图纸和说明文件。</w:t>
      </w:r>
    </w:p>
    <w:p w14:paraId="4D9712E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1.1.6安装：指对合同设备(材料)进行的组装、连接以及根据需要将合同设备(材料)固定在施工场地内一定的位置上，使其就位并与相关设备(材料)、工程实现连接。</w:t>
      </w:r>
    </w:p>
    <w:p w14:paraId="22F3741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1.1.7调试：指在合同设备(材料)安装完成后，对合同设备(材料)所进行的调校和测试。</w:t>
      </w:r>
    </w:p>
    <w:p w14:paraId="2F47131B">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1.1.8考核：指在合同设备(材料)调试完成后，对合同设备(材料)进行的用于确定其是否达到合同约定的技术性能考核指标的考核。</w:t>
      </w:r>
    </w:p>
    <w:p w14:paraId="73E9241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1.1.9验收：指合同设备(材料)通过考核达到合同约定的技术性能考核指标后，买方作出接受合同设备(材料)的确认。</w:t>
      </w:r>
    </w:p>
    <w:p w14:paraId="41A971B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1.1.10技术服务：指卖方按合同约定，在合同设备(材料)验收前，向买方提供的安装、调试服务，或者在由买方负责的安装、调试、考核中对买方进行的技术指导、协助、监督和培训等。</w:t>
      </w:r>
    </w:p>
    <w:p w14:paraId="7F8F2E5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1.1.11质量保证期：指合同设备(材料)验收后，卖方按合同约定保证合同设备(材料)适当、稳定运行，并负责消除合同设备(材料)故障的期限。</w:t>
      </w:r>
    </w:p>
    <w:p w14:paraId="06BC1EF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1.1.12质保期服务：指在质量保证期内，卖方向买方提供的合同设备(材料)维护服务、咨询服务、技术指导、协助以及对出现故障的合同设备(材料)进行修理或更换的服务。</w:t>
      </w:r>
    </w:p>
    <w:p w14:paraId="0571B967">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1.1.13工程</w:t>
      </w:r>
    </w:p>
    <w:p w14:paraId="79B9813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1.1.13.1工程：指在专用合同条款中指明的，安装运行合同设备(材料)的工程。</w:t>
      </w:r>
    </w:p>
    <w:p w14:paraId="4BF1910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1.1.13.2施工场地（或称工地、施工现场）：指专用合同条款中指明的工程所在场所。</w:t>
      </w:r>
    </w:p>
    <w:p w14:paraId="35409EF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1.1.14天（或称日）：除特别指明外，指日历天。合同中按天计算时间的，开始当天不计入，从次日开始计算。合同约定的期间的最后一天是星期日或者其他法定休假日的，以休假日的次日为期间的最后一天。</w:t>
      </w:r>
    </w:p>
    <w:p w14:paraId="36B78A2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1.1.15月：按照公历月计算。合同中按月计算时间的，开始当天不计入，从次日开始计算。合同约定的期间的最后一天是星期日或者其他法定休假日的，以休假日的次日为期间的最后一天。</w:t>
      </w:r>
    </w:p>
    <w:p w14:paraId="661DA9D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1.1.16书面形式：指合同文件、信件和数据电文（包括电报、电传、传真、电子数据交换和电子邮件）等可以有形地表现所载内容的形式。</w:t>
      </w:r>
    </w:p>
    <w:p w14:paraId="5F33464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1.2语言文字</w:t>
      </w:r>
    </w:p>
    <w:p w14:paraId="475A136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合同使用的语言文字为中文。专用术语使用外文的，应附有中文注释。</w:t>
      </w:r>
    </w:p>
    <w:p w14:paraId="32860A3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1.3合同文件的优先顺序</w:t>
      </w:r>
    </w:p>
    <w:p w14:paraId="2A0FF85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组成合同的各项文件应互相解释，互为说明。除专用合同条款另有约定外，解释合同文件的优先顺序如下：</w:t>
      </w:r>
    </w:p>
    <w:p w14:paraId="49D9755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（1）合同协议书；</w:t>
      </w:r>
    </w:p>
    <w:p w14:paraId="50E937F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（2）中标通知书；</w:t>
      </w:r>
    </w:p>
    <w:p w14:paraId="4A60440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（3）投标函；</w:t>
      </w:r>
    </w:p>
    <w:p w14:paraId="420B9E1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（4）商务和技术偏差表；</w:t>
      </w:r>
    </w:p>
    <w:p w14:paraId="33F2077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（5）专用合同条款；</w:t>
      </w:r>
    </w:p>
    <w:p w14:paraId="747574F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（6）通用合同条款；</w:t>
      </w:r>
    </w:p>
    <w:p w14:paraId="6C9C831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（7）供货要求；</w:t>
      </w:r>
    </w:p>
    <w:p w14:paraId="0BC9DCB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（8）分项报价表；</w:t>
      </w:r>
    </w:p>
    <w:p w14:paraId="4EF63871">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（9）中标设备(材料)技术性能指标的详细描述；</w:t>
      </w:r>
    </w:p>
    <w:p w14:paraId="76E8632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（10）技术服务和质保期服务计划；</w:t>
      </w:r>
    </w:p>
    <w:p w14:paraId="1A3B657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（11）其他合同文件。</w:t>
      </w:r>
    </w:p>
    <w:p w14:paraId="1FDE2B0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1.4合同的生效及变更</w:t>
      </w:r>
    </w:p>
    <w:p w14:paraId="2DF56AE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1.4.1除专用合同条款另有约定外，买方和卖方的法定代表人（单位负责人）或其授权代表在合同协议书上签字并加盖单位章后，合同生效。</w:t>
      </w:r>
    </w:p>
    <w:p w14:paraId="3102A14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1.4.2除专用合同条款另有约定外，在合同履行过程中，如需对合同进行变更，双方应签订书面协议，并经双方法定代表人（单位负责人）或其授权代表签字并加盖单位章后生效。</w:t>
      </w:r>
    </w:p>
    <w:p w14:paraId="1F99E71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1.5联络</w:t>
      </w:r>
    </w:p>
    <w:p w14:paraId="3F04869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5584A4C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1.5.2合同履行中或与合同有关的任何联络，送达到第1.5.1项指定的联系人即视为送达。</w:t>
      </w:r>
    </w:p>
    <w:p w14:paraId="246BB96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1.5.3买方可以安排监理等相关人员作为买方人员，与卖方进行联络或参加合同设备(材料)的监造（如有）、交货前检验（如有）、开箱检验、安装、调试、考核、验收等，但应按照第1.5.1项的约定事先书面通知卖方。</w:t>
      </w:r>
    </w:p>
    <w:p w14:paraId="10ABE0CB">
      <w:pPr>
        <w:spacing w:line="360" w:lineRule="auto"/>
        <w:ind w:firstLine="480" w:firstLineChars="200"/>
        <w:jc w:val="both"/>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lang w:bidi="ar"/>
        </w:rPr>
        <w:t>1.6联合体</w:t>
      </w:r>
    </w:p>
    <w:p w14:paraId="3F6F5965">
      <w:pPr>
        <w:spacing w:line="360" w:lineRule="auto"/>
        <w:ind w:firstLine="480" w:firstLineChars="200"/>
        <w:jc w:val="both"/>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lang w:bidi="ar"/>
        </w:rPr>
        <w:t>1.6.1卖方为联合体的，联合体各方应当共同与买方签订合同，并向买方为履行合同承担连带责任。</w:t>
      </w:r>
    </w:p>
    <w:p w14:paraId="7B58CC5F">
      <w:pPr>
        <w:spacing w:line="360" w:lineRule="auto"/>
        <w:ind w:firstLine="480" w:firstLineChars="200"/>
        <w:jc w:val="both"/>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lang w:bidi="ar"/>
        </w:rPr>
        <w:t>1.6.2在合同履行过程中，未经买方同意，不得修改联合体协议。联合体协议中关于联合体成员间权利义务的划分，并不影响或减损联合体各方应就履行合同向买方承担的连带责任。</w:t>
      </w:r>
    </w:p>
    <w:p w14:paraId="588AB9F9">
      <w:pPr>
        <w:spacing w:line="360" w:lineRule="auto"/>
        <w:ind w:firstLine="480" w:firstLineChars="200"/>
        <w:jc w:val="both"/>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lang w:bidi="ar"/>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14:paraId="1540B20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1.7转让</w:t>
      </w:r>
    </w:p>
    <w:p w14:paraId="6246B6B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未经对方当事人书面同意，合同任何一方均不得转让其在合同项下的权利和（或）义务。</w:t>
      </w:r>
    </w:p>
    <w:p w14:paraId="2CD7A8B3">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2.合同范围</w:t>
      </w:r>
    </w:p>
    <w:p w14:paraId="1E842DD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卖方应根据供货要求、中标设备(材料)技术性能指标的详细描述、技术服务和质保期服务计划等合同文件的约定向买方提供合同设备(材料)、技术服务和质保期服务。</w:t>
      </w:r>
    </w:p>
    <w:p w14:paraId="1FA3FEC6">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3.合同价格与支付</w:t>
      </w:r>
    </w:p>
    <w:p w14:paraId="5B26B93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3.1合同价格</w:t>
      </w:r>
    </w:p>
    <w:p w14:paraId="0B1404C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3.1.1合同协议书中载明的签约合同价包括卖方为完成合同全部义务应承担的一切成本、费用和支出以及卖方的合理利润。</w:t>
      </w:r>
    </w:p>
    <w:p w14:paraId="5439C56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3.1.2除专用合同条款另有约定外，签约合同价为固定价格。</w:t>
      </w:r>
    </w:p>
    <w:p w14:paraId="2F898675">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3.2合同价款的支付</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注：如联合体中标的，则工程款支付给联合体牵头人。</w:t>
      </w:r>
      <w:r>
        <w:rPr>
          <w:rFonts w:hint="eastAsia" w:ascii="宋体" w:hAnsi="宋体" w:eastAsia="宋体" w:cs="宋体"/>
          <w:color w:val="auto"/>
          <w:sz w:val="24"/>
          <w:szCs w:val="24"/>
          <w:highlight w:val="none"/>
          <w:lang w:eastAsia="zh-CN" w:bidi="ar"/>
        </w:rPr>
        <w:t>）</w:t>
      </w:r>
    </w:p>
    <w:p w14:paraId="68F8E496">
      <w:pPr>
        <w:spacing w:line="360" w:lineRule="auto"/>
        <w:ind w:firstLine="480" w:firstLineChars="200"/>
        <w:jc w:val="both"/>
        <w:rPr>
          <w:rFonts w:hint="eastAsia" w:ascii="宋体" w:hAnsi="宋体" w:eastAsia="宋体" w:cs="宋体"/>
          <w:color w:val="auto"/>
          <w:sz w:val="24"/>
          <w:szCs w:val="24"/>
          <w:highlight w:val="none"/>
        </w:rPr>
      </w:pPr>
    </w:p>
    <w:p w14:paraId="67201BD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除专用合同条款另有约定外，买方应通过以下方式和比例向卖方支付合同价款：</w:t>
      </w:r>
    </w:p>
    <w:p w14:paraId="2DAE725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3.2.1预付款</w:t>
      </w:r>
    </w:p>
    <w:p w14:paraId="095D4A5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合同签订生效且收到</w:t>
      </w:r>
      <w:r>
        <w:rPr>
          <w:rFonts w:hint="eastAsia" w:ascii="宋体" w:hAnsi="宋体" w:eastAsia="宋体" w:cs="宋体"/>
          <w:color w:val="auto"/>
          <w:sz w:val="24"/>
          <w:szCs w:val="24"/>
          <w:highlight w:val="none"/>
          <w:lang w:val="en-US" w:eastAsia="zh-CN" w:bidi="ar"/>
        </w:rPr>
        <w:t>卖方</w:t>
      </w:r>
      <w:r>
        <w:rPr>
          <w:rFonts w:hint="eastAsia" w:ascii="宋体" w:hAnsi="宋体" w:eastAsia="宋体" w:cs="宋体"/>
          <w:color w:val="auto"/>
          <w:sz w:val="24"/>
          <w:szCs w:val="24"/>
          <w:highlight w:val="none"/>
          <w:lang w:bidi="ar"/>
        </w:rPr>
        <w:t>交纳的履约保证金后，同时</w:t>
      </w:r>
      <w:r>
        <w:rPr>
          <w:rFonts w:hint="eastAsia" w:ascii="宋体" w:hAnsi="宋体" w:eastAsia="宋体" w:cs="宋体"/>
          <w:color w:val="auto"/>
          <w:sz w:val="24"/>
          <w:szCs w:val="24"/>
          <w:highlight w:val="none"/>
          <w:lang w:val="en-US" w:eastAsia="zh-CN" w:bidi="ar"/>
        </w:rPr>
        <w:t>买方</w:t>
      </w:r>
      <w:r>
        <w:rPr>
          <w:rFonts w:hint="eastAsia" w:ascii="宋体" w:hAnsi="宋体" w:eastAsia="宋体" w:cs="宋体"/>
          <w:color w:val="auto"/>
          <w:sz w:val="24"/>
          <w:szCs w:val="24"/>
          <w:highlight w:val="none"/>
          <w:lang w:bidi="ar"/>
        </w:rPr>
        <w:t>收到</w:t>
      </w:r>
      <w:r>
        <w:rPr>
          <w:rFonts w:hint="eastAsia" w:ascii="宋体" w:hAnsi="宋体" w:eastAsia="宋体" w:cs="宋体"/>
          <w:color w:val="auto"/>
          <w:sz w:val="24"/>
          <w:szCs w:val="24"/>
          <w:highlight w:val="none"/>
          <w:lang w:val="en-US" w:eastAsia="zh-CN" w:bidi="ar"/>
        </w:rPr>
        <w:t>卖方</w:t>
      </w:r>
      <w:r>
        <w:rPr>
          <w:rFonts w:hint="eastAsia" w:ascii="宋体" w:hAnsi="宋体" w:eastAsia="宋体" w:cs="宋体"/>
          <w:color w:val="auto"/>
          <w:sz w:val="24"/>
          <w:szCs w:val="24"/>
          <w:highlight w:val="none"/>
          <w:lang w:bidi="ar"/>
        </w:rPr>
        <w:t>递交的合法票据后15个工作日内，</w:t>
      </w:r>
      <w:r>
        <w:rPr>
          <w:rFonts w:hint="eastAsia" w:ascii="宋体" w:hAnsi="宋体" w:eastAsia="宋体" w:cs="宋体"/>
          <w:color w:val="auto"/>
          <w:sz w:val="24"/>
          <w:szCs w:val="24"/>
          <w:highlight w:val="none"/>
          <w:lang w:val="en-US" w:eastAsia="zh-CN" w:bidi="ar"/>
        </w:rPr>
        <w:t>买方</w:t>
      </w:r>
      <w:r>
        <w:rPr>
          <w:rFonts w:hint="eastAsia" w:ascii="宋体" w:hAnsi="宋体" w:eastAsia="宋体" w:cs="宋体"/>
          <w:color w:val="auto"/>
          <w:sz w:val="24"/>
          <w:szCs w:val="24"/>
          <w:highlight w:val="none"/>
          <w:lang w:bidi="ar"/>
        </w:rPr>
        <w:t>向</w:t>
      </w:r>
      <w:r>
        <w:rPr>
          <w:rFonts w:hint="eastAsia" w:ascii="宋体" w:hAnsi="宋体" w:eastAsia="宋体" w:cs="宋体"/>
          <w:color w:val="auto"/>
          <w:sz w:val="24"/>
          <w:szCs w:val="24"/>
          <w:highlight w:val="none"/>
          <w:lang w:val="en-US" w:eastAsia="zh-CN" w:bidi="ar"/>
        </w:rPr>
        <w:t>卖方</w:t>
      </w:r>
      <w:r>
        <w:rPr>
          <w:rFonts w:hint="eastAsia" w:ascii="宋体" w:hAnsi="宋体" w:eastAsia="宋体" w:cs="宋体"/>
          <w:color w:val="auto"/>
          <w:sz w:val="24"/>
          <w:szCs w:val="24"/>
          <w:highlight w:val="none"/>
          <w:lang w:bidi="ar"/>
        </w:rPr>
        <w:t>支付合同总价的30%作为预付款</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买方支付预付款后，如卖方未履行合同义务，则买方有权收回预付款；如卖方依约履行了合同义务，则预付款抵作合同价款。</w:t>
      </w:r>
    </w:p>
    <w:p w14:paraId="02A0B56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3.2.2交货款</w:t>
      </w:r>
    </w:p>
    <w:p w14:paraId="71C8B846">
      <w:pPr>
        <w:spacing w:line="360" w:lineRule="auto"/>
        <w:ind w:firstLine="480" w:firstLineChars="20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设备到货</w:t>
      </w:r>
      <w:r>
        <w:rPr>
          <w:rFonts w:hint="eastAsia" w:ascii="宋体" w:hAnsi="宋体" w:eastAsia="宋体" w:cs="宋体"/>
          <w:color w:val="auto"/>
          <w:sz w:val="24"/>
          <w:szCs w:val="24"/>
          <w:highlight w:val="none"/>
          <w:lang w:val="en-US" w:eastAsia="zh-CN" w:bidi="ar"/>
        </w:rPr>
        <w:t>后招标人根据招标文件、施工图及中标人在投标文件中所投设备，进行开箱检查，确认设备的</w:t>
      </w:r>
      <w:r>
        <w:rPr>
          <w:rFonts w:hint="eastAsia" w:ascii="宋体" w:hAnsi="宋体" w:eastAsia="宋体" w:cs="宋体"/>
          <w:color w:val="auto"/>
          <w:sz w:val="24"/>
          <w:szCs w:val="24"/>
          <w:highlight w:val="none"/>
          <w:lang w:bidi="ar"/>
        </w:rPr>
        <w:t>数量、规格、外观质量</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其余资料（包括但不限于操作手册，设备参数等）等符合合同约定、满足使用需求并安装完成后支付至合同总价的40%；</w:t>
      </w:r>
    </w:p>
    <w:p w14:paraId="6419A8D1">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3.2.3验收款</w:t>
      </w:r>
    </w:p>
    <w:p w14:paraId="204FF0CC">
      <w:pPr>
        <w:spacing w:line="360" w:lineRule="auto"/>
        <w:ind w:firstLine="480" w:firstLineChars="20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eastAsia="zh-CN" w:bidi="ar"/>
        </w:rPr>
        <w:t>）单项验收</w:t>
      </w:r>
      <w:r>
        <w:rPr>
          <w:rFonts w:hint="eastAsia" w:ascii="宋体" w:hAnsi="宋体" w:eastAsia="宋体" w:cs="宋体"/>
          <w:color w:val="auto"/>
          <w:sz w:val="24"/>
          <w:szCs w:val="24"/>
          <w:highlight w:val="none"/>
          <w:lang w:bidi="ar"/>
        </w:rPr>
        <w:t>合格</w:t>
      </w:r>
      <w:r>
        <w:rPr>
          <w:rFonts w:hint="eastAsia" w:ascii="宋体" w:hAnsi="宋体" w:eastAsia="宋体" w:cs="宋体"/>
          <w:color w:val="auto"/>
          <w:sz w:val="24"/>
          <w:szCs w:val="24"/>
          <w:highlight w:val="none"/>
          <w:lang w:eastAsia="zh-CN" w:bidi="ar"/>
        </w:rPr>
        <w:t>且经试运行完成</w:t>
      </w:r>
      <w:r>
        <w:rPr>
          <w:rFonts w:hint="eastAsia" w:ascii="宋体" w:hAnsi="宋体" w:eastAsia="宋体" w:cs="宋体"/>
          <w:color w:val="auto"/>
          <w:sz w:val="24"/>
          <w:szCs w:val="24"/>
          <w:highlight w:val="none"/>
          <w:lang w:bidi="ar"/>
        </w:rPr>
        <w:t>后，支付至合同价</w:t>
      </w:r>
      <w:r>
        <w:rPr>
          <w:rFonts w:hint="eastAsia" w:ascii="宋体" w:hAnsi="宋体" w:eastAsia="宋体" w:cs="宋体"/>
          <w:color w:val="auto"/>
          <w:sz w:val="24"/>
          <w:szCs w:val="24"/>
          <w:highlight w:val="none"/>
          <w:lang w:val="en-US" w:eastAsia="zh-CN" w:bidi="ar"/>
        </w:rPr>
        <w:t>总价的70</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eastAsia="zh-CN" w:bidi="ar"/>
        </w:rPr>
        <w:t>；</w:t>
      </w:r>
    </w:p>
    <w:p w14:paraId="45E5110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eastAsia="zh-CN" w:bidi="ar"/>
        </w:rPr>
        <w:t>）项目整体竣工</w:t>
      </w:r>
      <w:r>
        <w:rPr>
          <w:rFonts w:hint="eastAsia" w:ascii="宋体" w:hAnsi="宋体" w:eastAsia="宋体" w:cs="宋体"/>
          <w:color w:val="auto"/>
          <w:sz w:val="24"/>
          <w:szCs w:val="24"/>
          <w:highlight w:val="none"/>
          <w:lang w:bidi="ar"/>
        </w:rPr>
        <w:t>验收合格后15个工作日内支付至合同价的85%</w:t>
      </w:r>
      <w:r>
        <w:rPr>
          <w:rFonts w:hint="eastAsia" w:ascii="宋体" w:hAnsi="宋体" w:eastAsia="宋体" w:cs="宋体"/>
          <w:color w:val="auto"/>
          <w:sz w:val="24"/>
          <w:szCs w:val="24"/>
          <w:highlight w:val="none"/>
          <w:lang w:eastAsia="zh-CN" w:bidi="ar"/>
        </w:rPr>
        <w:t>；</w:t>
      </w:r>
    </w:p>
    <w:p w14:paraId="2FD1B69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3.2.4结清款</w:t>
      </w:r>
    </w:p>
    <w:p w14:paraId="0AF5752F">
      <w:pPr>
        <w:spacing w:line="360" w:lineRule="auto"/>
        <w:ind w:firstLine="480" w:firstLineChars="200"/>
        <w:jc w:val="both"/>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1</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卖方</w:t>
      </w:r>
      <w:r>
        <w:rPr>
          <w:rFonts w:hint="eastAsia" w:ascii="宋体" w:hAnsi="宋体" w:eastAsia="宋体" w:cs="宋体"/>
          <w:color w:val="auto"/>
          <w:sz w:val="24"/>
          <w:szCs w:val="24"/>
          <w:highlight w:val="none"/>
          <w:lang w:bidi="ar"/>
        </w:rPr>
        <w:t>递交完整的经济技术资料后</w:t>
      </w:r>
      <w:r>
        <w:rPr>
          <w:rFonts w:hint="eastAsia" w:ascii="宋体" w:hAnsi="宋体" w:eastAsia="宋体" w:cs="宋体"/>
          <w:color w:val="auto"/>
          <w:sz w:val="24"/>
          <w:szCs w:val="24"/>
          <w:highlight w:val="none"/>
          <w:lang w:val="en-US" w:eastAsia="zh-CN" w:bidi="ar"/>
        </w:rPr>
        <w:t>买方</w:t>
      </w:r>
      <w:r>
        <w:rPr>
          <w:rFonts w:hint="eastAsia" w:ascii="宋体" w:hAnsi="宋体" w:eastAsia="宋体" w:cs="宋体"/>
          <w:color w:val="auto"/>
          <w:sz w:val="24"/>
          <w:szCs w:val="24"/>
          <w:highlight w:val="none"/>
          <w:lang w:bidi="ar"/>
        </w:rPr>
        <w:t>无息退还相应的履约保证金（如有）</w:t>
      </w:r>
      <w:r>
        <w:rPr>
          <w:rFonts w:hint="eastAsia" w:ascii="宋体" w:hAnsi="宋体" w:eastAsia="宋体" w:cs="宋体"/>
          <w:color w:val="auto"/>
          <w:sz w:val="24"/>
          <w:szCs w:val="24"/>
          <w:highlight w:val="none"/>
          <w:lang w:eastAsia="zh-CN" w:bidi="ar"/>
        </w:rPr>
        <w:t>；</w:t>
      </w:r>
    </w:p>
    <w:p w14:paraId="7A557CDD">
      <w:pPr>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审</w:t>
      </w:r>
      <w:r>
        <w:rPr>
          <w:rFonts w:hint="eastAsia" w:ascii="宋体" w:hAnsi="宋体" w:eastAsia="宋体" w:cs="宋体"/>
          <w:color w:val="auto"/>
          <w:sz w:val="24"/>
          <w:szCs w:val="24"/>
          <w:highlight w:val="none"/>
          <w:lang w:val="en-US" w:eastAsia="zh-CN" w:bidi="ar"/>
        </w:rPr>
        <w:t>核</w:t>
      </w:r>
      <w:r>
        <w:rPr>
          <w:rFonts w:hint="eastAsia" w:ascii="宋体" w:hAnsi="宋体" w:eastAsia="宋体" w:cs="宋体"/>
          <w:color w:val="auto"/>
          <w:sz w:val="24"/>
          <w:szCs w:val="24"/>
          <w:highlight w:val="none"/>
          <w:lang w:bidi="ar"/>
        </w:rPr>
        <w:t>结算完成且资料齐全移交</w:t>
      </w:r>
      <w:r>
        <w:rPr>
          <w:rFonts w:hint="eastAsia" w:ascii="宋体" w:hAnsi="宋体" w:eastAsia="宋体" w:cs="宋体"/>
          <w:color w:val="auto"/>
          <w:sz w:val="24"/>
          <w:szCs w:val="24"/>
          <w:highlight w:val="none"/>
          <w:lang w:val="en-US" w:eastAsia="zh-CN" w:bidi="ar"/>
        </w:rPr>
        <w:t>买方</w:t>
      </w:r>
      <w:r>
        <w:rPr>
          <w:rFonts w:hint="eastAsia" w:ascii="宋体" w:hAnsi="宋体" w:eastAsia="宋体" w:cs="宋体"/>
          <w:color w:val="auto"/>
          <w:sz w:val="24"/>
          <w:szCs w:val="24"/>
          <w:highlight w:val="none"/>
          <w:lang w:bidi="ar"/>
        </w:rPr>
        <w:t>后15个工作日内支付至审定价的</w:t>
      </w:r>
      <w:r>
        <w:rPr>
          <w:rFonts w:hint="eastAsia" w:ascii="宋体" w:hAnsi="宋体" w:eastAsia="宋体" w:cs="宋体"/>
          <w:color w:val="auto"/>
          <w:sz w:val="24"/>
          <w:szCs w:val="24"/>
          <w:highlight w:val="none"/>
          <w:lang w:val="en-US" w:eastAsia="zh-CN" w:bidi="ar"/>
        </w:rPr>
        <w:t>98.5</w:t>
      </w:r>
      <w:r>
        <w:rPr>
          <w:rFonts w:hint="eastAsia" w:ascii="宋体" w:hAnsi="宋体" w:eastAsia="宋体" w:cs="宋体"/>
          <w:color w:val="auto"/>
          <w:sz w:val="24"/>
          <w:szCs w:val="24"/>
          <w:highlight w:val="none"/>
          <w:lang w:bidi="ar"/>
        </w:rPr>
        <w:t>%。</w:t>
      </w:r>
    </w:p>
    <w:p w14:paraId="29E45503">
      <w:pPr>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根据中标人投标时承诺的</w:t>
      </w:r>
      <w:r>
        <w:rPr>
          <w:rFonts w:hint="eastAsia" w:ascii="宋体" w:hAnsi="宋体" w:eastAsia="宋体" w:cs="宋体"/>
          <w:color w:val="auto"/>
          <w:sz w:val="24"/>
          <w:szCs w:val="24"/>
          <w:highlight w:val="none"/>
          <w:lang w:bidi="ar"/>
        </w:rPr>
        <w:t>质保期</w:t>
      </w:r>
      <w:r>
        <w:rPr>
          <w:rFonts w:hint="eastAsia" w:ascii="宋体" w:hAnsi="宋体" w:eastAsia="宋体" w:cs="宋体"/>
          <w:color w:val="auto"/>
          <w:sz w:val="24"/>
          <w:szCs w:val="24"/>
          <w:highlight w:val="none"/>
          <w:lang w:val="en-US" w:eastAsia="zh-CN" w:bidi="ar"/>
        </w:rPr>
        <w:t>时间，</w:t>
      </w:r>
      <w:r>
        <w:rPr>
          <w:rFonts w:hint="eastAsia" w:ascii="宋体" w:hAnsi="宋体" w:eastAsia="宋体" w:cs="宋体"/>
          <w:color w:val="auto"/>
          <w:sz w:val="24"/>
          <w:szCs w:val="24"/>
          <w:highlight w:val="none"/>
          <w:lang w:bidi="ar"/>
        </w:rPr>
        <w:t>余款</w:t>
      </w:r>
      <w:r>
        <w:rPr>
          <w:rFonts w:hint="eastAsia" w:ascii="宋体" w:hAnsi="宋体" w:eastAsia="宋体" w:cs="宋体"/>
          <w:color w:val="auto"/>
          <w:sz w:val="24"/>
          <w:szCs w:val="24"/>
          <w:highlight w:val="none"/>
          <w:lang w:val="en-US" w:eastAsia="zh-CN" w:bidi="ar"/>
        </w:rPr>
        <w:t>1.5</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val="en-US" w:eastAsia="zh-CN" w:bidi="ar"/>
        </w:rPr>
        <w:t>在承诺的质保期</w:t>
      </w:r>
      <w:r>
        <w:rPr>
          <w:rFonts w:hint="eastAsia" w:ascii="宋体" w:hAnsi="宋体" w:eastAsia="宋体" w:cs="宋体"/>
          <w:color w:val="auto"/>
          <w:sz w:val="24"/>
          <w:szCs w:val="24"/>
          <w:highlight w:val="none"/>
          <w:lang w:bidi="ar"/>
        </w:rPr>
        <w:t>满且无质量和服务问题</w:t>
      </w:r>
      <w:r>
        <w:rPr>
          <w:rFonts w:hint="eastAsia" w:ascii="宋体" w:hAnsi="宋体" w:eastAsia="宋体" w:cs="宋体"/>
          <w:color w:val="auto"/>
          <w:sz w:val="24"/>
          <w:szCs w:val="24"/>
          <w:highlight w:val="none"/>
          <w:lang w:val="en-US" w:eastAsia="zh-CN" w:bidi="ar"/>
        </w:rPr>
        <w:t>后</w:t>
      </w:r>
      <w:r>
        <w:rPr>
          <w:rFonts w:hint="eastAsia" w:ascii="宋体" w:hAnsi="宋体" w:eastAsia="宋体" w:cs="宋体"/>
          <w:color w:val="auto"/>
          <w:sz w:val="24"/>
          <w:szCs w:val="24"/>
          <w:highlight w:val="none"/>
          <w:lang w:bidi="ar"/>
        </w:rPr>
        <w:t>一次性付清。</w:t>
      </w:r>
    </w:p>
    <w:p w14:paraId="6F623C1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3.3买方扣款的权利</w:t>
      </w:r>
    </w:p>
    <w:p w14:paraId="77B0D17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当卖方应向买方支付合同项下的违约金或赔偿金时，买方有权从上述任何一笔应付款中予以直接扣除和（或）兑付履约保证金。</w:t>
      </w:r>
    </w:p>
    <w:p w14:paraId="4BB271B2">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4.监造及交货前检验</w:t>
      </w:r>
    </w:p>
    <w:p w14:paraId="7CE0A3F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4.1监造</w:t>
      </w:r>
    </w:p>
    <w:p w14:paraId="77FFF6F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专用合同条款约定买方对合同设备(材料)进行监造的，双方应按本款及专用合同条款约定履行。</w:t>
      </w:r>
    </w:p>
    <w:p w14:paraId="68392221">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4.1.1在合同设备(材料)的制造过程中，买方可派出监造人员，对合同设备(材料)的生产制造进行监造，</w:t>
      </w:r>
    </w:p>
    <w:p w14:paraId="35C52C6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监督合同设备(材料)制造、检验等情况。监造的范围、方式等应符合专用合同条款和（或）供货要求等合同文件的约定。</w:t>
      </w:r>
    </w:p>
    <w:p w14:paraId="33C2583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4.1.2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792DA84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4.1.3卖方制订生产制造合同设备(材料)的进度计划时，应将买方监造纳入计划安排，并提前通知买方；买方进行监造不应影响合同设备(材料)的正常生产。除专用合同条款和（或）供货要求等合同文件另有约定外，卖方应提前7日将需要买方监造人员现场监造事项通知买方；如买方监造人员未按通知出席，不影响合同设备(材料)及其关键部件的制造或检验，但买方监造人员有权事后了解、查阅、复制相关制造或检验记录。</w:t>
      </w:r>
    </w:p>
    <w:p w14:paraId="790DDE9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4.1.4买方监造人员在监造中如发现合同设备(材料)及其关键部件不符合合同约定的标准，则有权提出意见和建议。卖方应采取必要措施消除合同设备(材料)的不符，由此增加的费用和（或）造成的延误由卖方负责。</w:t>
      </w:r>
    </w:p>
    <w:p w14:paraId="17052D21">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4.1.5买方监造人员对合同设备(材料)的监造，不视为对合同设备(材料)质量的确认，不影响卖方交货后买方依照合同约定对合同设备(材料)提出质量异议和（或）退货的权利，也不免除卖方依照合同约定对合同设备(材料)所应承担的任何义务或责任。</w:t>
      </w:r>
    </w:p>
    <w:p w14:paraId="14F82B71">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4.2交货前检验</w:t>
      </w:r>
    </w:p>
    <w:p w14:paraId="5EFF6AE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专用合同条款约定买方参与交货前检验的，双方应按本款及专用合同条款约定履行。</w:t>
      </w:r>
    </w:p>
    <w:p w14:paraId="4879CA6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4.2.1合同设备(材料)交货前，卖方应会同买方代表根据合同约定对合同设备(材料)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710C188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4.2.2除专用合同条款和（或）供货要求等合同文件另有约定外，卖方应提前7日将需要买方代表检验事项通知买方；如买方代表未按通知出席，不影响合同设备(材料)的检验。若卖方未依照合同约定提前通知买方而自行检验，则买方有权要求卖方暂停发货并重新进行检验，由此增加的费用和（或）造成的延误由卖方负责。</w:t>
      </w:r>
    </w:p>
    <w:p w14:paraId="5A093BA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4.2.3买方代表在检验中如发现合同设备(材料)不符合合同约定的标准，则有权提出异议。卖方应采取必要措施消除合同设备(材料)的不符，由此增加的费用和（或）造成的延误由卖方负责。</w:t>
      </w:r>
    </w:p>
    <w:p w14:paraId="1D45A16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4.2.4买方代表参与交货前检验及签署交货前检验记录的行为，不视为对合同设备(材料)质量的确认，不影响卖方交货后买方依照合同约定对合同设备(材料)提出质量异议和（或）退货的权利，也不免除卖方依照合同约定对合同设备(材料)所应承担的任何义务或责任。</w:t>
      </w:r>
    </w:p>
    <w:p w14:paraId="27B4DD2D">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5.包装、标记、运输和交付</w:t>
      </w:r>
    </w:p>
    <w:p w14:paraId="258155F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5.1包装</w:t>
      </w:r>
    </w:p>
    <w:p w14:paraId="01E3361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5.1.1卖方应对合同设备(材料)进行妥善包装，以满足合同设备(材料)运至施工场地及在施工场地保管的需要。包装应采取防潮、防晒、防锈、防腐蚀、防震动及防止其它损坏的必要保护措施，从而保护合同设备(材料)能够经受多次搬运、装卸、长途运输并适宜保管。</w:t>
      </w:r>
    </w:p>
    <w:p w14:paraId="1660FEB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5.1.2每个独立包装箱内应附装箱清单、质量合格证、装配图、说明书、操作指南等资料。</w:t>
      </w:r>
    </w:p>
    <w:p w14:paraId="4EB12FF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5.1.3除专用合同条款另有约定外，买方无需将包装物退还给卖方。</w:t>
      </w:r>
    </w:p>
    <w:p w14:paraId="72DA94F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5.2标记</w:t>
      </w:r>
    </w:p>
    <w:p w14:paraId="106AA6D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5.2.1除专用合同条款另有约定外，卖方应在每一包装箱相邻的四个侧面以不可擦除的、明显的方式标记必要的装运信息和标记，以满足合同设备(材料)运输和保管的需要。</w:t>
      </w:r>
    </w:p>
    <w:p w14:paraId="043B598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5.2.2根据合同设备(材料)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材料)中含有易燃易爆物品、腐蚀物品、放射性物质等危险品，则应在包装箱上标明危险品标志。</w:t>
      </w:r>
    </w:p>
    <w:p w14:paraId="35F0456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5.3运输</w:t>
      </w:r>
    </w:p>
    <w:p w14:paraId="6446D9F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5.3.1卖方应自行选择适宜的运输工具及线路安排合同设备(材料)运输。</w:t>
      </w:r>
    </w:p>
    <w:p w14:paraId="11B55FC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5.3.2除专用合同条款另有约定外，每件能够独立运行的设备(材料)应整套装运。该设备(材料)安装、调试、考核和运行所使用的备品、备件、易损易耗件等应随相关的主机一齐装运。</w:t>
      </w:r>
    </w:p>
    <w:p w14:paraId="13C8601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5.3.3除专用合同条款另有约定外，卖方应在合同设备(材料)预计启运7日前，将合同设备(材料)名称、数量、箱数、总毛重、总体积（用m</w:t>
      </w:r>
      <w:r>
        <w:rPr>
          <w:rFonts w:hint="eastAsia" w:ascii="宋体" w:hAnsi="宋体" w:eastAsia="宋体" w:cs="宋体"/>
          <w:color w:val="auto"/>
          <w:sz w:val="24"/>
          <w:szCs w:val="24"/>
          <w:highlight w:val="none"/>
          <w:vertAlign w:val="superscript"/>
          <w:lang w:bidi="ar"/>
        </w:rPr>
        <w:t>3</w:t>
      </w:r>
      <w:r>
        <w:rPr>
          <w:rFonts w:hint="eastAsia" w:ascii="宋体" w:hAnsi="宋体" w:eastAsia="宋体" w:cs="宋体"/>
          <w:color w:val="auto"/>
          <w:sz w:val="24"/>
          <w:szCs w:val="24"/>
          <w:highlight w:val="none"/>
          <w:lang w:bidi="ar"/>
        </w:rPr>
        <w:t>表示）、每箱尺寸（长×宽×高）、装运合同设备(材料)总金额、运输方式、预计交付日期和合同设备(材料)在运输、装卸、保管中的注意事项等预通知买方，并在合同设备(材料)启运后24小时之内正式通知买方。</w:t>
      </w:r>
    </w:p>
    <w:p w14:paraId="27200F0B">
      <w:pPr>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5.3.4卖方在根据第5.3.3项进行通知时，如果发运合同设备(材料)中包括专用合同条款约定的超大超重包装，则卖方应将超大和（或）超重的每个包装箱的重量和尺寸通知买方；如果发运合同设备(材料)中包括易燃易爆物品、腐蚀物品、放射性物质等危险品，则危险品的品名、性质、在运输、装卸、保管方面的特殊要求、注意事项和处理意外情况的方法等，也应一并通知买方。</w:t>
      </w:r>
    </w:p>
    <w:p w14:paraId="095C0D5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5.4交付</w:t>
      </w:r>
    </w:p>
    <w:p w14:paraId="5CDC8B1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5.4.1除专用合同条款另有约定外，卖方应根据合同约定的交付时间和批次在施工场地车面上将合同设备(材料)交付给买方。买方对卖方交付的包装的合同设备(材料)的外观及件数进行清点核验后应签发收货清单，并自负风险和费用进行卸货。买方签发收货清单不代表对合同设备(材料)的接受，双方还应按合同约定进行后续的检验和验收。</w:t>
      </w:r>
    </w:p>
    <w:p w14:paraId="4C6E381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5.4.2合同设备(材料)的所有权和风险自交付时起由卖方转移至买方，合同设备(材料)交付给买方之前包括运输在内的所有风险均由卖方承担。</w:t>
      </w:r>
    </w:p>
    <w:p w14:paraId="67DB72E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669E581D">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6.开箱检验、安装、调试、考核、验收</w:t>
      </w:r>
    </w:p>
    <w:p w14:paraId="32C5ABA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6.1开箱检验</w:t>
      </w:r>
    </w:p>
    <w:p w14:paraId="4223DC2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6.1.1合同设备(材料)交付后应进行开箱检验，即合同设备(材料)数量及外观检验。开箱检验在专用合同</w:t>
      </w:r>
    </w:p>
    <w:p w14:paraId="4394E7E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条款约定的下列任一种时间进行：</w:t>
      </w:r>
    </w:p>
    <w:p w14:paraId="51F09EA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（1）合同设备(材料)交付时；</w:t>
      </w:r>
    </w:p>
    <w:p w14:paraId="00CAFD5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（2）合同设备(材料)交付后的一定期限内。如开箱检验不在合同设备(材料)交付时进行，买方应在开箱检验3日前将开箱检验的时间和地点通知卖方。</w:t>
      </w:r>
    </w:p>
    <w:p w14:paraId="2244D1F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6.1.2除专用合同条款另有约定外，合同设备(材料)的开箱检验应在施工场地进行。</w:t>
      </w:r>
    </w:p>
    <w:p w14:paraId="2B05D67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6.1.3开箱检验由买卖双方共同进行，卖方应自负费用派遣代表到场参加开箱检验。</w:t>
      </w:r>
    </w:p>
    <w:p w14:paraId="35D3837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6.1.4在开箱检验中，买方和卖方应共同签署数量、外观检验报告，报告应列明检验结果，包括检验合格或发现的任何短缺、损坏或其它与合同约定不符的情形。</w:t>
      </w:r>
    </w:p>
    <w:p w14:paraId="0D8B25F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2B290561">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6.1.6如开箱检验不在合同设备(材料)交付时进行，则合同设备(材料)交付以后到开箱检验之前，应由买方负责按交货时外包装原样对合同设备(材料)进行妥善保管。除专用合同条款另有约定外，在开箱检验时如果合同设备(材料)外包装与交货时一致，则开箱检验中发现的合同设备(材料)的短缺、损坏或其它与合同约定不符的情形，由卖方负责，卖方应补齐、更换及采取其他补救措施。如果在开箱检验时合同设备(材料)外包装不是交货时的包装或虽是交货时的包装但与交货时不一致且出现很可能导致合同设备(材料)短缺或损坏的包装破损，则开箱检验中发现合同设备(材料)短缺、损坏或其它与合同约定不符的情形的风险，由买方承担，但买方能够证明是由于卖方原因或合同设备(材料)交付前非买方原因导致的除外。</w:t>
      </w:r>
    </w:p>
    <w:p w14:paraId="20366E65">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6.1.7如双方在专用合同条款和（或）供货要求等合同文件中约定由第三方检测机构对合同设备(材料)进行开箱检验或在开箱检验过程中另行约定由第三方检验的，则第三方检测机构的检验结果对双方均具有约束力。</w:t>
      </w:r>
    </w:p>
    <w:p w14:paraId="4315EBE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6.1.8开箱检验的检验结果不能对抗在合同设备(材料)的安装、调试、考核、验收中及质量保证期内发现的合同设备(材料)质量问题，也不能免除或影响卖方依照合同约定对买方负有的包括合同设备(材料)质量在内的任何义务或责任。</w:t>
      </w:r>
    </w:p>
    <w:p w14:paraId="69675B2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6.2安装、调试</w:t>
      </w:r>
    </w:p>
    <w:p w14:paraId="2B6BDE1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6.2.1开箱检验完成后，双方应对合同设备(材料)进行安装、调试，以使其具备考核的状态。安装、调试应按照专用合同条款约定的下列任一种方式进行：</w:t>
      </w:r>
    </w:p>
    <w:p w14:paraId="28B0DC2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（1）卖方按照合同约定完成合同设备(材料)的安装、调试工作；</w:t>
      </w:r>
    </w:p>
    <w:p w14:paraId="23ACE63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买方或买方安排第三方负责合同设备(材料)的安装、调试工作，卖方提供技术服务。除专用合同条款另有约定外，在安装、调试过程中，如由于买方或买方安排的第三方未按照卖方现场服务人员的指导导致安装、调试不成功和（或）出现合同设备(材料)损坏，买方应自行承担责任。如在买方或买方安排的第三方按照卖方现场服务人员的指导进行安装、调试的情况下出现安装、调试不成功和（或）造成合同设备(材料)损坏的情况，卖方应承担责任。</w:t>
      </w:r>
    </w:p>
    <w:p w14:paraId="5FD354E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6.2.2除专用合同条款另有约定外，安装、调试中合同设备(材料)运行需要的用水、用电、其他动力和原材料（如需要）等均由买方承担。</w:t>
      </w:r>
    </w:p>
    <w:p w14:paraId="7482A27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6.2.3双方应对合同设备(材料)的安装、调试情况共同及时进行记录。</w:t>
      </w:r>
    </w:p>
    <w:p w14:paraId="72DF920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6.3考核</w:t>
      </w:r>
    </w:p>
    <w:p w14:paraId="5C05334B">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6.3.1安装、调试完成后，双方应对合同设备(材料)进行考核，以确定合同设备(材料)是否达到合同约定的技术性能考核指标。除专用合同条款另有约定外，考核中合同设备(材料)运行需要的用水、用电、其他动力和原材料（如需要）等均由买方承担。</w:t>
      </w:r>
    </w:p>
    <w:p w14:paraId="077F3D0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6.3.2如由于卖方原因合同设备(材料)在考核中未能达到合同约定的技术性能考核指标，则卖方应在双方同意的期限内采取措施消除合同设备(材料)中存在的缺陷，并在缺陷消除以后，尽快进行再次考核。</w:t>
      </w:r>
    </w:p>
    <w:p w14:paraId="153FDD5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材料)的最低技术性能考核指标，且合同设备(材料)达到了最低技术性能考核指标的，视为合同设备(材料)已达到技术性能考核指标，买方无权解除合同，且应接受合同设备(材料)，但卖方应按专用合同条款的约定进行减价或向买方支付补偿金。</w:t>
      </w:r>
    </w:p>
    <w:p w14:paraId="3195B50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6.3.4如由于买方原因合同设备(材料)在考核中未能达到合同约定的技术性能考核指标，则卖方应协助买方安排再次考核。由于买方原因未能达到技术性能考核指标时，为买方进行考核的机会不超过三次。</w:t>
      </w:r>
    </w:p>
    <w:p w14:paraId="3BDA670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6.3.5考核期间，双方应及时共同记录合同设备(材料)的用水、用电、其他动力和原材料（如有）的使用及设备(材料)考核情况。对于未达到技术性能考核指标的，应如实记录设备(材料)表现、可能原因及处理情况等。</w:t>
      </w:r>
    </w:p>
    <w:p w14:paraId="75DFC3A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6.4验收</w:t>
      </w:r>
    </w:p>
    <w:p w14:paraId="2BED9275">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6.4.1如合同设备(材料)在考核中达到或视为达到技术性能考核指标，则买卖双方应在考核完成后7日内或专用合同条款另行约定的时间内签署合同设备(材料)验收证书一式二份，双方各持一份。验收日期应为合同设备(材料)达到或视为达到技术性能考核指标的日期。</w:t>
      </w:r>
    </w:p>
    <w:p w14:paraId="17947F5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6.4.2如由于买方原因合同设备(材料)在三次考核中均未能达到技术性能考核指标，买卖双方应在考核结束后7日内或专用合同条款另行约定的时间内签署验收款支付函。除专用合同条款另有约定外，卖方有义务在验收款支付函签署后12个月内应买方要求提供相关技术服务，协助买方采取一切必要措施使合同设备(材料)达到技术性能考核指标。买方应承担卖方因此产生的全部费用。在上述12个月的期限内，如合同设备(材料)经过考核达到或视为达到技术性能考核指标，则买卖双方应按照第6.4.1项的约定签署合同设备(材料)验收证书。</w:t>
      </w:r>
    </w:p>
    <w:p w14:paraId="31072D3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6.4.3除专用合同条款另有约定外，如由于买方原因在最后一批合同设备(材料)交货后6个月内未能开始考核，则买卖双方应在上述期限届满后7日内或专用合同条款另行约定的时间内签署验收款支付函。除专用合同条款另有约定外，卖方有义务在验收款支付函签署后6个月内应买方要求提供不超出合同范围的技术服务，协助买方采取一切必要措施使合同设备(材料)达到技术性能考核指标，且买方无需因此向卖方支付费用。在上述6个月的期限内，如合同设备(材料)经过考核达到或视为达到技术性能考核指标，则买卖双方应按照第6.4.1项的约定签署合同设备(材料)验收证书。</w:t>
      </w:r>
    </w:p>
    <w:p w14:paraId="2D58284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6.4.4在第6.4.2项和第6.4.3项情形下，卖方也可单方签署验收款支付函提交买方，如果买方在收到卖方签署的验收款支付函后14日内未向卖方提出书面异议，则验收款支付函自签署之日起生效。</w:t>
      </w:r>
    </w:p>
    <w:p w14:paraId="042012D6">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6.4.5合同设备(材料)验收证书的签署不能免除卖方在质量保证期内对合同设备(材料)应承担的保证责任。</w:t>
      </w:r>
    </w:p>
    <w:p w14:paraId="6B914BEA">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7.技术服务</w:t>
      </w:r>
    </w:p>
    <w:p w14:paraId="4542758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7.1卖方应派遣技术熟练、称职的技术人员到施工场地为买方提供技术服务。卖方的技术服务应符合合同的约定。</w:t>
      </w:r>
    </w:p>
    <w:p w14:paraId="39DC7D1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7.2买方应免费为卖方技术人员提供工作条件及便利，包括但不限于必要的办公场所、技术资料及出入许可等。除专用合同条款另有约定外，卖方技术人员的交通、食宿费用由卖方承担。</w:t>
      </w:r>
    </w:p>
    <w:p w14:paraId="2015F95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7.3卖方技术人员应遵守买方施工现场的各项规章制度和安全操作规程，并服从买方的现场管理。</w:t>
      </w:r>
    </w:p>
    <w:p w14:paraId="7A036A9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7.4如果任何技术人员不合格，买方有权要求卖方撤换，因撤换而产生的费用应由卖方承担。在不影响技术服务并且征得买方同意的条件下，卖方也可自负费用更换其技术人员。</w:t>
      </w:r>
    </w:p>
    <w:p w14:paraId="48581C6F">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8.质量保证期</w:t>
      </w:r>
    </w:p>
    <w:p w14:paraId="1760F67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8.1除专用合同条款和（或）供货要求等合同文件另有约定外，合同设备(材料)整体质量保证期为验收之日起12个月。如对合同设备(材料)中关键部件的质量保证期有特殊要求的，买卖双方可在专用合同条款中约定。在合同第6.4.2项情形下，无论合同设备(材料)何时验收，其质量保证期最长为签署验收款支付函后12个月。在合同第6.4.3项情形下，无论合同设备(材料)何时验收，其质量保证期最长为签署验收款支付函后6个月。</w:t>
      </w:r>
    </w:p>
    <w:p w14:paraId="36729449">
      <w:pPr>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8.2在质量保证期内如果合同设备(材料)出现故障，卖方应自负费用提供质保期服务，对相关合同设备(材料)进行修理或更换以消除故障。更换的合同设备(材料)和（或）关键部件的质量保证期应重新计算。但如果合同设备(材料)的故障是由于买方原因造成的，则对合同设备(材料)进行修理和更换的费用应由买方承担。</w:t>
      </w:r>
    </w:p>
    <w:p w14:paraId="29C1FD1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8.3质量保证期届满后，买方应在7日内或专用合同条款另行约定的时间内向卖方出具合同设备(材料)的质量保证期届满证书。</w:t>
      </w:r>
    </w:p>
    <w:p w14:paraId="7935F87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8.4在合同第6.4.2项情形下，如在验收款支付函签署后12个月内由于买方原因合同设备(材料)仍未能达到技术性能考核指标，则买卖双方应在该12个月届满后7日内或专用合同条款另行约定的时间内签署结清款支付函。</w:t>
      </w:r>
    </w:p>
    <w:p w14:paraId="65271A6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8.5在合同第6.4.3项情形下，如在验收款支付函签署后6个月内由于买方原因合同设备(材料)仍未进行考核或仍未达到技术性能考核指标，则买卖双方应在该6个月届满后7日内或专用合同条款另行约定的时间内签署结清款支付函。</w:t>
      </w:r>
    </w:p>
    <w:p w14:paraId="558B4D0B">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8.6在第8.4款和第8.5款情形下，卖方也可单方签署结清款支付函提交买方，如果买方在收到卖方签署的结清款支付函后14日内未向卖方提出书面异议，则结清款支付函自签署之日起生效。</w:t>
      </w:r>
    </w:p>
    <w:p w14:paraId="58A44B4D">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9.质保期服务</w:t>
      </w:r>
    </w:p>
    <w:p w14:paraId="4BF088C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9.1卖方应为质保期服务配备充足的技术人员、工具和备件并保证提供的联系方式畅通。除专用合同条款和（或）供货要求等合同文件另有约定外，卖方应在收到买方通知后24小时内做出响应，如需卖方到合同设备(材料)现场，卖方应在收到买方通知后48小时内到达，并在到达后7日内解决合同设备(材料)的故障（重大故障除外）。如果卖方未在上述时间内作出响应，则买方有权自行或委托他人解决相关问题或查找和解决合同设备(材料)的故障，卖方应承担由此发生的全部费用。</w:t>
      </w:r>
    </w:p>
    <w:p w14:paraId="3F6F3D7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9.2如卖方技术人员需到合同设备(材料)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7026FC9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9.3如果任何技术人员不合格，买方有权要求卖方撤换，因撤换而产生的费用应由卖方承担。在不影响质保期服务并且征得买方同意的条件下，卖方也可自负费用更换其技术人员。</w:t>
      </w:r>
    </w:p>
    <w:p w14:paraId="419CF0B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9.4除专用合同条款另有约定外，卖方应就在施工现场进行质保期服务的情况进行记录，记载合同设备(材料)故障发生的时间、原因及解决情况等，由买方签字确认，并在质量保证期结束后提交给买方。</w:t>
      </w:r>
    </w:p>
    <w:p w14:paraId="3F9A5909">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10.履约保证金</w:t>
      </w:r>
    </w:p>
    <w:p w14:paraId="64C98D8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除专用合同条款另有约定外，履约保证金自合同生效之日起生效，在合同设备(材料)验收证书或验收款支付函签署之日起28日后失效。如果卖方不履行合同约定的义务或其履行不符合合同的约定，买方有权扣划相应金额的履约保证金。</w:t>
      </w:r>
    </w:p>
    <w:p w14:paraId="3BBC88CA">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11.保证</w:t>
      </w:r>
    </w:p>
    <w:p w14:paraId="6943C24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11.1卖方保证其具有完全的能力履行本合同项下的全部义务。</w:t>
      </w:r>
    </w:p>
    <w:p w14:paraId="4268A99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11.2卖方保证其所提供的合同设备(材料)及对合同的履行符合所有应适用的法律、行政法规、地方性法规、自治条例和单行条例、规章及其他规范性文件的强制性规定。</w:t>
      </w:r>
    </w:p>
    <w:p w14:paraId="0327D10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11.3卖方保证其对合同设备(材料)的销售不损害任何第三方的合法权益和社会公众利益。任何第三方不会因卖方原因而基于所有权、抵押权、留置权或其他任何权利或事由对合同设备(材料)主张权利。</w:t>
      </w:r>
    </w:p>
    <w:p w14:paraId="7ED3517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11.4卖方保证合同设备(材料)符合合同约定的规格、标准、技术性能考核指标等，能够安全和稳定地运行，且合同设备(材料)（包括全部部件）全新、完整、未使用过，除非专用合同条款和（或）供货要求等合同文件另有约定。</w:t>
      </w:r>
    </w:p>
    <w:p w14:paraId="106F404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11.5卖方保证，卖方所提供的技术资料完整、清晰、准确，符合合同约定并且能够满足合同设备(材料)的安装、调试、考核、操作以及维修和保养的需要。</w:t>
      </w:r>
    </w:p>
    <w:p w14:paraId="24139D95">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11.6卖方保证合同范围内提供的备品备件能够满足合同设备(材料)在质量保证期结束前正常运行及维修的需要，如在质量保证期结束前因卖方原因出现备品备件短缺影响合同设备(材料)正常运行的，卖方应免费提供。</w:t>
      </w:r>
    </w:p>
    <w:p w14:paraId="2B6E630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11.7除专用合同条款和（或）供货要求等合同文件另有约定外，如果在合同设备(材料)设计使用寿命期内发生合同项下备品备件停止生产的情况，卖方应事先将拟停止生产的计划通知买方，使买方有足够的时间考虑备品备件的需求量。根据买方要求，卖方应：</w:t>
      </w:r>
    </w:p>
    <w:p w14:paraId="0A0E7AE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（1）以不高于同期市场价格或其向任何第三方销售同类产品的价格提供合同设备(材料)正常运行所需的全部备品备件。或</w:t>
      </w:r>
    </w:p>
    <w:p w14:paraId="2F682C0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免费提供可供买方或第三方制造停产备品备件所需的全部技术资料，以便买方持续获得上述备品备件以满足合同设备(材料)在寿命期内正常运行的需要。卖方保证买方或买方委托的第三方制造及买方使用这些备品备件不侵犯任何人的知识产权。</w:t>
      </w:r>
    </w:p>
    <w:p w14:paraId="57587D9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11.8卖方保证，在合同设备(材料)设计使用寿命期内，如果卖方发现合同设备(材料)由于设计、制造、标识等原因存在足以危及人身、财产安全的缺陷，卖方将及时通知买方并及时采取修正或者补充标识、修理、更换等措施消除缺陷。</w:t>
      </w:r>
    </w:p>
    <w:p w14:paraId="26446607">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12.知识产权</w:t>
      </w:r>
    </w:p>
    <w:p w14:paraId="3C2997E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12.1买方在履行合同过程中提供给卖方的全部图纸、文件和其他含有数据和信息的资料，其知识产权属于买方。</w:t>
      </w:r>
    </w:p>
    <w:p w14:paraId="7614C75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12.2除专用合同条款另有约定外，买方不因签署和履行合同而享有卖方在履行合同过程中提供给买方的图纸、文件、配套软件、电子辅助程序和其他含有数据和信息的资料的知识产权。</w:t>
      </w:r>
    </w:p>
    <w:p w14:paraId="4341E58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12.3如合同设备(材料)涉及知识产权，则卖方保证买方在使用合同设备(材料)过程中免于受到第三方提出的有关知识产权侵权的主张、索赔或诉讼的伤害。</w:t>
      </w:r>
    </w:p>
    <w:p w14:paraId="34B49E61">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14:paraId="12405327">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13.保密</w:t>
      </w:r>
    </w:p>
    <w:p w14:paraId="534C186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合同双方应对因履行合同而取得的另一方当事人的信息、资料等予以保密。未经另一方当事人书面同意，任何一方均不得为与履行合同无关的目的使用或向第三方披露另一方当事人提供的信息、资料。</w:t>
      </w:r>
    </w:p>
    <w:p w14:paraId="319568D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合同当事人的保密义务不适用于下列信息：</w:t>
      </w:r>
    </w:p>
    <w:p w14:paraId="472769E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（1）非因接受信息一方的过失现在或以后进入公共领域的信息；</w:t>
      </w:r>
    </w:p>
    <w:p w14:paraId="46E8FB0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（2）接受信息一方当事人合法地从第三方获得并且据其善意了解第三方也不对此承担保密义务的信息；</w:t>
      </w:r>
    </w:p>
    <w:p w14:paraId="027A96E5">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（3）法律或法律的执行要求披露的信息。</w:t>
      </w:r>
    </w:p>
    <w:p w14:paraId="12A6B807">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14.违约责任</w:t>
      </w:r>
    </w:p>
    <w:p w14:paraId="398DFAE5">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14.1合同一方不履行合同义务、履行合同义务不符合约定或者违反合同项下所作保证的，应向对方承担继续履行、采取修理、更换、退货等补救措施或者赔偿损失等违约责任。</w:t>
      </w:r>
    </w:p>
    <w:p w14:paraId="091F464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14.2卖方未能按时交付合同设备(材料)（包括仅迟延交付技术资料但足以导致合同设备(材料)安装、调试、考核、验收工作推迟的）的，应向买方支付迟延交付违约金。除专用合同条款另有约定外，迟延交付违约金的计算方法如下：</w:t>
      </w:r>
    </w:p>
    <w:p w14:paraId="192EA0A8">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（1）从迟交的第一周到第四周，每周迟延交付违约金为迟交合同设备(材料)价格的0.5%；</w:t>
      </w:r>
    </w:p>
    <w:p w14:paraId="33986932">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（2）从迟交的第五周到第八周，每周迟延交付违约金为迟交合同设备(材料)价格的1%；</w:t>
      </w:r>
    </w:p>
    <w:p w14:paraId="4A0EA02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从迟交第九周起，每周迟延交付违约金为迟交合同设备(材料)价格的1.5%。在计算迟延交付违约金时，迟交不足一周的按一周计算。迟延交付违约金的总额不得超过合同价格的10%。迟延交付违约金的支付不能免除卖方继续交付相关合同设备(材料)的义务，但如迟延交付必然导致合同设备(材料)安装、调试、考核、验收工作推迟的，相关工作应相应顺延。</w:t>
      </w:r>
    </w:p>
    <w:p w14:paraId="53ED820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14.3买方未能按合同约定支付合同价款的，应向卖方支付延迟付款违约金。除专用合同条款另有约定外，迟延付款违约金的计算方法如下：</w:t>
      </w:r>
    </w:p>
    <w:p w14:paraId="6D9D5C7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（1）从迟付的第一周到第四周，每周迟延付款违约金为迟延付款金额的0.5%；</w:t>
      </w:r>
    </w:p>
    <w:p w14:paraId="7D4D172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（2）从迟付的第五周到第八周，每周迟延付款违约金为迟延付款金额的1%；</w:t>
      </w:r>
    </w:p>
    <w:p w14:paraId="008F677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（3）从迟付第九周起，每周迟延付款违约金为迟延付款金额的1.5%。在计算迟延付款违约金时，迟付不足一周的按一周计算。迟延付款违约金的总额不得超过合同价格的10%。</w:t>
      </w:r>
    </w:p>
    <w:p w14:paraId="3046F571">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15.合同的解除</w:t>
      </w:r>
    </w:p>
    <w:p w14:paraId="3862741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除专用合同条款另有约定外，有下述情形之一，当事人可发出书面通知全部或部分地解除合同，合同自通知到达对方时全部或部分地解除：</w:t>
      </w:r>
    </w:p>
    <w:p w14:paraId="450280BA">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（1）卖方迟延交付合同设备(材料)超过3个月；</w:t>
      </w:r>
    </w:p>
    <w:p w14:paraId="7164CE1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合同设备(材料)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686CC6D7">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（3）买方迟延付款超过3个月；</w:t>
      </w:r>
    </w:p>
    <w:p w14:paraId="10190F9E">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14:paraId="2FEE639C">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（5）合同一方当事人出现破产、清算、资不抵债、成为失信被执行人等可能丧失履约能力的情形，且未能提供令对方满意的履约保证金。</w:t>
      </w:r>
    </w:p>
    <w:p w14:paraId="4D9AB88A">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16.不可抗力</w:t>
      </w:r>
    </w:p>
    <w:p w14:paraId="64248F90">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14:paraId="6C3F81D9">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16.2受不可抗力事件影响的一方当事人对于不可抗力事件导致的任何合同义务的迟延履行或不能履行不承担违约责任。但该方当事人应尽快将不可抗力事件结束或消除的情况通知另一方当事人。</w:t>
      </w:r>
    </w:p>
    <w:p w14:paraId="3075FFFF">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470B8970">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17.争议的解决</w:t>
      </w:r>
    </w:p>
    <w:p w14:paraId="09199A9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因本合同引起的或与本合同有关的任何争议,双方可通过友好协商解决。友好协商解决不成的，可在专用合同条款中约定下列一种方式解决：</w:t>
      </w:r>
    </w:p>
    <w:p w14:paraId="2829A3D3">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（1）向约定的仲裁委员会申请仲裁；</w:t>
      </w:r>
    </w:p>
    <w:p w14:paraId="5AD63539">
      <w:pPr>
        <w:spacing w:line="360" w:lineRule="auto"/>
        <w:ind w:firstLine="480" w:firstLineChars="200"/>
        <w:jc w:val="both"/>
        <w:rPr>
          <w:rFonts w:hint="eastAsia" w:ascii="宋体" w:hAnsi="宋体" w:eastAsia="宋体" w:cs="宋体"/>
          <w:b/>
          <w:bCs/>
          <w:color w:val="auto"/>
          <w:sz w:val="24"/>
          <w:szCs w:val="24"/>
          <w:highlight w:val="none"/>
          <w:lang w:bidi="ar"/>
        </w:rPr>
      </w:pPr>
      <w:r>
        <w:rPr>
          <w:rFonts w:hint="eastAsia" w:ascii="宋体" w:hAnsi="宋体" w:eastAsia="宋体" w:cs="宋体"/>
          <w:color w:val="auto"/>
          <w:sz w:val="24"/>
          <w:szCs w:val="24"/>
          <w:highlight w:val="none"/>
          <w:lang w:bidi="ar"/>
        </w:rPr>
        <w:t>（2）向有管辖权的人民法院提起诉讼。</w:t>
      </w:r>
    </w:p>
    <w:p w14:paraId="3107B3F2">
      <w:pPr>
        <w:spacing w:line="360" w:lineRule="auto"/>
        <w:ind w:firstLine="482" w:firstLineChars="200"/>
        <w:jc w:val="both"/>
        <w:rPr>
          <w:rFonts w:hint="eastAsia" w:ascii="宋体" w:hAnsi="宋体" w:eastAsia="宋体" w:cs="宋体"/>
          <w:b/>
          <w:bCs/>
          <w:color w:val="auto"/>
          <w:sz w:val="24"/>
          <w:szCs w:val="24"/>
          <w:highlight w:val="none"/>
          <w:lang w:bidi="ar"/>
        </w:rPr>
      </w:pPr>
    </w:p>
    <w:p w14:paraId="6421FA15">
      <w:pPr>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第二节专用合同条款</w:t>
      </w:r>
    </w:p>
    <w:p w14:paraId="68DE32E6">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1.合同价格形式：</w:t>
      </w:r>
      <w:r>
        <w:rPr>
          <w:rFonts w:hint="eastAsia" w:ascii="宋体" w:hAnsi="宋体" w:eastAsia="宋体" w:cs="宋体"/>
          <w:strike w:val="0"/>
          <w:color w:val="000000" w:themeColor="text1"/>
          <w:spacing w:val="0"/>
          <w:sz w:val="24"/>
          <w:szCs w:val="24"/>
          <w:highlight w:val="none"/>
          <w:lang w:val="en-US" w:eastAsia="zh-CN"/>
          <w14:textFill>
            <w14:solidFill>
              <w14:schemeClr w14:val="tx1"/>
            </w14:solidFill>
          </w14:textFill>
        </w:rPr>
        <w:t>约定范围内固定单价</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合同</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7143C8CD">
      <w:pPr>
        <w:snapToGrid w:val="0"/>
        <w:spacing w:line="312"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2.价款确定：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货物清单中的工程量、清单描述若与图纸及答疑不一致时，以图纸及答疑为准并须满足各专业的功能要求。(本项目须进行结算审计，除招标人提出的功能需要较大调整造成调整情况且经招标人书面确认除外，其他情况下最终结算价不得突破中标价，突破部分由中标人自行承担，招标人不再支付额外费用)。</w:t>
      </w:r>
    </w:p>
    <w:p w14:paraId="2077A77D">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2" w:firstLineChars="200"/>
        <w:textAlignment w:val="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本项目施工用水电接口由总包单位提供，</w:t>
      </w:r>
      <w:r>
        <w:rPr>
          <w:rFonts w:hint="eastAsia" w:ascii="宋体" w:hAnsi="宋体" w:eastAsia="宋体" w:cs="宋体"/>
          <w:b/>
          <w:bCs/>
          <w:color w:val="000000" w:themeColor="text1"/>
          <w:spacing w:val="0"/>
          <w:sz w:val="24"/>
          <w:szCs w:val="24"/>
          <w:highlight w:val="none"/>
          <w14:textFill>
            <w14:solidFill>
              <w14:schemeClr w14:val="tx1"/>
            </w14:solidFill>
          </w14:textFill>
        </w:rPr>
        <w:t>水电费</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应</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包含在投标报价中，</w:t>
      </w:r>
      <w:r>
        <w:rPr>
          <w:rFonts w:hint="eastAsia" w:ascii="宋体" w:hAnsi="宋体" w:eastAsia="宋体" w:cs="宋体"/>
          <w:b/>
          <w:bCs/>
          <w:color w:val="000000" w:themeColor="text1"/>
          <w:spacing w:val="0"/>
          <w:sz w:val="24"/>
          <w:szCs w:val="24"/>
          <w:highlight w:val="none"/>
          <w14:textFill>
            <w14:solidFill>
              <w14:schemeClr w14:val="tx1"/>
            </w14:solidFill>
          </w14:textFill>
        </w:rPr>
        <w:t>为</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本</w:t>
      </w:r>
      <w:r>
        <w:rPr>
          <w:rFonts w:hint="eastAsia" w:ascii="宋体" w:hAnsi="宋体" w:eastAsia="宋体" w:cs="宋体"/>
          <w:b/>
          <w:bCs/>
          <w:color w:val="000000" w:themeColor="text1"/>
          <w:spacing w:val="0"/>
          <w:sz w:val="24"/>
          <w:szCs w:val="24"/>
          <w:highlight w:val="none"/>
          <w14:textFill>
            <w14:solidFill>
              <w14:schemeClr w14:val="tx1"/>
            </w14:solidFill>
          </w14:textFill>
        </w:rPr>
        <w:t>工程签约合同价的〔1%〕，由</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中标人</w:t>
      </w:r>
      <w:r>
        <w:rPr>
          <w:rFonts w:hint="eastAsia" w:ascii="宋体" w:hAnsi="宋体" w:eastAsia="宋体" w:cs="宋体"/>
          <w:b/>
          <w:bCs/>
          <w:color w:val="000000" w:themeColor="text1"/>
          <w:spacing w:val="0"/>
          <w:sz w:val="24"/>
          <w:szCs w:val="24"/>
          <w:highlight w:val="none"/>
          <w14:textFill>
            <w14:solidFill>
              <w14:schemeClr w14:val="tx1"/>
            </w14:solidFill>
          </w14:textFill>
        </w:rPr>
        <w:t>支付给总承包单位</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p>
    <w:p w14:paraId="1A378623">
      <w:pPr>
        <w:keepNext w:val="0"/>
        <w:keepLines w:val="0"/>
        <w:pageBreakBefore w:val="0"/>
        <w:widowControl w:val="0"/>
        <w:shd w:val="clear"/>
        <w:kinsoku/>
        <w:wordWrap/>
        <w:overflowPunct/>
        <w:topLinePunct w:val="0"/>
        <w:autoSpaceDE/>
        <w:autoSpaceDN/>
        <w:bidi w:val="0"/>
        <w:adjustRightInd/>
        <w:snapToGrid w:val="0"/>
        <w:spacing w:line="288" w:lineRule="auto"/>
        <w:ind w:left="0" w:leftChars="0" w:firstLine="480" w:firstLineChars="200"/>
        <w:textAlignment w:val="auto"/>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本项目</w:t>
      </w:r>
      <w:r>
        <w:rPr>
          <w:rFonts w:hint="eastAsia" w:ascii="宋体" w:hAnsi="宋体" w:eastAsia="宋体" w:cs="宋体"/>
          <w:color w:val="000000" w:themeColor="text1"/>
          <w:sz w:val="24"/>
          <w:szCs w:val="24"/>
          <w:highlight w:val="none"/>
          <w14:textFill>
            <w14:solidFill>
              <w14:schemeClr w14:val="tx1"/>
            </w14:solidFill>
          </w14:textFill>
        </w:rPr>
        <w:t>总承包管理及配合服务费为签约合同价的〔2%〕，该笔费用由</w:t>
      </w:r>
      <w:r>
        <w:rPr>
          <w:rFonts w:hint="eastAsia" w:ascii="宋体" w:hAnsi="宋体" w:eastAsia="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支付给总承包单位。</w:t>
      </w:r>
    </w:p>
    <w:p w14:paraId="3849B8E2">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如因</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原因需进行设计变更，则变更内容必须经过</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代建单位、</w:t>
      </w:r>
      <w:r>
        <w:rPr>
          <w:rFonts w:hint="eastAsia" w:ascii="宋体" w:hAnsi="宋体" w:eastAsia="宋体" w:cs="宋体"/>
          <w:color w:val="000000" w:themeColor="text1"/>
          <w:spacing w:val="0"/>
          <w:sz w:val="24"/>
          <w:szCs w:val="24"/>
          <w:highlight w:val="none"/>
          <w14:textFill>
            <w14:solidFill>
              <w14:schemeClr w14:val="tx1"/>
            </w14:solidFill>
          </w14:textFill>
        </w:rPr>
        <w:t>设计单位、</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全咨单位</w:t>
      </w:r>
      <w:r>
        <w:rPr>
          <w:rFonts w:hint="eastAsia" w:ascii="宋体" w:hAnsi="宋体" w:eastAsia="宋体" w:cs="宋体"/>
          <w:color w:val="000000" w:themeColor="text1"/>
          <w:spacing w:val="0"/>
          <w:sz w:val="24"/>
          <w:szCs w:val="24"/>
          <w:highlight w:val="none"/>
          <w14:textFill>
            <w14:solidFill>
              <w14:schemeClr w14:val="tx1"/>
            </w14:solidFill>
          </w14:textFill>
        </w:rPr>
        <w:t>书面同意后方可实施。</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因招标人原因调整的，可突破中标价。</w:t>
      </w:r>
    </w:p>
    <w:p w14:paraId="1ADF902C">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设计变更内容结算口径：投标清单中有中标综合单价的，按中标综合单价；投标清单中有类似子项中标综合单价的，参照该子项中标综合单价；投标清单中没有该子项的，由</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进行</w:t>
      </w:r>
      <w:r>
        <w:rPr>
          <w:rFonts w:hint="eastAsia" w:ascii="宋体" w:hAnsi="宋体" w:eastAsia="宋体" w:cs="宋体"/>
          <w:color w:val="000000" w:themeColor="text1"/>
          <w:spacing w:val="0"/>
          <w:sz w:val="24"/>
          <w:szCs w:val="24"/>
          <w:highlight w:val="none"/>
          <w14:textFill>
            <w14:solidFill>
              <w14:schemeClr w14:val="tx1"/>
            </w14:solidFill>
          </w14:textFill>
        </w:rPr>
        <w:t>报价</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，经招标人、代建单位、全</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咨</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单位</w:t>
      </w:r>
      <w:r>
        <w:rPr>
          <w:rFonts w:hint="eastAsia" w:ascii="宋体" w:hAnsi="宋体" w:eastAsia="宋体" w:cs="宋体"/>
          <w:color w:val="000000" w:themeColor="text1"/>
          <w:spacing w:val="0"/>
          <w:sz w:val="24"/>
          <w:szCs w:val="24"/>
          <w:highlight w:val="none"/>
          <w14:textFill>
            <w14:solidFill>
              <w14:schemeClr w14:val="tx1"/>
            </w14:solidFill>
          </w14:textFill>
        </w:rPr>
        <w:t>审核</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后</w:t>
      </w:r>
      <w:r>
        <w:rPr>
          <w:rFonts w:hint="eastAsia" w:ascii="宋体" w:hAnsi="宋体" w:eastAsia="宋体" w:cs="宋体"/>
          <w:color w:val="000000" w:themeColor="text1"/>
          <w:spacing w:val="0"/>
          <w:sz w:val="24"/>
          <w:szCs w:val="24"/>
          <w:highlight w:val="none"/>
          <w14:textFill>
            <w14:solidFill>
              <w14:schemeClr w14:val="tx1"/>
            </w14:solidFill>
          </w14:textFill>
        </w:rPr>
        <w:t>，结算时按照</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签证价结算。</w:t>
      </w:r>
    </w:p>
    <w:p w14:paraId="199A7D40">
      <w:pPr>
        <w:keepNext w:val="0"/>
        <w:keepLines w:val="0"/>
        <w:pageBreakBefore w:val="0"/>
        <w:widowControl w:val="0"/>
        <w:numPr>
          <w:ilvl w:val="0"/>
          <w:numId w:val="0"/>
        </w:numPr>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kern w:val="2"/>
          <w:sz w:val="24"/>
          <w:szCs w:val="24"/>
          <w:highlight w:val="none"/>
          <w:lang w:val="en-US" w:eastAsia="zh-CN" w:bidi="ar-SA"/>
          <w14:textFill>
            <w14:solidFill>
              <w14:schemeClr w14:val="tx1"/>
            </w14:solidFill>
          </w14:textFill>
        </w:rPr>
        <w:t>（2）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如中标人需要对图纸进行深化，所有涉及到的深化图纸及变更都需经招标人、代建单位、设计单位、全咨单位书面确认并同意后实施。若深化优化后造成合同固定总价减少的，工程量结算按优化后实际价款据实结算。</w:t>
      </w:r>
    </w:p>
    <w:p w14:paraId="26CE5DCB">
      <w:pPr>
        <w:pStyle w:val="8"/>
        <w:numPr>
          <w:ilvl w:val="-1"/>
          <w:numId w:val="0"/>
        </w:numPr>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注：相应变更程序需要满足招标人、代建单位、主管单位（如有）等相关规章制度，且均需经招标人、代建单位等单位确认，否则不作为结算依据。</w:t>
      </w:r>
    </w:p>
    <w:p w14:paraId="406A9EF5">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14:textFill>
            <w14:solidFill>
              <w14:schemeClr w14:val="tx1"/>
            </w14:solidFill>
          </w14:textFill>
        </w:rPr>
        <w:t>履约保证金：中标通知书发出15个工作日内中标人</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交纳</w:t>
      </w:r>
      <w:r>
        <w:rPr>
          <w:rFonts w:hint="eastAsia" w:ascii="宋体" w:hAnsi="宋体" w:eastAsia="宋体" w:cs="宋体"/>
          <w:color w:val="000000" w:themeColor="text1"/>
          <w:spacing w:val="0"/>
          <w:sz w:val="24"/>
          <w:szCs w:val="24"/>
          <w:highlight w:val="none"/>
          <w14:textFill>
            <w14:solidFill>
              <w14:schemeClr w14:val="tx1"/>
            </w14:solidFill>
          </w14:textFill>
        </w:rPr>
        <w:t>中标价的2%作为履约保证金，</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在项目安装调试完成、递交完整的经济技术资料，并单项验收合格</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且无其他违约行为</w:t>
      </w:r>
      <w:r>
        <w:rPr>
          <w:rFonts w:hint="eastAsia" w:ascii="宋体" w:hAnsi="宋体" w:eastAsia="宋体" w:cs="宋体"/>
          <w:color w:val="000000" w:themeColor="text1"/>
          <w:spacing w:val="0"/>
          <w:sz w:val="24"/>
          <w:szCs w:val="24"/>
          <w:highlight w:val="none"/>
          <w14:textFill>
            <w14:solidFill>
              <w14:schemeClr w14:val="tx1"/>
            </w14:solidFill>
          </w14:textFill>
        </w:rPr>
        <w:t>后予以退还（不计息）。履约保证金的形式：现金、支票、汇票、转账、银行保函、保险机构保证保险保单等。</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原因导致合同解除的，履约保证金不予退还。</w:t>
      </w:r>
    </w:p>
    <w:p w14:paraId="5A01292F">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4.付款方式：</w:t>
      </w:r>
    </w:p>
    <w:p w14:paraId="33A474C2">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0"/>
          <w:sz w:val="24"/>
          <w:szCs w:val="24"/>
          <w:highlight w:val="none"/>
          <w14:textFill>
            <w14:solidFill>
              <w14:schemeClr w14:val="tx1"/>
            </w14:solidFill>
          </w14:textFill>
        </w:rPr>
        <w:t>合同签订生效且收到</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交纳的履约保证金后，同时</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收到</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递交的</w:t>
      </w:r>
      <w:r>
        <w:rPr>
          <w:rFonts w:hint="eastAsia" w:ascii="宋体" w:hAnsi="宋体" w:eastAsia="宋体" w:cs="宋体"/>
          <w:color w:val="000000" w:themeColor="text1"/>
          <w:sz w:val="24"/>
          <w:szCs w:val="24"/>
          <w:highlight w:val="none"/>
          <w:lang w:bidi="ar"/>
          <w14:textFill>
            <w14:solidFill>
              <w14:schemeClr w14:val="tx1"/>
            </w14:solidFill>
          </w14:textFill>
        </w:rPr>
        <w:t>符合税务要求的</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发票并在完成财务审批手续后的</w:t>
      </w:r>
      <w:r>
        <w:rPr>
          <w:rFonts w:hint="eastAsia" w:ascii="宋体" w:hAnsi="宋体" w:eastAsia="宋体" w:cs="宋体"/>
          <w:color w:val="000000" w:themeColor="text1"/>
          <w:spacing w:val="0"/>
          <w:sz w:val="24"/>
          <w:szCs w:val="24"/>
          <w:highlight w:val="none"/>
          <w14:textFill>
            <w14:solidFill>
              <w14:schemeClr w14:val="tx1"/>
            </w14:solidFill>
          </w14:textFill>
        </w:rPr>
        <w:t>15个工作日内，</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向</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支付合同总价的</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；中标人需在招标人支付该节点合同款之前，向招标人提交符合招标人要求的首付款担保（担保金额必须与甲方支付的首付款金额完全一致，即合同总价的30%，担保期限不低于210日历天）；</w:t>
      </w:r>
    </w:p>
    <w:p w14:paraId="04D251AB">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设备到货</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后招标人根据招标文件、施工图及中标人在投标文件中所投设备，进行开箱检查，确认设备的</w:t>
      </w:r>
      <w:r>
        <w:rPr>
          <w:rFonts w:hint="eastAsia" w:ascii="宋体" w:hAnsi="宋体" w:eastAsia="宋体" w:cs="宋体"/>
          <w:color w:val="000000" w:themeColor="text1"/>
          <w:spacing w:val="0"/>
          <w:sz w:val="24"/>
          <w:szCs w:val="24"/>
          <w:highlight w:val="none"/>
          <w14:textFill>
            <w14:solidFill>
              <w14:schemeClr w14:val="tx1"/>
            </w14:solidFill>
          </w14:textFill>
        </w:rPr>
        <w:t>数量、规格、外观质量</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其余资料（包括但不限于操作手册，设备参数等）等符合合同约定、满足使用需求，中标人安装、调试完成，单项验收合格后，</w:t>
      </w:r>
      <w:r>
        <w:rPr>
          <w:rFonts w:hint="eastAsia" w:ascii="宋体" w:hAnsi="宋体" w:eastAsia="宋体" w:cs="宋体"/>
          <w:color w:val="000000" w:themeColor="text1"/>
          <w:spacing w:val="0"/>
          <w:sz w:val="24"/>
          <w:szCs w:val="24"/>
          <w:highlight w:val="none"/>
          <w14:textFill>
            <w14:solidFill>
              <w14:schemeClr w14:val="tx1"/>
            </w14:solidFill>
          </w14:textFill>
        </w:rPr>
        <w:t>同时</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收到</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递交的合法</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发票并在完成财务审批手续后的</w:t>
      </w:r>
      <w:r>
        <w:rPr>
          <w:rFonts w:hint="eastAsia" w:ascii="宋体" w:hAnsi="宋体" w:eastAsia="宋体" w:cs="宋体"/>
          <w:color w:val="000000" w:themeColor="text1"/>
          <w:spacing w:val="0"/>
          <w:sz w:val="24"/>
          <w:szCs w:val="24"/>
          <w:highlight w:val="none"/>
          <w14:textFill>
            <w14:solidFill>
              <w14:schemeClr w14:val="tx1"/>
            </w14:solidFill>
          </w14:textFill>
        </w:rPr>
        <w:t>15个工作日内</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支付至合同总价的70%；</w:t>
      </w:r>
    </w:p>
    <w:p w14:paraId="67C0FFC4">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）项目整体竣工</w:t>
      </w:r>
      <w:r>
        <w:rPr>
          <w:rFonts w:hint="eastAsia" w:ascii="宋体" w:hAnsi="宋体" w:eastAsia="宋体" w:cs="宋体"/>
          <w:color w:val="000000" w:themeColor="text1"/>
          <w:spacing w:val="0"/>
          <w:sz w:val="24"/>
          <w:szCs w:val="24"/>
          <w:highlight w:val="none"/>
          <w14:textFill>
            <w14:solidFill>
              <w14:schemeClr w14:val="tx1"/>
            </w14:solidFill>
          </w14:textFill>
        </w:rPr>
        <w:t>验收合格</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且经试运行三个月完成</w:t>
      </w:r>
      <w:r>
        <w:rPr>
          <w:rFonts w:hint="eastAsia" w:ascii="宋体" w:hAnsi="宋体" w:eastAsia="宋体" w:cs="宋体"/>
          <w:color w:val="000000" w:themeColor="text1"/>
          <w:spacing w:val="0"/>
          <w:sz w:val="24"/>
          <w:szCs w:val="24"/>
          <w:highlight w:val="none"/>
          <w14:textFill>
            <w14:solidFill>
              <w14:schemeClr w14:val="tx1"/>
            </w14:solidFill>
          </w14:textFill>
        </w:rPr>
        <w:t>后</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同时</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收到</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递交的合法</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发票并在完成财务审批手续后的</w:t>
      </w:r>
      <w:r>
        <w:rPr>
          <w:rFonts w:hint="eastAsia" w:ascii="宋体" w:hAnsi="宋体" w:eastAsia="宋体" w:cs="宋体"/>
          <w:color w:val="000000" w:themeColor="text1"/>
          <w:spacing w:val="0"/>
          <w:sz w:val="24"/>
          <w:szCs w:val="24"/>
          <w:highlight w:val="none"/>
          <w14:textFill>
            <w14:solidFill>
              <w14:schemeClr w14:val="tx1"/>
            </w14:solidFill>
          </w14:textFill>
        </w:rPr>
        <w:t>15个工作日内</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支付至合同价的85%</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p>
    <w:p w14:paraId="2D8A31CB">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）结算审核</w:t>
      </w:r>
      <w:r>
        <w:rPr>
          <w:rFonts w:hint="eastAsia" w:ascii="宋体" w:hAnsi="宋体" w:eastAsia="宋体" w:cs="宋体"/>
          <w:color w:val="000000" w:themeColor="text1"/>
          <w:spacing w:val="0"/>
          <w:sz w:val="24"/>
          <w:szCs w:val="24"/>
          <w:highlight w:val="none"/>
          <w14:textFill>
            <w14:solidFill>
              <w14:schemeClr w14:val="tx1"/>
            </w14:solidFill>
          </w14:textFill>
        </w:rPr>
        <w:t>完成且资料齐全移交</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后</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同时</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收到</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递交的合法</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发票并在完成财务审批手续后的</w:t>
      </w:r>
      <w:r>
        <w:rPr>
          <w:rFonts w:hint="eastAsia" w:ascii="宋体" w:hAnsi="宋体" w:eastAsia="宋体" w:cs="宋体"/>
          <w:color w:val="000000" w:themeColor="text1"/>
          <w:spacing w:val="0"/>
          <w:sz w:val="24"/>
          <w:szCs w:val="24"/>
          <w:highlight w:val="none"/>
          <w14:textFill>
            <w14:solidFill>
              <w14:schemeClr w14:val="tx1"/>
            </w14:solidFill>
          </w14:textFill>
        </w:rPr>
        <w:t>15个工作日内</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支付至审定价的</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98.5</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4B876286">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根据中标人投标时承诺的</w:t>
      </w:r>
      <w:r>
        <w:rPr>
          <w:rFonts w:hint="eastAsia" w:ascii="宋体" w:hAnsi="宋体" w:eastAsia="宋体" w:cs="宋体"/>
          <w:color w:val="000000" w:themeColor="text1"/>
          <w:spacing w:val="0"/>
          <w:sz w:val="24"/>
          <w:szCs w:val="24"/>
          <w:highlight w:val="none"/>
          <w14:textFill>
            <w14:solidFill>
              <w14:schemeClr w14:val="tx1"/>
            </w14:solidFill>
          </w14:textFill>
        </w:rPr>
        <w:t>质保期</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时间，</w:t>
      </w:r>
      <w:r>
        <w:rPr>
          <w:rFonts w:hint="eastAsia" w:ascii="宋体" w:hAnsi="宋体" w:eastAsia="宋体" w:cs="宋体"/>
          <w:color w:val="000000" w:themeColor="text1"/>
          <w:spacing w:val="0"/>
          <w:sz w:val="24"/>
          <w:szCs w:val="24"/>
          <w:highlight w:val="none"/>
          <w14:textFill>
            <w14:solidFill>
              <w14:schemeClr w14:val="tx1"/>
            </w14:solidFill>
          </w14:textFill>
        </w:rPr>
        <w:t>余款</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在承诺的质保期</w:t>
      </w:r>
      <w:r>
        <w:rPr>
          <w:rFonts w:hint="eastAsia" w:ascii="宋体" w:hAnsi="宋体" w:eastAsia="宋体" w:cs="宋体"/>
          <w:color w:val="000000" w:themeColor="text1"/>
          <w:spacing w:val="0"/>
          <w:sz w:val="24"/>
          <w:szCs w:val="24"/>
          <w:highlight w:val="none"/>
          <w14:textFill>
            <w14:solidFill>
              <w14:schemeClr w14:val="tx1"/>
            </w14:solidFill>
          </w14:textFill>
        </w:rPr>
        <w:t>满且无质量和服务问题</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后</w:t>
      </w:r>
      <w:r>
        <w:rPr>
          <w:rFonts w:hint="eastAsia" w:ascii="宋体" w:hAnsi="宋体" w:eastAsia="宋体" w:cs="宋体"/>
          <w:color w:val="000000" w:themeColor="text1"/>
          <w:spacing w:val="0"/>
          <w:sz w:val="24"/>
          <w:szCs w:val="24"/>
          <w:highlight w:val="none"/>
          <w14:textFill>
            <w14:solidFill>
              <w14:schemeClr w14:val="tx1"/>
            </w14:solidFill>
          </w14:textFill>
        </w:rPr>
        <w:t>一次性付清。</w:t>
      </w:r>
    </w:p>
    <w:p w14:paraId="780B92DC">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bookmarkStart w:id="46" w:name="_Toc12174"/>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注：如联合体中标的，则工程款支付给联合体牵头人</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发票由</w:t>
      </w:r>
      <w:r>
        <w:rPr>
          <w:rFonts w:hint="eastAsia" w:ascii="宋体" w:hAnsi="宋体" w:eastAsia="宋体" w:cs="宋体"/>
          <w:color w:val="000000" w:themeColor="text1"/>
          <w:spacing w:val="0"/>
          <w:sz w:val="24"/>
          <w:szCs w:val="24"/>
          <w:highlight w:val="none"/>
          <w14:textFill>
            <w14:solidFill>
              <w14:schemeClr w14:val="tx1"/>
            </w14:solidFill>
          </w14:textFill>
        </w:rPr>
        <w:t>联合体牵头单位</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提供。</w:t>
      </w:r>
    </w:p>
    <w:p w14:paraId="2B2A1F84">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上述款项支付前，中标人应提供符合招标人要求的发票，否则招标人有权顺延付款且不视为违约。</w:t>
      </w:r>
    </w:p>
    <w:p w14:paraId="398C31CA">
      <w:pPr>
        <w:keepNext w:val="0"/>
        <w:keepLines w:val="0"/>
        <w:pageBreakBefore w:val="0"/>
        <w:widowControl w:val="0"/>
        <w:numPr>
          <w:ilvl w:val="0"/>
          <w:numId w:val="0"/>
        </w:numPr>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kern w:val="2"/>
          <w:sz w:val="24"/>
          <w:szCs w:val="24"/>
          <w:highlight w:val="none"/>
          <w:lang w:val="en-US" w:eastAsia="zh-CN" w:bidi="ar-SA"/>
          <w14:textFill>
            <w14:solidFill>
              <w14:schemeClr w14:val="tx1"/>
            </w14:solidFill>
          </w14:textFill>
        </w:rPr>
        <w:t>5.</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接货通知</w:t>
      </w:r>
    </w:p>
    <w:p w14:paraId="635F4368">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在设备发运前10天，需将准备发运的设备名称、规格、数量、包装箱件数、每件包装箱的尺码、毛重及对</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设备</w:t>
      </w:r>
      <w:r>
        <w:rPr>
          <w:rFonts w:hint="eastAsia" w:ascii="宋体" w:hAnsi="宋体" w:eastAsia="宋体" w:cs="宋体"/>
          <w:color w:val="000000" w:themeColor="text1"/>
          <w:spacing w:val="0"/>
          <w:sz w:val="24"/>
          <w:szCs w:val="24"/>
          <w:highlight w:val="none"/>
          <w14:textFill>
            <w14:solidFill>
              <w14:schemeClr w14:val="tx1"/>
            </w14:solidFill>
          </w14:textFill>
        </w:rPr>
        <w:t>的卸车、贮存的特殊要求以传真</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或双方确定的其他</w:t>
      </w:r>
      <w:r>
        <w:rPr>
          <w:rFonts w:hint="eastAsia" w:ascii="宋体" w:hAnsi="宋体" w:eastAsia="宋体" w:cs="宋体"/>
          <w:color w:val="000000" w:themeColor="text1"/>
          <w:spacing w:val="0"/>
          <w:sz w:val="24"/>
          <w:szCs w:val="24"/>
          <w:highlight w:val="none"/>
          <w14:textFill>
            <w14:solidFill>
              <w14:schemeClr w14:val="tx1"/>
            </w14:solidFill>
          </w14:textFill>
        </w:rPr>
        <w:t>形式通知</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，以便接货。</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14:textFill>
            <w14:solidFill>
              <w14:schemeClr w14:val="tx1"/>
            </w14:solidFill>
          </w14:textFill>
        </w:rPr>
        <w:t>只协助</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接货。</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卸</w:t>
      </w:r>
      <w:r>
        <w:rPr>
          <w:rFonts w:hint="eastAsia" w:ascii="宋体" w:hAnsi="宋体" w:eastAsia="宋体" w:cs="宋体"/>
          <w:color w:val="000000" w:themeColor="text1"/>
          <w:spacing w:val="0"/>
          <w:sz w:val="24"/>
          <w:szCs w:val="24"/>
          <w:highlight w:val="none"/>
          <w14:textFill>
            <w14:solidFill>
              <w14:schemeClr w14:val="tx1"/>
            </w14:solidFill>
          </w14:textFill>
        </w:rPr>
        <w:t>货、清点、搬运、保管、安装调试、试运行</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、现场清理</w:t>
      </w:r>
      <w:r>
        <w:rPr>
          <w:rFonts w:hint="eastAsia" w:ascii="宋体" w:hAnsi="宋体" w:eastAsia="宋体" w:cs="宋体"/>
          <w:color w:val="000000" w:themeColor="text1"/>
          <w:spacing w:val="0"/>
          <w:sz w:val="24"/>
          <w:szCs w:val="24"/>
          <w:highlight w:val="none"/>
          <w14:textFill>
            <w14:solidFill>
              <w14:schemeClr w14:val="tx1"/>
            </w14:solidFill>
          </w14:textFill>
        </w:rPr>
        <w:t>等均由</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负责，并承担相应费用。</w:t>
      </w:r>
    </w:p>
    <w:bookmarkEnd w:id="46"/>
    <w:p w14:paraId="481D8EEF">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pacing w:val="0"/>
          <w:sz w:val="24"/>
          <w:szCs w:val="24"/>
          <w:highlight w:val="none"/>
          <w14:textFill>
            <w14:solidFill>
              <w14:schemeClr w14:val="tx1"/>
            </w14:solidFill>
          </w14:textFill>
        </w:rPr>
        <w:t>运输及装卸保险</w:t>
      </w:r>
    </w:p>
    <w:p w14:paraId="67EC7819">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）设备</w:t>
      </w:r>
      <w:r>
        <w:rPr>
          <w:rFonts w:hint="eastAsia" w:ascii="宋体" w:hAnsi="宋体" w:eastAsia="宋体" w:cs="宋体"/>
          <w:color w:val="000000" w:themeColor="text1"/>
          <w:spacing w:val="0"/>
          <w:sz w:val="24"/>
          <w:szCs w:val="24"/>
          <w:highlight w:val="none"/>
          <w14:textFill>
            <w14:solidFill>
              <w14:schemeClr w14:val="tx1"/>
            </w14:solidFill>
          </w14:textFill>
        </w:rPr>
        <w:t>在装运前由</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投保，一旦</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设备</w:t>
      </w:r>
      <w:r>
        <w:rPr>
          <w:rFonts w:hint="eastAsia" w:ascii="宋体" w:hAnsi="宋体" w:eastAsia="宋体" w:cs="宋体"/>
          <w:color w:val="000000" w:themeColor="text1"/>
          <w:spacing w:val="0"/>
          <w:sz w:val="24"/>
          <w:szCs w:val="24"/>
          <w:highlight w:val="none"/>
          <w14:textFill>
            <w14:solidFill>
              <w14:schemeClr w14:val="tx1"/>
            </w14:solidFill>
          </w14:textFill>
        </w:rPr>
        <w:t>在装卸、运输过程中发生损坏或短缺，由</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负责</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赔偿</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533A05CC">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保证在确认</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设备</w:t>
      </w:r>
      <w:r>
        <w:rPr>
          <w:rFonts w:hint="eastAsia" w:ascii="宋体" w:hAnsi="宋体" w:eastAsia="宋体" w:cs="宋体"/>
          <w:color w:val="000000" w:themeColor="text1"/>
          <w:spacing w:val="0"/>
          <w:sz w:val="24"/>
          <w:szCs w:val="24"/>
          <w:highlight w:val="none"/>
          <w14:textFill>
            <w14:solidFill>
              <w14:schemeClr w14:val="tx1"/>
            </w14:solidFill>
          </w14:textFill>
        </w:rPr>
        <w:t>因装卸、运输中发生损坏或短缺后，尽快给予调换、修复和补齐缺件，不管其造成的原因如何</w:t>
      </w:r>
      <w:r>
        <w:rPr>
          <w:rFonts w:hint="eastAsia" w:ascii="宋体" w:hAnsi="宋体" w:eastAsia="宋体" w:cs="宋体"/>
          <w:strike w:val="0"/>
          <w:dstrike w:val="0"/>
          <w:color w:val="000000" w:themeColor="text1"/>
          <w:sz w:val="24"/>
          <w:szCs w:val="24"/>
          <w:highlight w:val="none"/>
          <w14:textFill>
            <w14:solidFill>
              <w14:schemeClr w14:val="tx1"/>
            </w14:solidFill>
          </w14:textFill>
        </w:rPr>
        <w:t>也不以</w:t>
      </w:r>
      <w:r>
        <w:rPr>
          <w:rFonts w:hint="eastAsia" w:ascii="宋体" w:hAnsi="宋体" w:eastAsia="宋体" w:cs="宋体"/>
          <w:strike w:val="0"/>
          <w:dstrike w:val="0"/>
          <w:color w:val="000000" w:themeColor="text1"/>
          <w:sz w:val="24"/>
          <w:szCs w:val="24"/>
          <w:highlight w:val="none"/>
          <w:lang w:val="en-US" w:eastAsia="zh-CN"/>
          <w14:textFill>
            <w14:solidFill>
              <w14:schemeClr w14:val="tx1"/>
            </w14:solidFill>
          </w14:textFill>
        </w:rPr>
        <w:t>任何理由</w:t>
      </w:r>
      <w:r>
        <w:rPr>
          <w:rFonts w:hint="eastAsia" w:ascii="宋体" w:hAnsi="宋体" w:eastAsia="宋体" w:cs="宋体"/>
          <w:strike w:val="0"/>
          <w:dstrike w:val="0"/>
          <w:color w:val="000000" w:themeColor="text1"/>
          <w:sz w:val="24"/>
          <w:szCs w:val="24"/>
          <w:highlight w:val="none"/>
          <w14:textFill>
            <w14:solidFill>
              <w14:schemeClr w14:val="tx1"/>
            </w14:solidFill>
          </w14:textFill>
        </w:rPr>
        <w:t>拖延</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466DE878">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14:textFill>
            <w14:solidFill>
              <w14:schemeClr w14:val="tx1"/>
            </w14:solidFill>
          </w14:textFill>
        </w:rPr>
        <w:t>工作人员及设备进场时，应遵守交货现场环境卫生管理、安全管理的有关规定，配备相应的环境保护及安全措施。承担因自身原因违反有关规定而导致的所有责任。</w:t>
      </w:r>
    </w:p>
    <w:p w14:paraId="563EA2CF">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7.人员培训</w:t>
      </w:r>
    </w:p>
    <w:p w14:paraId="35DBC8BE">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（1）中标人免费对招标人的操作、维修人员在厂方或使用地进行技术培训。设备交货时中标人向招标人提供设备技术资料、图纸和招标人认为有必要提供的其他技术资料。</w:t>
      </w:r>
    </w:p>
    <w:p w14:paraId="635DF52A">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中标人应针对项目系统中的不同操作角色对使用方的人员进行相应的培训，培训的目标是使使用方能熟练使用和维护该系统，培训具体形式应至少包括集中的基础理论、系统日常管理、运维等内容，培训至熟练使用。</w:t>
      </w:r>
    </w:p>
    <w:p w14:paraId="478AEDB7">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（3）中标人必须为所有被培训人员提供培训用文字资料和讲义等相关用品。所有的资料必须是中文书写。</w:t>
      </w:r>
    </w:p>
    <w:p w14:paraId="1AC8B204">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8.质量、技术标准</w:t>
      </w:r>
    </w:p>
    <w:p w14:paraId="3BD5FFA9">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（1）设备的制造、安装、验收标准及技术规范，必须符合中国国家标准，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及设计要求</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。中标人必须保证交货产品各项性能不得低于中国国家标准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及设计要求的其他标准</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招标人随时有抽检及送检产品的权利，检验机构为有资质的第三方检验机构。对于产品的任何技术及质量不合格，中标人承担检测费用，招标人有权拒收、部分拒收、退货、部分退货直至解除本合同，追究中标人违约责任，并要求中标人支付承担因此造成的所有损失。因此造成工期违约的，同时承担工期违约的违约责任。</w:t>
      </w:r>
    </w:p>
    <w:p w14:paraId="240417FB">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（2）未经招标人同意，中标人不得擅自更改或换用投标产品的零部件或配件，否则，中标人承担由此发生的费用，并赔偿招标人的有关损失，延误的供货日期不予顺延。</w:t>
      </w:r>
    </w:p>
    <w:p w14:paraId="3815776D">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9.设备、材料检验 </w:t>
      </w:r>
    </w:p>
    <w:p w14:paraId="01B169DB">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（1）招标人认为有必要在设备制造过程中派人到生产厂监制，中标人应予以积极配合并对监制或预验收工作提供方便并承担相关费用。</w:t>
      </w:r>
    </w:p>
    <w:p w14:paraId="0E0D8DEA">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（2）在第一批设备供货之前，招标人将会同</w:t>
      </w:r>
      <w:r>
        <w:rPr>
          <w:rFonts w:hint="eastAsia" w:ascii="宋体" w:hAnsi="宋体" w:eastAsia="宋体" w:cs="宋体"/>
          <w:strike w:val="0"/>
          <w:dstrike w:val="0"/>
          <w:color w:val="000000" w:themeColor="text1"/>
          <w:spacing w:val="0"/>
          <w:sz w:val="24"/>
          <w:szCs w:val="24"/>
          <w:highlight w:val="none"/>
          <w:lang w:val="en-US" w:eastAsia="zh-CN"/>
          <w14:textFill>
            <w14:solidFill>
              <w14:schemeClr w14:val="tx1"/>
            </w14:solidFill>
          </w14:textFill>
        </w:rPr>
        <w:t>代建单位、全咨单位</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等相关单位到中标人的设备制造厂进行样品审核，中标人应积极配合并对招标人的工作提供方便并承担相关费用。</w:t>
      </w:r>
    </w:p>
    <w:p w14:paraId="7A2BBEF7">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（3）所有的设备进场时须同时提供设备出厂合格证书、检测报告等合法手续。</w:t>
      </w:r>
    </w:p>
    <w:p w14:paraId="6ED76FE4">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4）隐蔽工程必须经全咨单位检查、验收签证后，方可进行下一道工序。没有经过全咨单位的批准，工程的任何部分均不得覆盖或使之无法查看。中标人应保证有充分的时间，对隐蔽或无法查看工程的任何部分进行检查或测量。</w:t>
      </w:r>
    </w:p>
    <w:p w14:paraId="1BFD5BFD">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5）样品的报送与封存：需要中标人报送样品的材料或工程设备，样品的种类、名称、规格、数量要求：以符合设计和规范要求为原则。a、一般材料及主要设备应由招标人、代建单位、全咨单位看样认可后采购。b 、所有材料必须有质保书和合格证，经认证许可，并符合施工图纸和规范要求，若材料质量不符合规定要求，中标人无条件退换并承担返工损失及工期、质量违约责任 。</w:t>
      </w:r>
    </w:p>
    <w:p w14:paraId="5677829C">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bookmarkStart w:id="47" w:name="_Toc812"/>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10.设备的安装、调试</w:t>
      </w:r>
      <w:bookmarkEnd w:id="47"/>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、试运行</w:t>
      </w:r>
    </w:p>
    <w:p w14:paraId="5CD9DE1C">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（1）合同所订的设备到达招标人指定地点后，中标人应在收到招标人通知后2天内，及时派人前往设备交货地点对设备进行安装调试。</w:t>
      </w:r>
    </w:p>
    <w:p w14:paraId="459EE003">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（2）中标人人员在安装及设备调试期间，所有费用由中标人负责。</w:t>
      </w:r>
    </w:p>
    <w:p w14:paraId="6F15E169">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（3）中标人应在</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设备安装完毕并具备调试条件下</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完成设备调试工作；调试完毕后须经过三个月的试运行。如因中标人责任而造成的延期，</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中标人应承担工期违约责任</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w:t>
      </w:r>
    </w:p>
    <w:p w14:paraId="42AA186A">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安装完毕后，中标人应派遣有经验的工程技术人员进行设备的调试及试运行，招标人可以要求中标人委托具有检测资质的第三方用专用仪器进行测试，中标人应负责测试和调试所需的人员、工具、材料、仪器及检测费用等一切费用，并填写测试报告交由招标人存档。如需招标人派有关人员配合，中标人应在设备安装调试前一周提出需配合工作人员的工种、人数等计划书交与招标人，以便招标人提前作好准备，确保整个工程顺利进行。招标人组织相关专家进行验收，验收人员、会务等相关的一切费用，由中标人负责。</w:t>
      </w:r>
    </w:p>
    <w:p w14:paraId="14DF57A6">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11.设备验收</w:t>
      </w:r>
    </w:p>
    <w:p w14:paraId="6ED508B6">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（1）中标人在合同签订后7天内应提供验收大纲和验收标准供招标人参考。</w:t>
      </w:r>
    </w:p>
    <w:p w14:paraId="524865B4">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（2）开箱检查：设备到达现场后，中标人派人到现场与招标人、代建单位、全咨单位一起开箱检查，设备的数量、规格、外观质量、</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其余资料（包括但不限于操作手册，设备参数等）</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需</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符合合同约定、满足使用需求的关键环节</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并进行纸质记录。</w:t>
      </w:r>
    </w:p>
    <w:p w14:paraId="5BAF80D1">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（3）单项验收：</w:t>
      </w:r>
    </w:p>
    <w:p w14:paraId="29F532D6">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在设备安装调试完成后、系统正式交付前，对</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设备及</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系统功能完整性、性能达标性、运行稳定性及文档规范性进行综合性</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初步检收。中标人负责本合同项目所在地政府主管部门（卫生管理部门等）的备案以及办理所需相关手续(如有)；</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本项目必须满足</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相关卫生监督部门、环保部门、消防部门</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等部门要求，最终应配合招标人通过</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相关卫生监督部门、环保部门、消防部门</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等部门验收。如需整改，中标人必须按照</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相关卫生监督部门、环保部门、消防部门</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等部门要求整改并通过验收。</w:t>
      </w:r>
    </w:p>
    <w:p w14:paraId="6E1062B5">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4）设备在安装、调试结束后，试运行阶段满足招标人需求，招标人会同当地有关部门或邀请第三方对设备共同进行验收，中标人自行承担第三方检验费用（如有，第三方检测单位须招标人及相关验收主管部门认可）。</w:t>
      </w:r>
    </w:p>
    <w:p w14:paraId="30C29993">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（5）总包整体竣工验收</w:t>
      </w:r>
    </w:p>
    <w:p w14:paraId="711FE346">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中标人配合总包完成各项验收及工程整体竣工验收，及时根据招标人及总包要求提供相关技术经济资料。</w:t>
      </w:r>
    </w:p>
    <w:p w14:paraId="4BEBF7F7">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bookmarkStart w:id="48" w:name="_Toc8150"/>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12.质保及维修</w:t>
      </w:r>
      <w:bookmarkEnd w:id="48"/>
    </w:p>
    <w:p w14:paraId="11C21AC7">
      <w:pPr>
        <w:pageBreakBefore w:val="0"/>
        <w:shd w:val="clear"/>
        <w:kinsoku/>
        <w:wordWrap/>
        <w:overflowPunct/>
        <w:topLinePunct w:val="0"/>
        <w:autoSpaceDE/>
        <w:autoSpaceDN/>
        <w:bidi w:val="0"/>
        <w:adjustRightInd/>
        <w:snapToGrid w:val="0"/>
        <w:spacing w:line="300" w:lineRule="auto"/>
        <w:ind w:firstLine="482" w:firstLineChars="200"/>
        <w:rPr>
          <w:rFonts w:hint="eastAsia" w:ascii="宋体" w:hAnsi="宋体" w:eastAsia="宋体" w:cs="宋体"/>
          <w:b/>
          <w:bCs/>
          <w:strike w:val="0"/>
          <w:snapToGrid w:val="0"/>
          <w:color w:val="000000" w:themeColor="text1"/>
          <w:spacing w:val="0"/>
          <w:kern w:val="0"/>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（1）本项目质</w:t>
      </w:r>
      <w:r>
        <w:rPr>
          <w:rFonts w:hint="eastAsia" w:ascii="宋体" w:hAnsi="宋体" w:eastAsia="宋体" w:cs="宋体"/>
          <w:b/>
          <w:bCs/>
          <w:strike w:val="0"/>
          <w:snapToGrid w:val="0"/>
          <w:color w:val="000000" w:themeColor="text1"/>
          <w:spacing w:val="0"/>
          <w:kern w:val="0"/>
          <w:sz w:val="24"/>
          <w:szCs w:val="24"/>
          <w:highlight w:val="none"/>
          <w:lang w:val="en-US" w:eastAsia="zh-CN" w:bidi="ar"/>
          <w14:textFill>
            <w14:solidFill>
              <w14:schemeClr w14:val="tx1"/>
            </w14:solidFill>
          </w14:textFill>
        </w:rPr>
        <w:t>保期不少于36个月（从总包整体验收合格且试运行3个月并交付使用之日起开始计）。</w:t>
      </w:r>
    </w:p>
    <w:p w14:paraId="0D0C521B">
      <w:pPr>
        <w:shd w:val="clear"/>
        <w:autoSpaceDE/>
        <w:autoSpaceDN/>
        <w:adjustRightInd/>
        <w:snapToGrid w:val="0"/>
        <w:spacing w:line="30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（2）质保期内的工作内容、范围与工作职责： 中标人负责日常巡检，各系统和设备的质保维护、故障维修、性能调试，质保期内的人工、配件、耗材的更换，配合招标人和第三方检测；不包括人为损坏、试剂、一次性耗材、第三方检测费用。 </w:t>
      </w:r>
    </w:p>
    <w:p w14:paraId="7405C2CB">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质保期内如无问题，则在质保期满时，由</w:t>
      </w:r>
      <w:r>
        <w:rPr>
          <w:rFonts w:hint="eastAsia" w:ascii="宋体" w:hAnsi="宋体" w:eastAsia="宋体" w:cs="宋体"/>
          <w:strike w:val="0"/>
          <w:dstrike w:val="0"/>
          <w:color w:val="000000" w:themeColor="text1"/>
          <w:spacing w:val="0"/>
          <w:sz w:val="24"/>
          <w:szCs w:val="24"/>
          <w:highlight w:val="none"/>
          <w:lang w:val="en-US" w:eastAsia="zh-CN"/>
          <w14:textFill>
            <w14:solidFill>
              <w14:schemeClr w14:val="tx1"/>
            </w14:solidFill>
          </w14:textFill>
        </w:rPr>
        <w:t>中标人</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提交质保期验收</w:t>
      </w:r>
      <w:r>
        <w:rPr>
          <w:rFonts w:hint="eastAsia" w:ascii="宋体" w:hAnsi="宋体" w:eastAsia="宋体" w:cs="宋体"/>
          <w:strike w:val="0"/>
          <w:dstrike w:val="0"/>
          <w:color w:val="000000" w:themeColor="text1"/>
          <w:spacing w:val="0"/>
          <w:sz w:val="24"/>
          <w:szCs w:val="24"/>
          <w:highlight w:val="none"/>
          <w:lang w:val="en-US" w:eastAsia="zh-CN"/>
          <w14:textFill>
            <w14:solidFill>
              <w14:schemeClr w14:val="tx1"/>
            </w14:solidFill>
          </w14:textFill>
        </w:rPr>
        <w:t>申请</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，验收由招标人签字认可。</w:t>
      </w:r>
    </w:p>
    <w:p w14:paraId="7F93C228">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（4）在项目质保期内，因设备本身的缺陷导致各种故障，中标人应负责设备维修、提供技术服务，若无法维修的则负责免费更换产品，更换后的产品的质量保证期为更换后的产品使用之日起至少</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（根据中标人投标时的承诺在合同签订时明确）  </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个月。</w:t>
      </w:r>
    </w:p>
    <w:p w14:paraId="6182BE3A">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（5）如设备在质保期后发生故障，中标人在收到招标人的书面维修通知后，应即时给予响应。在质保期内的工作应包括对所有设备每月至少1次的常规检查、调整和润滑。</w:t>
      </w:r>
    </w:p>
    <w:p w14:paraId="17D3A901">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（6）中标人在投标文件中所承诺的辅材、配件价格及保修期外的保修年费及服务方案做为合同的一部分。</w:t>
      </w:r>
    </w:p>
    <w:p w14:paraId="3E0A4C69">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pacing w:val="0"/>
          <w:sz w:val="24"/>
          <w:szCs w:val="24"/>
          <w:highlight w:val="none"/>
          <w:lang w:val="en-US" w:eastAsia="zh-CN" w:bidi="ar"/>
          <w14:textFill>
            <w14:solidFill>
              <w14:schemeClr w14:val="tx1"/>
            </w14:solidFill>
          </w14:textFill>
        </w:rPr>
        <w:t>本项目要求质保期内确保每天有不少于1名的专业维保人员驻场。</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一旦设备发生故障，在接到招标人通知后，</w:t>
      </w:r>
      <w:r>
        <w:rPr>
          <w:rFonts w:hint="eastAsia" w:ascii="宋体" w:hAnsi="宋体" w:eastAsia="宋体" w:cs="宋体"/>
          <w:b/>
          <w:bCs w:val="0"/>
          <w:strike w:val="0"/>
          <w:snapToGrid w:val="0"/>
          <w:color w:val="000000" w:themeColor="text1"/>
          <w:spacing w:val="0"/>
          <w:kern w:val="0"/>
          <w:sz w:val="24"/>
          <w:szCs w:val="24"/>
          <w:highlight w:val="none"/>
          <w:lang w:val="en-US" w:eastAsia="zh-CN" w:bidi="ar"/>
          <w14:textFill>
            <w14:solidFill>
              <w14:schemeClr w14:val="tx1"/>
            </w14:solidFill>
          </w14:textFill>
        </w:rPr>
        <w:t>维修即时响应，24小时内维修人员到达现场（包括节假日）</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。质保期内，中标人未按时到场或未按时完成维修的，中标人需承担500元/次的违约金。以上违约金在最近一次支付合同款时扣除。</w:t>
      </w:r>
    </w:p>
    <w:p w14:paraId="7C7CE9DB">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）质量保证期内，中标人需提供对系统软件的免费升级服务，同时不得设置升级障碍，必须对其他系统软件开</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放</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端口。质量保证期满后，中标人有义务配合招标人对设备设施的软件系统</w:t>
      </w:r>
      <w:r>
        <w:rPr>
          <w:rFonts w:hint="eastAsia" w:ascii="宋体" w:hAnsi="宋体" w:eastAsia="宋体" w:cs="宋体"/>
          <w:strike w:val="0"/>
          <w:dstrike w:val="0"/>
          <w:color w:val="000000" w:themeColor="text1"/>
          <w:spacing w:val="0"/>
          <w:sz w:val="24"/>
          <w:szCs w:val="24"/>
          <w:highlight w:val="none"/>
          <w:lang w:val="en-US" w:eastAsia="zh-CN"/>
          <w14:textFill>
            <w14:solidFill>
              <w14:schemeClr w14:val="tx1"/>
            </w14:solidFill>
          </w14:textFill>
        </w:rPr>
        <w:t>进行</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改造升级。</w:t>
      </w:r>
    </w:p>
    <w:p w14:paraId="5FD8BD23">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（9）中标人应按法律、行政法规或国家关于设备质量保修的有关规定，对交付招标人使用的设备在质量保修期内承担质量保修责任。</w:t>
      </w:r>
    </w:p>
    <w:p w14:paraId="56807A73">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（10）在质保期内，一旦设备发生故障，而招标人无法自行排除时，在接到招标人通知后，中标人须在招标人书面通知后24小时内赶到现场维修并及时提供备品、备件，并于4小时内完成维修。</w:t>
      </w:r>
    </w:p>
    <w:p w14:paraId="0539918D">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11）中标人承诺，无论属中标人或其他方责任，在接到通知后，均遵守上述时间性要求不问理由地进行维修，并在维修过程中与招标人及管理方共同取证，以判断责任原因，不属中标人责任的，由责任方向中标人支付相关维修费用。</w:t>
      </w:r>
    </w:p>
    <w:p w14:paraId="48F540E5">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（12）质保期内，中标人未按时到场或未按时完成维修的，中标人需承担500元/次的违约金。以上违约金在最近一次支付合同款时扣除。</w:t>
      </w:r>
    </w:p>
    <w:p w14:paraId="139F960F">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13.安全要求：</w:t>
      </w:r>
    </w:p>
    <w:p w14:paraId="5A1E6F0C">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中标人在实施作业期间，必须做好安全生产工作。实施过程中，必须严格按照安全程序进行，同时应做好加强安全教育和安全监督，确保不出现各类安全事故，接受行业监督人员依法实施的检查和监督，中标人在所属现场在施工期间，所发生的一切安全问题（包括人身、财产损害）和治安问题由中标人负责，</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招标人、代建单位因此担责的，有权行使追偿</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w:t>
      </w:r>
    </w:p>
    <w:p w14:paraId="7D838154">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（2）中标人在实施过程中应采取必要的安全防护和消防措施，保障作业人员及出入施工现场人员的安全。中标人应为施工人员办理所需的工伤等保险，费用由中标人自行负责。</w:t>
      </w:r>
    </w:p>
    <w:p w14:paraId="675CD7F8">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中标人在实施过程中如发生质量事故责任全部自行承担，及时报告招标人。做到及时查清事故原因，分清事故责任，并采取有效的补救措施。一般质量事故的处理方案应送招标人共同研究实施；重大质量事故的处理按国家相关条例执行。</w:t>
      </w:r>
    </w:p>
    <w:p w14:paraId="4DC2F84B">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（4）本项目合同期内出现的作业人员或因中标人原因引起的第三方人员、财务损失，造成的责任和因此发生的费用，由中标人承担。</w:t>
      </w:r>
    </w:p>
    <w:p w14:paraId="09BB4C48">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（5）本项目实施过程中，由中标人引起的管线、线路等损坏由中标人承担相应的责任和损失。</w:t>
      </w:r>
    </w:p>
    <w:p w14:paraId="51A98CDA">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bookmarkStart w:id="49" w:name="_Toc10358"/>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14.违约责任</w:t>
      </w:r>
      <w:bookmarkEnd w:id="49"/>
    </w:p>
    <w:p w14:paraId="6F2B7243">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中标人未按</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合同约定工期的，中标人需承担1000元/天的违约金；逾期超过30天的，中标人需承担</w:t>
      </w:r>
      <w:r>
        <w:rPr>
          <w:rFonts w:hint="eastAsia" w:ascii="宋体" w:hAnsi="宋体" w:eastAsia="宋体" w:cs="宋体"/>
          <w:color w:val="000000" w:themeColor="text1"/>
          <w:sz w:val="24"/>
          <w:szCs w:val="24"/>
          <w:highlight w:val="none"/>
          <w:lang w:val="en-US" w:eastAsia="zh-CN"/>
          <w14:textFill>
            <w14:solidFill>
              <w14:schemeClr w14:val="tx1"/>
            </w14:solidFill>
          </w14:textFill>
        </w:rPr>
        <w:t>2000元/天的违约金直至扣除</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合同价的3%且</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招标人</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有权解除合同，中标人承担所有的违约责任并承担由此造成的招标人的全部损失。中标人总工期超过本合同约定期限的，按照逾期交货承担违约责任。以上违约金在最近一次支付合同款时扣除。</w:t>
      </w:r>
    </w:p>
    <w:p w14:paraId="0A4C6550">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（2）中标人交付的货品不能满足招标文件及合同主要技术标准及质量要求的，应按照要求更换、重做、修理直至按照招标人的要求退货并每发生一次，中标人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需承担2000元</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违约金，累计发生3次（含）以上的，招标人有权解除本合同、招标人有权没收全部的履约保证金，中标人承担全部的违约责任并中标人应承担因此造成的招标人的所有损失。以上违约金在最近一次支付合同款时扣除。</w:t>
      </w:r>
    </w:p>
    <w:p w14:paraId="03AF81B6">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（3）中标人接受招标人对供货期调整的要求，具体方式为：招标人提前十五天发出有招标人代表签发的书面通知，中标人进行书面确认后即可执行，对此招标人不承担违约责任。</w:t>
      </w:r>
    </w:p>
    <w:p w14:paraId="29D0CE9F">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4）如果中标人对本合同的执行敷衍了事，或忽视履行本合同约定的中标人任何工作及责任，而且从招标人发出书面要求其改正之日起30日内仍未采取有效措施并体现效果的，招标人有权解除本合同，并书面通知中标人，由此造成的经济损失，招标人有权在给中标人的任何款项中先行提取补偿，不足部分中标人仍应予以赔偿。</w:t>
      </w:r>
    </w:p>
    <w:p w14:paraId="0124E383">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（5）因中标人原因解除本合同时，中标人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需承担</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合同价款20%的违约金，且招标人有权决定是否接受属于中标人在现场的一切设施、设备、材料使用于本工程，并中标人应承担由此造成的招标人的全部损失。以上违约金在最近一次支付合同款时扣除。</w:t>
      </w:r>
    </w:p>
    <w:p w14:paraId="216344C4">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（6）中标人一旦中标，不得分包，否则招标人有权解除本合同、没收全部的履约保证金。中标人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需承担</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合同价款总额的20%的违约金，并赔偿由此造成的招标人的全部损失。以上违约金在最近一次支付合同款时扣除。</w:t>
      </w:r>
    </w:p>
    <w:p w14:paraId="3DC88A99">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（7）因中标人原因延误工期给招标人造成损失的（包括但不限于直接损失与间接损失）均由中标人承担相应责任及费用，招标人有权从中标人工程款中扣除相应费用，不足部分招标人有权追偿。</w:t>
      </w:r>
    </w:p>
    <w:p w14:paraId="3F294DEF">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8）因中标人原因造成本项目工程单项或整体验收不合格或验收标准的，招标人有权没收中标人交纳的履约保证金，同时由此产生的一切责任与费用均由中标人承担，招标人有权在中标人工程款中扣除相应费用，不足部分招标人有权追偿。</w:t>
      </w:r>
      <w:bookmarkStart w:id="50" w:name="_Toc18664"/>
    </w:p>
    <w:p w14:paraId="107EA115">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15.其他</w:t>
      </w:r>
      <w:bookmarkEnd w:id="50"/>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约定</w:t>
      </w:r>
    </w:p>
    <w:p w14:paraId="785F549E">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（1）中标人提出使用其他专利技术或特殊工艺，应取得招标人、代建单位、全咨单位认可，中标人负责办理许可手续并承担有关费用。</w:t>
      </w:r>
    </w:p>
    <w:p w14:paraId="23612B2E">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（2）中标人擅自使用专利技术等侵犯他人专利权</w:t>
      </w:r>
      <w:r>
        <w:rPr>
          <w:rFonts w:hint="eastAsia" w:ascii="宋体" w:hAnsi="宋体" w:eastAsia="宋体" w:cs="宋体"/>
          <w:color w:val="000000" w:themeColor="text1"/>
          <w:sz w:val="24"/>
          <w:szCs w:val="24"/>
          <w:highlight w:val="none"/>
          <w:lang w:val="en-US" w:eastAsia="zh-CN"/>
          <w14:textFill>
            <w14:solidFill>
              <w14:schemeClr w14:val="tx1"/>
            </w14:solidFill>
          </w14:textFill>
        </w:rPr>
        <w:t>及知识产权</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的因此产生的侵权纠纷，由中标人自行承担，每发生一次，中标人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需承担</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50000 元的违约金，如造成招标人损失的，招标人有权全额向中标人追索且招标人有权视情形解除本合同。以上违约金在最近一次支付合同款时扣除。</w:t>
      </w:r>
    </w:p>
    <w:p w14:paraId="53C3EB41">
      <w:pPr>
        <w:keepNext w:val="0"/>
        <w:keepLines w:val="0"/>
        <w:pageBreakBefore w:val="0"/>
        <w:widowControl/>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需服从总包管理，配合总包完成工程整体竣工验收。</w:t>
      </w:r>
    </w:p>
    <w:p w14:paraId="3DB89D7D">
      <w:pPr>
        <w:widowControl/>
        <w:autoSpaceDE/>
        <w:autoSpaceDN/>
        <w:adjustRightInd/>
        <w:snapToGrid w:val="0"/>
        <w:spacing w:line="30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项目实施期间，要求项目负责人月到位率低于80％，否则承包人按2000元/天向招标人支付脱岗违约金（招标人及招标人上级主管部门在抽查中发现项目负责人未到岗并无请假手续的，也视为脱岗）。</w:t>
      </w:r>
    </w:p>
    <w:p w14:paraId="2306AD65">
      <w:pPr>
        <w:keepNext w:val="0"/>
        <w:keepLines w:val="0"/>
        <w:pageBreakBefore w:val="0"/>
        <w:widowControl w:val="0"/>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000000" w:themeColor="text1"/>
          <w:spacing w:val="0"/>
          <w:sz w:val="24"/>
          <w:szCs w:val="24"/>
          <w:highlight w:val="none"/>
          <w:lang w:eastAsia="zh-CN"/>
          <w14:textFill>
            <w14:solidFill>
              <w14:schemeClr w14:val="tx1"/>
            </w14:solidFill>
          </w14:textFill>
        </w:rPr>
      </w:pPr>
      <w:bookmarkStart w:id="51" w:name="_Toc15583"/>
      <w:bookmarkStart w:id="52" w:name="_Toc16021"/>
      <w:bookmarkStart w:id="53" w:name="_Toc28375"/>
      <w:bookmarkStart w:id="54" w:name="_Toc19951"/>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16.</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合同争议的解决</w:t>
      </w:r>
      <w:bookmarkEnd w:id="51"/>
      <w:bookmarkEnd w:id="52"/>
      <w:bookmarkEnd w:id="53"/>
      <w:bookmarkEnd w:id="54"/>
    </w:p>
    <w:p w14:paraId="5F37BC1D">
      <w:pPr>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本合同履行过程中发生的任何争议，双方当事人均可通过和解或者调解解决；不愿和解、调解或者和解、调解不成的，将争议提交</w:t>
      </w:r>
      <w:r>
        <w:rPr>
          <w:rFonts w:hint="eastAsia" w:ascii="宋体" w:hAnsi="宋体" w:eastAsia="宋体" w:cs="宋体"/>
          <w:color w:val="000000" w:themeColor="text1"/>
          <w:sz w:val="24"/>
          <w:szCs w:val="24"/>
          <w:highlight w:val="none"/>
          <w:lang w:eastAsia="zh-CN" w:bidi="ar"/>
          <w14:textFill>
            <w14:solidFill>
              <w14:schemeClr w14:val="tx1"/>
            </w14:solidFill>
          </w14:textFill>
        </w:rPr>
        <w:t>绍兴市越城区</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人民法院</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起诉解决</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6B03F008">
      <w:pPr>
        <w:jc w:val="both"/>
        <w:rPr>
          <w:rFonts w:hint="eastAsia" w:ascii="宋体" w:hAnsi="宋体" w:eastAsia="宋体" w:cs="宋体"/>
          <w:color w:val="auto"/>
          <w:highlight w:val="none"/>
        </w:rPr>
      </w:pPr>
    </w:p>
    <w:p w14:paraId="57028E8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B7E4E18">
      <w:pPr>
        <w:jc w:val="both"/>
        <w:rPr>
          <w:rFonts w:hint="eastAsia" w:ascii="宋体" w:hAnsi="宋体" w:eastAsia="宋体" w:cs="宋体"/>
          <w:color w:val="auto"/>
          <w:highlight w:val="none"/>
        </w:rPr>
      </w:pPr>
    </w:p>
    <w:p w14:paraId="024299CD">
      <w:pPr>
        <w:spacing w:before="63" w:line="225" w:lineRule="auto"/>
        <w:ind w:left="2253"/>
        <w:jc w:val="both"/>
        <w:rPr>
          <w:rFonts w:hint="eastAsia" w:ascii="宋体" w:hAnsi="宋体" w:eastAsia="宋体" w:cs="宋体"/>
          <w:color w:val="auto"/>
          <w:sz w:val="31"/>
          <w:szCs w:val="31"/>
          <w:highlight w:val="none"/>
        </w:rPr>
      </w:pPr>
      <w:bookmarkStart w:id="55" w:name="_bookmark13"/>
      <w:bookmarkEnd w:id="55"/>
      <w:r>
        <w:rPr>
          <w:rFonts w:hint="eastAsia" w:ascii="宋体" w:hAnsi="宋体" w:eastAsia="宋体" w:cs="宋体"/>
          <w:color w:val="auto"/>
          <w:sz w:val="32"/>
          <w:szCs w:val="32"/>
          <w:highlight w:val="none"/>
        </w:rPr>
        <w:t>第五章 招标内容和技术要求</w:t>
      </w:r>
    </w:p>
    <w:p w14:paraId="7DAAF69A">
      <w:pPr>
        <w:pStyle w:val="13"/>
        <w:rPr>
          <w:rFonts w:hint="eastAsia" w:ascii="宋体" w:hAnsi="宋体" w:eastAsia="宋体" w:cs="宋体"/>
          <w:color w:val="auto"/>
          <w:highlight w:val="none"/>
        </w:rPr>
      </w:pPr>
    </w:p>
    <w:p w14:paraId="6C4E3446">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482" w:firstLineChars="200"/>
        <w:jc w:val="center"/>
        <w:textAlignment w:val="auto"/>
        <w:rPr>
          <w:rFonts w:hint="eastAsia" w:ascii="宋体" w:hAnsi="宋体" w:eastAsia="宋体" w:cs="宋体"/>
          <w:b/>
          <w:bCs/>
          <w:i w:val="0"/>
          <w:iCs w:val="0"/>
          <w:color w:val="auto"/>
          <w:spacing w:val="0"/>
          <w:sz w:val="24"/>
          <w:szCs w:val="24"/>
          <w:highlight w:val="none"/>
          <w:lang w:val="en-US" w:eastAsia="zh-CN"/>
        </w:rPr>
      </w:pPr>
      <w:bookmarkStart w:id="56" w:name="_bookmark14"/>
      <w:bookmarkEnd w:id="56"/>
      <w:r>
        <w:rPr>
          <w:rFonts w:hint="eastAsia" w:ascii="宋体" w:hAnsi="宋体" w:eastAsia="宋体" w:cs="宋体"/>
          <w:b/>
          <w:bCs/>
          <w:i w:val="0"/>
          <w:iCs w:val="0"/>
          <w:color w:val="auto"/>
          <w:spacing w:val="0"/>
          <w:sz w:val="24"/>
          <w:szCs w:val="24"/>
          <w:highlight w:val="none"/>
          <w:lang w:val="en-US" w:eastAsia="zh-CN"/>
        </w:rPr>
        <w:t>（一）净化系统</w:t>
      </w:r>
    </w:p>
    <w:p w14:paraId="47C3C63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rPr>
      </w:pPr>
      <w:bookmarkStart w:id="57" w:name="_Toc301809061"/>
      <w:bookmarkStart w:id="58" w:name="_Toc282266130"/>
      <w:bookmarkStart w:id="59" w:name="_Toc282180544"/>
      <w:bookmarkStart w:id="60" w:name="_Toc282266131"/>
      <w:bookmarkStart w:id="61" w:name="_Toc282180545"/>
      <w:bookmarkStart w:id="62" w:name="_Toc385114021"/>
      <w:bookmarkStart w:id="63" w:name="_Toc385114457"/>
      <w:bookmarkStart w:id="64" w:name="_Toc385167589"/>
      <w:bookmarkStart w:id="65" w:name="_Toc301809062"/>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项目概况</w:t>
      </w:r>
      <w:bookmarkEnd w:id="57"/>
      <w:bookmarkEnd w:id="58"/>
      <w:bookmarkEnd w:id="59"/>
    </w:p>
    <w:p w14:paraId="3F23FCA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eastAsia="zh-CN"/>
        </w:rPr>
      </w:pPr>
      <w:r>
        <w:rPr>
          <w:rFonts w:hint="eastAsia" w:ascii="宋体" w:hAnsi="宋体" w:eastAsia="宋体" w:cs="宋体"/>
          <w:b w:val="0"/>
          <w:color w:val="auto"/>
          <w:spacing w:val="0"/>
          <w:kern w:val="2"/>
          <w:sz w:val="24"/>
          <w:szCs w:val="24"/>
          <w:highlight w:val="none"/>
          <w:lang w:val="zh-CN" w:eastAsia="zh-CN"/>
        </w:rPr>
        <w:t>项目</w:t>
      </w:r>
      <w:r>
        <w:rPr>
          <w:rFonts w:hint="eastAsia" w:ascii="宋体" w:hAnsi="宋体" w:eastAsia="宋体" w:cs="宋体"/>
          <w:b w:val="0"/>
          <w:color w:val="auto"/>
          <w:spacing w:val="0"/>
          <w:kern w:val="2"/>
          <w:sz w:val="24"/>
          <w:szCs w:val="24"/>
          <w:highlight w:val="none"/>
          <w:lang w:val="zh-CN" w:eastAsia="zh"/>
        </w:rPr>
        <w:t>设计区域包含：</w:t>
      </w:r>
      <w:r>
        <w:rPr>
          <w:rFonts w:hint="eastAsia" w:ascii="宋体" w:hAnsi="宋体" w:eastAsia="宋体" w:cs="宋体"/>
          <w:b w:val="0"/>
          <w:color w:val="auto"/>
          <w:spacing w:val="0"/>
          <w:kern w:val="2"/>
          <w:sz w:val="24"/>
          <w:szCs w:val="24"/>
          <w:highlight w:val="none"/>
          <w:lang w:val="zh-CN" w:eastAsia="zh-CN"/>
        </w:rPr>
        <w:t>二层</w:t>
      </w:r>
      <w:r>
        <w:rPr>
          <w:rFonts w:hint="eastAsia" w:ascii="宋体" w:hAnsi="宋体" w:eastAsia="宋体" w:cs="宋体"/>
          <w:b w:val="0"/>
          <w:color w:val="auto"/>
          <w:spacing w:val="0"/>
          <w:kern w:val="2"/>
          <w:sz w:val="24"/>
          <w:szCs w:val="24"/>
          <w:highlight w:val="none"/>
          <w:lang w:val="en-US" w:eastAsia="zh-CN"/>
        </w:rPr>
        <w:t>中心</w:t>
      </w:r>
      <w:r>
        <w:rPr>
          <w:rFonts w:hint="eastAsia" w:ascii="宋体" w:hAnsi="宋体" w:eastAsia="宋体" w:cs="宋体"/>
          <w:b w:val="0"/>
          <w:color w:val="auto"/>
          <w:spacing w:val="0"/>
          <w:kern w:val="2"/>
          <w:sz w:val="24"/>
          <w:szCs w:val="24"/>
          <w:highlight w:val="none"/>
          <w:lang w:val="zh-CN" w:eastAsia="zh-CN"/>
        </w:rPr>
        <w:t>供应室、三层手术部、四层静脉药物配置中心</w:t>
      </w:r>
      <w:r>
        <w:rPr>
          <w:rFonts w:hint="eastAsia" w:ascii="宋体" w:hAnsi="宋体" w:eastAsia="宋体" w:cs="宋体"/>
          <w:b w:val="0"/>
          <w:color w:val="auto"/>
          <w:spacing w:val="0"/>
          <w:kern w:val="2"/>
          <w:sz w:val="24"/>
          <w:szCs w:val="24"/>
          <w:highlight w:val="none"/>
          <w:lang w:val="en-US" w:eastAsia="zh-CN"/>
        </w:rPr>
        <w:t>三</w:t>
      </w:r>
      <w:r>
        <w:rPr>
          <w:rFonts w:hint="eastAsia" w:ascii="宋体" w:hAnsi="宋体" w:eastAsia="宋体" w:cs="宋体"/>
          <w:b w:val="0"/>
          <w:color w:val="auto"/>
          <w:spacing w:val="0"/>
          <w:kern w:val="2"/>
          <w:sz w:val="24"/>
          <w:szCs w:val="24"/>
          <w:highlight w:val="none"/>
          <w:lang w:val="zh-CN" w:eastAsia="zh"/>
        </w:rPr>
        <w:t>个区域：</w:t>
      </w:r>
    </w:p>
    <w:p w14:paraId="30A2077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（1）二层中心供应室</w:t>
      </w:r>
      <w:r>
        <w:rPr>
          <w:rFonts w:hint="eastAsia" w:ascii="宋体" w:hAnsi="宋体" w:eastAsia="宋体" w:cs="宋体"/>
          <w:b w:val="0"/>
          <w:color w:val="auto"/>
          <w:spacing w:val="0"/>
          <w:kern w:val="2"/>
          <w:sz w:val="24"/>
          <w:szCs w:val="24"/>
          <w:highlight w:val="none"/>
          <w:lang w:val="zh-CN" w:eastAsia="zh"/>
        </w:rPr>
        <w:t>：区域面积</w:t>
      </w:r>
      <w:r>
        <w:rPr>
          <w:rFonts w:hint="eastAsia" w:ascii="宋体" w:hAnsi="宋体" w:eastAsia="宋体" w:cs="宋体"/>
          <w:b w:val="0"/>
          <w:color w:val="auto"/>
          <w:spacing w:val="0"/>
          <w:kern w:val="2"/>
          <w:sz w:val="24"/>
          <w:szCs w:val="24"/>
          <w:highlight w:val="none"/>
          <w:lang w:val="zh-CN" w:eastAsia="zh-CN"/>
        </w:rPr>
        <w:t>约</w:t>
      </w:r>
      <w:r>
        <w:rPr>
          <w:rFonts w:hint="eastAsia" w:ascii="宋体" w:hAnsi="宋体" w:eastAsia="宋体" w:cs="宋体"/>
          <w:b w:val="0"/>
          <w:color w:val="auto"/>
          <w:spacing w:val="0"/>
          <w:kern w:val="2"/>
          <w:sz w:val="24"/>
          <w:szCs w:val="24"/>
          <w:highlight w:val="none"/>
          <w:lang w:val="en-US" w:eastAsia="zh-CN"/>
        </w:rPr>
        <w:t>845</w:t>
      </w:r>
      <w:r>
        <w:rPr>
          <w:rFonts w:hint="eastAsia" w:ascii="宋体" w:hAnsi="宋体" w:eastAsia="宋体" w:cs="宋体"/>
          <w:b w:val="0"/>
          <w:color w:val="auto"/>
          <w:spacing w:val="0"/>
          <w:kern w:val="2"/>
          <w:sz w:val="24"/>
          <w:szCs w:val="24"/>
          <w:highlight w:val="none"/>
          <w:shd w:val="clear"/>
          <w:lang w:val="en-US" w:eastAsia="zh-CN"/>
        </w:rPr>
        <w:t>㎡</w:t>
      </w:r>
      <w:r>
        <w:rPr>
          <w:rFonts w:hint="eastAsia" w:ascii="宋体" w:hAnsi="宋体" w:eastAsia="宋体" w:cs="宋体"/>
          <w:b w:val="0"/>
          <w:color w:val="auto"/>
          <w:spacing w:val="0"/>
          <w:kern w:val="2"/>
          <w:sz w:val="24"/>
          <w:szCs w:val="24"/>
          <w:highlight w:val="none"/>
          <w:lang w:val="zh-CN" w:eastAsia="zh-CN"/>
        </w:rPr>
        <w:t>，包含</w:t>
      </w:r>
      <w:r>
        <w:rPr>
          <w:rFonts w:hint="eastAsia" w:ascii="宋体" w:hAnsi="宋体" w:eastAsia="宋体" w:cs="宋体"/>
          <w:b w:val="0"/>
          <w:color w:val="auto"/>
          <w:spacing w:val="0"/>
          <w:kern w:val="2"/>
          <w:sz w:val="24"/>
          <w:szCs w:val="24"/>
          <w:highlight w:val="none"/>
          <w:lang w:val="en-US" w:eastAsia="zh-CN"/>
        </w:rPr>
        <w:t>去污区，检查包装灭菌区，无菌存放区，</w:t>
      </w:r>
      <w:r>
        <w:rPr>
          <w:rFonts w:hint="eastAsia" w:ascii="宋体" w:hAnsi="宋体" w:eastAsia="宋体" w:cs="宋体"/>
          <w:b w:val="0"/>
          <w:color w:val="auto"/>
          <w:spacing w:val="0"/>
          <w:kern w:val="2"/>
          <w:sz w:val="24"/>
          <w:szCs w:val="24"/>
          <w:highlight w:val="none"/>
          <w:lang w:val="zh-CN" w:eastAsia="zh"/>
        </w:rPr>
        <w:t>及其它配套功能辅助用房</w:t>
      </w:r>
      <w:r>
        <w:rPr>
          <w:rFonts w:hint="eastAsia" w:ascii="宋体" w:hAnsi="宋体" w:eastAsia="宋体" w:cs="宋体"/>
          <w:b w:val="0"/>
          <w:color w:val="auto"/>
          <w:spacing w:val="0"/>
          <w:kern w:val="2"/>
          <w:sz w:val="24"/>
          <w:szCs w:val="24"/>
          <w:highlight w:val="none"/>
          <w:lang w:val="zh-CN" w:eastAsia="zh-CN"/>
        </w:rPr>
        <w:t>。</w:t>
      </w:r>
    </w:p>
    <w:p w14:paraId="4A69269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eastAsia="zh"/>
        </w:rPr>
      </w:pPr>
      <w:r>
        <w:rPr>
          <w:rFonts w:hint="eastAsia" w:ascii="宋体" w:hAnsi="宋体" w:eastAsia="宋体" w:cs="宋体"/>
          <w:b w:val="0"/>
          <w:color w:val="auto"/>
          <w:spacing w:val="0"/>
          <w:kern w:val="2"/>
          <w:sz w:val="24"/>
          <w:szCs w:val="24"/>
          <w:highlight w:val="none"/>
          <w:lang w:val="en-US" w:eastAsia="zh-CN"/>
        </w:rPr>
        <w:t>（2）三层手术室</w:t>
      </w:r>
      <w:r>
        <w:rPr>
          <w:rFonts w:hint="eastAsia" w:ascii="宋体" w:hAnsi="宋体" w:eastAsia="宋体" w:cs="宋体"/>
          <w:b w:val="0"/>
          <w:color w:val="auto"/>
          <w:spacing w:val="0"/>
          <w:kern w:val="2"/>
          <w:sz w:val="24"/>
          <w:szCs w:val="24"/>
          <w:highlight w:val="none"/>
          <w:lang w:val="zh-CN" w:eastAsia="zh"/>
        </w:rPr>
        <w:t>：区域面积</w:t>
      </w:r>
      <w:r>
        <w:rPr>
          <w:rFonts w:hint="eastAsia" w:ascii="宋体" w:hAnsi="宋体" w:eastAsia="宋体" w:cs="宋体"/>
          <w:b w:val="0"/>
          <w:color w:val="auto"/>
          <w:spacing w:val="0"/>
          <w:kern w:val="2"/>
          <w:sz w:val="24"/>
          <w:szCs w:val="24"/>
          <w:highlight w:val="none"/>
          <w:lang w:val="zh-CN"/>
        </w:rPr>
        <w:t>约</w:t>
      </w:r>
      <w:r>
        <w:rPr>
          <w:rFonts w:hint="eastAsia" w:ascii="宋体" w:hAnsi="宋体" w:eastAsia="宋体" w:cs="宋体"/>
          <w:b w:val="0"/>
          <w:color w:val="auto"/>
          <w:spacing w:val="0"/>
          <w:kern w:val="2"/>
          <w:sz w:val="24"/>
          <w:szCs w:val="24"/>
          <w:highlight w:val="none"/>
          <w:lang w:val="en-US" w:eastAsia="zh-CN"/>
        </w:rPr>
        <w:t>590</w:t>
      </w:r>
      <w:r>
        <w:rPr>
          <w:rFonts w:hint="eastAsia" w:ascii="宋体" w:hAnsi="宋体" w:eastAsia="宋体" w:cs="宋体"/>
          <w:b w:val="0"/>
          <w:color w:val="auto"/>
          <w:spacing w:val="0"/>
          <w:kern w:val="2"/>
          <w:sz w:val="24"/>
          <w:szCs w:val="24"/>
          <w:highlight w:val="none"/>
          <w:shd w:val="clear"/>
          <w:lang w:val="en-US" w:eastAsia="zh-CN"/>
        </w:rPr>
        <w:t>㎡</w:t>
      </w:r>
      <w:r>
        <w:rPr>
          <w:rFonts w:hint="eastAsia" w:ascii="宋体" w:hAnsi="宋体" w:eastAsia="宋体" w:cs="宋体"/>
          <w:b w:val="0"/>
          <w:color w:val="auto"/>
          <w:spacing w:val="0"/>
          <w:kern w:val="2"/>
          <w:sz w:val="24"/>
          <w:szCs w:val="24"/>
          <w:highlight w:val="none"/>
          <w:lang w:val="zh-CN" w:eastAsia="zh"/>
        </w:rPr>
        <w:t>，共设手术室</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间（</w:t>
      </w:r>
      <w:r>
        <w:rPr>
          <w:rFonts w:hint="eastAsia" w:ascii="宋体" w:hAnsi="宋体" w:eastAsia="宋体" w:cs="宋体"/>
          <w:b w:val="0"/>
          <w:color w:val="auto"/>
          <w:spacing w:val="0"/>
          <w:kern w:val="2"/>
          <w:sz w:val="24"/>
          <w:szCs w:val="24"/>
          <w:highlight w:val="none"/>
          <w:lang w:val="en-US" w:eastAsia="zh-CN"/>
        </w:rPr>
        <w:t>百级防辐射手术室1间，千级手术室1间）</w:t>
      </w:r>
      <w:r>
        <w:rPr>
          <w:rFonts w:hint="eastAsia" w:ascii="宋体" w:hAnsi="宋体" w:eastAsia="宋体" w:cs="宋体"/>
          <w:b w:val="0"/>
          <w:color w:val="auto"/>
          <w:spacing w:val="0"/>
          <w:kern w:val="2"/>
          <w:sz w:val="24"/>
          <w:szCs w:val="24"/>
          <w:highlight w:val="none"/>
          <w:lang w:val="zh-CN" w:eastAsia="zh"/>
        </w:rPr>
        <w:t>及其它配套功能辅助用房。</w:t>
      </w:r>
    </w:p>
    <w:p w14:paraId="2DEA314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（3）四层静配中心</w:t>
      </w:r>
      <w:r>
        <w:rPr>
          <w:rFonts w:hint="eastAsia" w:ascii="宋体" w:hAnsi="宋体" w:eastAsia="宋体" w:cs="宋体"/>
          <w:b w:val="0"/>
          <w:color w:val="auto"/>
          <w:spacing w:val="0"/>
          <w:kern w:val="2"/>
          <w:sz w:val="24"/>
          <w:szCs w:val="24"/>
          <w:highlight w:val="none"/>
          <w:lang w:val="zh-CN" w:eastAsia="zh"/>
        </w:rPr>
        <w:t>：区域面积</w:t>
      </w:r>
      <w:r>
        <w:rPr>
          <w:rFonts w:hint="eastAsia" w:ascii="宋体" w:hAnsi="宋体" w:eastAsia="宋体" w:cs="宋体"/>
          <w:b w:val="0"/>
          <w:color w:val="auto"/>
          <w:spacing w:val="0"/>
          <w:kern w:val="2"/>
          <w:sz w:val="24"/>
          <w:szCs w:val="24"/>
          <w:highlight w:val="none"/>
          <w:lang w:val="zh-CN" w:eastAsia="zh-CN"/>
        </w:rPr>
        <w:t>约</w:t>
      </w:r>
      <w:r>
        <w:rPr>
          <w:rFonts w:hint="eastAsia" w:ascii="宋体" w:hAnsi="宋体" w:eastAsia="宋体" w:cs="宋体"/>
          <w:b w:val="0"/>
          <w:color w:val="auto"/>
          <w:spacing w:val="0"/>
          <w:kern w:val="2"/>
          <w:sz w:val="24"/>
          <w:szCs w:val="24"/>
          <w:highlight w:val="none"/>
          <w:lang w:val="en-US" w:eastAsia="zh-CN"/>
        </w:rPr>
        <w:t>538</w:t>
      </w:r>
      <w:r>
        <w:rPr>
          <w:rFonts w:hint="eastAsia" w:ascii="宋体" w:hAnsi="宋体" w:eastAsia="宋体" w:cs="宋体"/>
          <w:b w:val="0"/>
          <w:color w:val="auto"/>
          <w:spacing w:val="0"/>
          <w:kern w:val="2"/>
          <w:sz w:val="24"/>
          <w:szCs w:val="24"/>
          <w:highlight w:val="none"/>
          <w:shd w:val="clear"/>
          <w:lang w:val="en-US" w:eastAsia="zh-CN"/>
        </w:rPr>
        <w:t>㎡</w:t>
      </w:r>
      <w:r>
        <w:rPr>
          <w:rFonts w:hint="eastAsia" w:ascii="宋体" w:hAnsi="宋体" w:eastAsia="宋体" w:cs="宋体"/>
          <w:b w:val="0"/>
          <w:color w:val="auto"/>
          <w:spacing w:val="0"/>
          <w:kern w:val="2"/>
          <w:sz w:val="24"/>
          <w:szCs w:val="24"/>
          <w:highlight w:val="none"/>
          <w:shd w:val="clear"/>
          <w:lang w:val="zh-CN" w:eastAsia="zh-CN"/>
        </w:rPr>
        <w:t>，</w:t>
      </w:r>
      <w:r>
        <w:rPr>
          <w:rFonts w:hint="eastAsia" w:ascii="宋体" w:hAnsi="宋体" w:eastAsia="宋体" w:cs="宋体"/>
          <w:b w:val="0"/>
          <w:color w:val="auto"/>
          <w:spacing w:val="0"/>
          <w:kern w:val="2"/>
          <w:sz w:val="24"/>
          <w:szCs w:val="24"/>
          <w:highlight w:val="none"/>
          <w:lang w:val="zh-CN" w:eastAsia="zh"/>
        </w:rPr>
        <w:t>共设</w:t>
      </w:r>
      <w:r>
        <w:rPr>
          <w:rFonts w:hint="eastAsia" w:ascii="宋体" w:hAnsi="宋体" w:eastAsia="宋体" w:cs="宋体"/>
          <w:b w:val="0"/>
          <w:color w:val="auto"/>
          <w:spacing w:val="0"/>
          <w:kern w:val="2"/>
          <w:sz w:val="24"/>
          <w:szCs w:val="24"/>
          <w:highlight w:val="none"/>
          <w:lang w:val="en-US" w:eastAsia="zh-CN"/>
        </w:rPr>
        <w:t>普通药物配置，抗生素药物配置，肿瘤药物配置间</w:t>
      </w:r>
      <w:r>
        <w:rPr>
          <w:rFonts w:hint="eastAsia" w:ascii="宋体" w:hAnsi="宋体" w:eastAsia="宋体" w:cs="宋体"/>
          <w:b w:val="0"/>
          <w:color w:val="auto"/>
          <w:spacing w:val="0"/>
          <w:kern w:val="2"/>
          <w:sz w:val="24"/>
          <w:szCs w:val="24"/>
          <w:highlight w:val="none"/>
          <w:lang w:val="zh-CN" w:eastAsia="zh"/>
        </w:rPr>
        <w:t>，及其它配套功能辅助用房。</w:t>
      </w:r>
    </w:p>
    <w:bookmarkEnd w:id="60"/>
    <w:bookmarkEnd w:id="61"/>
    <w:bookmarkEnd w:id="62"/>
    <w:bookmarkEnd w:id="63"/>
    <w:bookmarkEnd w:id="64"/>
    <w:bookmarkEnd w:id="65"/>
    <w:p w14:paraId="594A28F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lang w:eastAsia="zh-CN"/>
        </w:rPr>
        <w:t>2、</w:t>
      </w:r>
      <w:r>
        <w:rPr>
          <w:rFonts w:hint="eastAsia" w:ascii="宋体" w:hAnsi="宋体" w:eastAsia="宋体" w:cs="宋体"/>
          <w:color w:val="auto"/>
          <w:sz w:val="24"/>
          <w:szCs w:val="24"/>
          <w:highlight w:val="none"/>
        </w:rPr>
        <w:t>施工界面</w:t>
      </w:r>
    </w:p>
    <w:p w14:paraId="627AD12D">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2.1</w:t>
      </w:r>
      <w:r>
        <w:rPr>
          <w:rFonts w:hint="eastAsia" w:ascii="宋体" w:hAnsi="宋体" w:eastAsia="宋体" w:cs="宋体"/>
          <w:color w:val="auto"/>
          <w:spacing w:val="0"/>
          <w:sz w:val="24"/>
          <w:szCs w:val="24"/>
          <w:highlight w:val="none"/>
          <w:lang w:val="zh-CN"/>
        </w:rPr>
        <w:t>图纸中设计范围线内的装饰装修、暖通、电气（强电、弱电）、医用气体、给排水专业。</w:t>
      </w:r>
    </w:p>
    <w:p w14:paraId="30F11DFE">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2.2</w:t>
      </w:r>
      <w:r>
        <w:rPr>
          <w:rFonts w:hint="eastAsia" w:ascii="宋体" w:hAnsi="宋体" w:eastAsia="宋体" w:cs="宋体"/>
          <w:color w:val="auto"/>
          <w:spacing w:val="0"/>
          <w:sz w:val="24"/>
          <w:szCs w:val="24"/>
          <w:highlight w:val="none"/>
          <w:lang w:val="zh-CN"/>
        </w:rPr>
        <w:t>建筑装饰专业具体内容如下：</w:t>
      </w:r>
    </w:p>
    <w:p w14:paraId="6EEB307D">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val="zh-CN"/>
        </w:rPr>
        <w:t>以设计范围线为界，范围线内的墙（</w:t>
      </w:r>
      <w:r>
        <w:rPr>
          <w:rFonts w:hint="eastAsia" w:ascii="宋体" w:hAnsi="宋体" w:eastAsia="宋体" w:cs="宋体"/>
          <w:color w:val="auto"/>
          <w:spacing w:val="0"/>
          <w:sz w:val="24"/>
          <w:szCs w:val="24"/>
          <w:highlight w:val="none"/>
          <w:lang w:val="en-US" w:eastAsia="zh-CN"/>
        </w:rPr>
        <w:t>包括轻质隔断墙，不包括砖砌墙</w:t>
      </w:r>
      <w:r>
        <w:rPr>
          <w:rFonts w:hint="eastAsia" w:ascii="宋体" w:hAnsi="宋体" w:eastAsia="宋体" w:cs="宋体"/>
          <w:color w:val="auto"/>
          <w:spacing w:val="0"/>
          <w:sz w:val="24"/>
          <w:szCs w:val="24"/>
          <w:highlight w:val="none"/>
          <w:lang w:val="zh-CN"/>
        </w:rPr>
        <w:t>）、顶、地面及门窗装饰装修工程在</w:t>
      </w:r>
      <w:r>
        <w:rPr>
          <w:rFonts w:hint="eastAsia" w:ascii="宋体" w:hAnsi="宋体" w:eastAsia="宋体" w:cs="宋体"/>
          <w:color w:val="auto"/>
          <w:spacing w:val="0"/>
          <w:sz w:val="24"/>
          <w:szCs w:val="24"/>
          <w:highlight w:val="none"/>
          <w:lang w:val="en-US" w:eastAsia="zh-CN"/>
        </w:rPr>
        <w:t>本次招标</w:t>
      </w:r>
      <w:r>
        <w:rPr>
          <w:rFonts w:hint="eastAsia" w:ascii="宋体" w:hAnsi="宋体" w:eastAsia="宋体" w:cs="宋体"/>
          <w:color w:val="auto"/>
          <w:spacing w:val="0"/>
          <w:sz w:val="24"/>
          <w:szCs w:val="24"/>
          <w:highlight w:val="none"/>
          <w:lang w:val="zh-CN"/>
        </w:rPr>
        <w:t>范围内。</w:t>
      </w:r>
    </w:p>
    <w:p w14:paraId="1E9D0A4B">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val="zh-CN"/>
        </w:rPr>
        <w:t>设计范围线界面上所在的临界墙为分界线，各自完成各自区域一侧的墙面（含墙面挂件）装饰施工，包括各自一侧的门、窗收口，界面处隔墙上专项气密门统一在专项设计范围，门板颜色需与大楼装修单位保持外观风格一致。</w:t>
      </w:r>
    </w:p>
    <w:p w14:paraId="1C5E1B07">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val="zh-CN"/>
        </w:rPr>
        <w:t>其他部分：窗帘盒、窗台板、卫浴隔断板、输液导轨、防撞带等。</w:t>
      </w:r>
    </w:p>
    <w:p w14:paraId="047E9F19">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2.3</w:t>
      </w:r>
      <w:r>
        <w:rPr>
          <w:rFonts w:hint="eastAsia" w:ascii="宋体" w:hAnsi="宋体" w:eastAsia="宋体" w:cs="宋体"/>
          <w:color w:val="auto"/>
          <w:spacing w:val="0"/>
          <w:sz w:val="24"/>
          <w:szCs w:val="24"/>
          <w:highlight w:val="none"/>
          <w:lang w:val="zh-CN"/>
        </w:rPr>
        <w:t>基本装备：吊塔/吊桥锚栓、无影灯锚栓、手术室器具（详手术室设备一览表）均在</w:t>
      </w:r>
      <w:r>
        <w:rPr>
          <w:rFonts w:hint="eastAsia" w:ascii="宋体" w:hAnsi="宋体" w:eastAsia="宋体" w:cs="宋体"/>
          <w:color w:val="auto"/>
          <w:spacing w:val="0"/>
          <w:sz w:val="24"/>
          <w:szCs w:val="24"/>
          <w:highlight w:val="none"/>
          <w:lang w:val="en-US" w:eastAsia="zh-CN"/>
        </w:rPr>
        <w:t>本次招标</w:t>
      </w:r>
      <w:r>
        <w:rPr>
          <w:rFonts w:hint="eastAsia" w:ascii="宋体" w:hAnsi="宋体" w:eastAsia="宋体" w:cs="宋体"/>
          <w:color w:val="auto"/>
          <w:spacing w:val="0"/>
          <w:sz w:val="24"/>
          <w:szCs w:val="24"/>
          <w:highlight w:val="none"/>
          <w:lang w:val="zh-CN"/>
        </w:rPr>
        <w:t>范围内。供应室内后期单独采购的设备隔断、收口等建议明确由本项目中标人负责。</w:t>
      </w:r>
    </w:p>
    <w:p w14:paraId="094E3216">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2.4</w:t>
      </w:r>
      <w:r>
        <w:rPr>
          <w:rFonts w:hint="eastAsia" w:ascii="宋体" w:hAnsi="宋体" w:eastAsia="宋体" w:cs="宋体"/>
          <w:color w:val="auto"/>
          <w:spacing w:val="0"/>
          <w:sz w:val="24"/>
          <w:szCs w:val="24"/>
          <w:highlight w:val="none"/>
          <w:lang w:val="zh-CN"/>
        </w:rPr>
        <w:t>防护屏蔽工程：DSA区域六面防护、铅防护门窗均在设计范围内。</w:t>
      </w:r>
      <w:r>
        <w:rPr>
          <w:rFonts w:hint="eastAsia" w:ascii="宋体" w:hAnsi="宋体" w:eastAsia="宋体" w:cs="宋体"/>
          <w:color w:val="auto"/>
          <w:spacing w:val="0"/>
          <w:sz w:val="24"/>
          <w:szCs w:val="24"/>
          <w:highlight w:val="none"/>
          <w:lang w:val="en-US" w:eastAsia="zh-CN"/>
        </w:rPr>
        <w:t>本次招标</w:t>
      </w:r>
      <w:r>
        <w:rPr>
          <w:rFonts w:hint="eastAsia" w:ascii="宋体" w:hAnsi="宋体" w:eastAsia="宋体" w:cs="宋体"/>
          <w:color w:val="auto"/>
          <w:spacing w:val="0"/>
          <w:sz w:val="24"/>
          <w:szCs w:val="24"/>
          <w:highlight w:val="none"/>
          <w:lang w:val="zh-CN"/>
        </w:rPr>
        <w:t xml:space="preserve">范围不包括下列部分： </w:t>
      </w:r>
    </w:p>
    <w:p w14:paraId="39F9BB99">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val="zh-CN"/>
        </w:rPr>
        <w:t>消防相关内容：消防喷淋管道、消防排烟、消防栓、消防报警、烟感、疏散指示、应急灯、</w:t>
      </w:r>
      <w:r>
        <w:rPr>
          <w:rFonts w:hint="eastAsia" w:ascii="宋体" w:hAnsi="宋体" w:eastAsia="宋体" w:cs="宋体"/>
          <w:color w:val="auto"/>
          <w:spacing w:val="0"/>
          <w:sz w:val="24"/>
          <w:szCs w:val="24"/>
          <w:highlight w:val="none"/>
          <w:shd w:val="clear"/>
          <w:lang w:val="zh-CN"/>
        </w:rPr>
        <w:t>挡烟</w:t>
      </w:r>
      <w:r>
        <w:rPr>
          <w:rFonts w:hint="eastAsia" w:ascii="宋体" w:hAnsi="宋体" w:eastAsia="宋体" w:cs="宋体"/>
          <w:color w:val="auto"/>
          <w:spacing w:val="0"/>
          <w:sz w:val="24"/>
          <w:szCs w:val="24"/>
          <w:highlight w:val="none"/>
          <w:lang w:val="zh-CN"/>
        </w:rPr>
        <w:t xml:space="preserve">垂壁、防火卷帘、防火门窗等； </w:t>
      </w:r>
    </w:p>
    <w:p w14:paraId="0CD0F6D9">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val="zh-CN"/>
        </w:rPr>
        <w:t>土建相关内容：设计范围内所有电梯、电梯厅、外围结构、楼梯间、前室、各种管井、外窗、设备基础、结构加固、楼板风管预留孔洞及封堵、土建墙体砌筑。</w:t>
      </w:r>
    </w:p>
    <w:p w14:paraId="5B48B634">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val="zh-CN"/>
        </w:rPr>
        <w:t>设备相关内容：</w:t>
      </w:r>
    </w:p>
    <w:p w14:paraId="36FCD23E">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医疗设备：手术室（无影灯、吊塔、手术床等）、静配中心（自动化设备、超净台、生物安全柜）、供应室（清洗设备、清洗机、灭菌器、蒸汽发生器等）；</w:t>
      </w:r>
    </w:p>
    <w:p w14:paraId="674DF0C1">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val="zh-CN"/>
        </w:rPr>
        <w:t>家具部分：</w:t>
      </w:r>
    </w:p>
    <w:p w14:paraId="12D31CD1">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办公家具部分：护士站、操作台、吊柜等医疗固定家具，办公桌椅、更衣柜、换鞋凳等移动家具等均不在</w:t>
      </w:r>
      <w:r>
        <w:rPr>
          <w:rFonts w:hint="eastAsia" w:ascii="宋体" w:hAnsi="宋体" w:eastAsia="宋体" w:cs="宋体"/>
          <w:color w:val="auto"/>
          <w:spacing w:val="0"/>
          <w:sz w:val="24"/>
          <w:szCs w:val="24"/>
          <w:highlight w:val="none"/>
          <w:lang w:val="en-US" w:eastAsia="zh-CN"/>
        </w:rPr>
        <w:t>本次招标</w:t>
      </w:r>
      <w:r>
        <w:rPr>
          <w:rFonts w:hint="eastAsia" w:ascii="宋体" w:hAnsi="宋体" w:eastAsia="宋体" w:cs="宋体"/>
          <w:color w:val="auto"/>
          <w:spacing w:val="0"/>
          <w:sz w:val="24"/>
          <w:szCs w:val="24"/>
          <w:highlight w:val="none"/>
          <w:lang w:val="zh-CN"/>
        </w:rPr>
        <w:t>范围内。</w:t>
      </w:r>
    </w:p>
    <w:p w14:paraId="74C3E7A8">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lang w:val="zh-CN"/>
        </w:rPr>
        <w:t>其它内容：</w:t>
      </w:r>
    </w:p>
    <w:p w14:paraId="06521BF2">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①</w:t>
      </w:r>
      <w:r>
        <w:rPr>
          <w:rFonts w:hint="eastAsia" w:ascii="宋体" w:hAnsi="宋体" w:eastAsia="宋体" w:cs="宋体"/>
          <w:color w:val="auto"/>
          <w:spacing w:val="0"/>
          <w:sz w:val="24"/>
          <w:szCs w:val="24"/>
          <w:highlight w:val="none"/>
          <w:lang w:val="zh-CN"/>
        </w:rPr>
        <w:t>软装：外窗窗帘及其导轨、床帘及导轨、装饰画、标识标牌系统等均不在</w:t>
      </w:r>
      <w:r>
        <w:rPr>
          <w:rFonts w:hint="eastAsia" w:ascii="宋体" w:hAnsi="宋体" w:eastAsia="宋体" w:cs="宋体"/>
          <w:color w:val="auto"/>
          <w:spacing w:val="0"/>
          <w:sz w:val="24"/>
          <w:szCs w:val="24"/>
          <w:highlight w:val="none"/>
          <w:lang w:val="en-US" w:eastAsia="zh-CN"/>
        </w:rPr>
        <w:t>本次招标</w:t>
      </w:r>
      <w:r>
        <w:rPr>
          <w:rFonts w:hint="eastAsia" w:ascii="宋体" w:hAnsi="宋体" w:eastAsia="宋体" w:cs="宋体"/>
          <w:color w:val="auto"/>
          <w:spacing w:val="0"/>
          <w:sz w:val="24"/>
          <w:szCs w:val="24"/>
          <w:highlight w:val="none"/>
          <w:lang w:val="zh-CN"/>
        </w:rPr>
        <w:t>范围内。</w:t>
      </w:r>
    </w:p>
    <w:p w14:paraId="68BDF512">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②</w:t>
      </w:r>
      <w:r>
        <w:rPr>
          <w:rFonts w:hint="eastAsia" w:ascii="宋体" w:hAnsi="宋体" w:eastAsia="宋体" w:cs="宋体"/>
          <w:color w:val="auto"/>
          <w:spacing w:val="0"/>
          <w:sz w:val="24"/>
          <w:szCs w:val="24"/>
          <w:highlight w:val="none"/>
          <w:lang w:val="zh-CN"/>
        </w:rPr>
        <w:t>电脑、电视机、饮水机、洗衣机等办公家电等均不在</w:t>
      </w:r>
      <w:r>
        <w:rPr>
          <w:rFonts w:hint="eastAsia" w:ascii="宋体" w:hAnsi="宋体" w:eastAsia="宋体" w:cs="宋体"/>
          <w:color w:val="auto"/>
          <w:spacing w:val="0"/>
          <w:sz w:val="24"/>
          <w:szCs w:val="24"/>
          <w:highlight w:val="none"/>
          <w:lang w:val="en-US" w:eastAsia="zh-CN"/>
        </w:rPr>
        <w:t>本次招标</w:t>
      </w:r>
      <w:r>
        <w:rPr>
          <w:rFonts w:hint="eastAsia" w:ascii="宋体" w:hAnsi="宋体" w:eastAsia="宋体" w:cs="宋体"/>
          <w:color w:val="auto"/>
          <w:spacing w:val="0"/>
          <w:sz w:val="24"/>
          <w:szCs w:val="24"/>
          <w:highlight w:val="none"/>
          <w:lang w:val="zh-CN"/>
        </w:rPr>
        <w:t>范围内。</w:t>
      </w:r>
    </w:p>
    <w:p w14:paraId="1D9E5644">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lang w:val="zh-CN"/>
        </w:rPr>
        <w:t>本区域范围内消防工程不在</w:t>
      </w:r>
      <w:r>
        <w:rPr>
          <w:rFonts w:hint="eastAsia" w:ascii="宋体" w:hAnsi="宋体" w:eastAsia="宋体" w:cs="宋体"/>
          <w:color w:val="auto"/>
          <w:spacing w:val="0"/>
          <w:sz w:val="24"/>
          <w:szCs w:val="24"/>
          <w:highlight w:val="none"/>
          <w:lang w:val="en-US" w:eastAsia="zh-CN"/>
        </w:rPr>
        <w:t>本次招标</w:t>
      </w:r>
      <w:r>
        <w:rPr>
          <w:rFonts w:hint="eastAsia" w:ascii="宋体" w:hAnsi="宋体" w:eastAsia="宋体" w:cs="宋体"/>
          <w:color w:val="auto"/>
          <w:spacing w:val="0"/>
          <w:sz w:val="24"/>
          <w:szCs w:val="24"/>
          <w:highlight w:val="none"/>
          <w:lang w:val="zh-CN"/>
        </w:rPr>
        <w:t>范围内。</w:t>
      </w:r>
    </w:p>
    <w:p w14:paraId="65E198DB">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2.5</w:t>
      </w:r>
      <w:r>
        <w:rPr>
          <w:rFonts w:hint="eastAsia" w:ascii="宋体" w:hAnsi="宋体" w:eastAsia="宋体" w:cs="宋体"/>
          <w:bCs/>
          <w:color w:val="auto"/>
          <w:spacing w:val="0"/>
          <w:sz w:val="24"/>
          <w:szCs w:val="24"/>
          <w:highlight w:val="none"/>
        </w:rPr>
        <w:t>净化空调工程</w:t>
      </w:r>
    </w:p>
    <w:p w14:paraId="5DB9C8C3">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eastAsia="zh-CN"/>
        </w:rPr>
        <w:t>（</w:t>
      </w:r>
      <w:r>
        <w:rPr>
          <w:rFonts w:hint="eastAsia" w:ascii="宋体" w:hAnsi="宋体" w:eastAsia="宋体" w:cs="宋体"/>
          <w:bCs/>
          <w:color w:val="auto"/>
          <w:spacing w:val="0"/>
          <w:sz w:val="24"/>
          <w:szCs w:val="24"/>
          <w:highlight w:val="none"/>
          <w:lang w:val="en-US" w:eastAsia="zh-CN"/>
        </w:rPr>
        <w:t>1</w:t>
      </w:r>
      <w:r>
        <w:rPr>
          <w:rFonts w:hint="eastAsia" w:ascii="宋体" w:hAnsi="宋体" w:eastAsia="宋体" w:cs="宋体"/>
          <w:bCs/>
          <w:color w:val="auto"/>
          <w:spacing w:val="0"/>
          <w:sz w:val="24"/>
          <w:szCs w:val="24"/>
          <w:highlight w:val="none"/>
          <w:lang w:eastAsia="zh-CN"/>
        </w:rPr>
        <w:t>）</w:t>
      </w:r>
      <w:r>
        <w:rPr>
          <w:rFonts w:hint="eastAsia" w:ascii="宋体" w:hAnsi="宋体" w:eastAsia="宋体" w:cs="宋体"/>
          <w:bCs/>
          <w:color w:val="auto"/>
          <w:spacing w:val="0"/>
          <w:sz w:val="24"/>
          <w:szCs w:val="24"/>
          <w:highlight w:val="none"/>
        </w:rPr>
        <w:t>包含本标段招标范围内的全部净化空调及舒适性空调工程。</w:t>
      </w:r>
    </w:p>
    <w:p w14:paraId="04323413">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CN"/>
        </w:rPr>
        <w:t>）</w:t>
      </w:r>
      <w:r>
        <w:rPr>
          <w:rFonts w:hint="eastAsia" w:ascii="宋体" w:hAnsi="宋体" w:eastAsia="宋体" w:cs="宋体"/>
          <w:bCs/>
          <w:color w:val="auto"/>
          <w:spacing w:val="0"/>
          <w:sz w:val="24"/>
          <w:szCs w:val="24"/>
          <w:highlight w:val="none"/>
        </w:rPr>
        <w:t>包含本标段招标范围内的管道</w:t>
      </w:r>
      <w:r>
        <w:rPr>
          <w:rFonts w:hint="eastAsia" w:ascii="宋体" w:hAnsi="宋体" w:eastAsia="宋体" w:cs="宋体"/>
          <w:color w:val="auto"/>
          <w:spacing w:val="0"/>
          <w:sz w:val="24"/>
          <w:szCs w:val="24"/>
          <w:highlight w:val="none"/>
        </w:rPr>
        <w:t>工程</w:t>
      </w:r>
      <w:r>
        <w:rPr>
          <w:rFonts w:hint="eastAsia" w:ascii="宋体" w:hAnsi="宋体" w:eastAsia="宋体" w:cs="宋体"/>
          <w:bCs/>
          <w:color w:val="auto"/>
          <w:spacing w:val="0"/>
          <w:sz w:val="24"/>
          <w:szCs w:val="24"/>
          <w:highlight w:val="none"/>
        </w:rPr>
        <w:t>。</w:t>
      </w:r>
    </w:p>
    <w:p w14:paraId="10E28501">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2.6</w:t>
      </w:r>
      <w:r>
        <w:rPr>
          <w:rFonts w:hint="eastAsia" w:ascii="宋体" w:hAnsi="宋体" w:eastAsia="宋体" w:cs="宋体"/>
          <w:color w:val="auto"/>
          <w:spacing w:val="0"/>
          <w:sz w:val="24"/>
          <w:szCs w:val="24"/>
          <w:highlight w:val="none"/>
        </w:rPr>
        <w:t>强电工程</w:t>
      </w:r>
    </w:p>
    <w:p w14:paraId="31A38A01">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包含本标段招标范围内的总配电柜、分配电箱、所有强电桥架、线管、电线电缆敷设在内的全部强电工程。总配电柜上端子进线由</w:t>
      </w:r>
      <w:r>
        <w:rPr>
          <w:rFonts w:hint="eastAsia" w:ascii="宋体" w:hAnsi="宋体" w:eastAsia="宋体" w:cs="宋体"/>
          <w:bCs/>
          <w:color w:val="auto"/>
          <w:spacing w:val="0"/>
          <w:sz w:val="24"/>
          <w:szCs w:val="24"/>
          <w:highlight w:val="none"/>
          <w:lang w:eastAsia="zh-CN"/>
        </w:rPr>
        <w:t>招标人</w:t>
      </w:r>
      <w:r>
        <w:rPr>
          <w:rFonts w:hint="eastAsia" w:ascii="宋体" w:hAnsi="宋体" w:eastAsia="宋体" w:cs="宋体"/>
          <w:bCs/>
          <w:color w:val="auto"/>
          <w:spacing w:val="0"/>
          <w:sz w:val="24"/>
          <w:szCs w:val="24"/>
          <w:highlight w:val="none"/>
        </w:rPr>
        <w:t>负责供货敷设。</w:t>
      </w:r>
    </w:p>
    <w:p w14:paraId="0DAF01F0">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2.7</w:t>
      </w:r>
      <w:r>
        <w:rPr>
          <w:rFonts w:hint="eastAsia" w:ascii="宋体" w:hAnsi="宋体" w:eastAsia="宋体" w:cs="宋体"/>
          <w:color w:val="auto"/>
          <w:spacing w:val="0"/>
          <w:sz w:val="24"/>
          <w:szCs w:val="24"/>
          <w:highlight w:val="none"/>
        </w:rPr>
        <w:t>弱电工程</w:t>
      </w:r>
    </w:p>
    <w:p w14:paraId="19A20765">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bookmarkStart w:id="66" w:name="_Toc385167590"/>
      <w:bookmarkStart w:id="67" w:name="_Toc385114022"/>
      <w:bookmarkStart w:id="68" w:name="_Toc385114458"/>
      <w:r>
        <w:rPr>
          <w:rFonts w:hint="eastAsia" w:ascii="宋体" w:hAnsi="宋体" w:eastAsia="宋体" w:cs="宋体"/>
          <w:bCs/>
          <w:color w:val="auto"/>
          <w:spacing w:val="0"/>
          <w:sz w:val="24"/>
          <w:szCs w:val="24"/>
          <w:highlight w:val="none"/>
        </w:rPr>
        <w:t>包含本标段招标范围内的电话网络系统所有布线预留至弱电井并预留5m，由招标方接入该层数据配线架（语音配线架）并与院内计算机网络信息系统（电话系统）连接，网络系统（电话系统）主机设备由招标方提供。</w:t>
      </w:r>
    </w:p>
    <w:p w14:paraId="745A5C96">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2.8</w:t>
      </w:r>
      <w:r>
        <w:rPr>
          <w:rFonts w:hint="eastAsia" w:ascii="宋体" w:hAnsi="宋体" w:eastAsia="宋体" w:cs="宋体"/>
          <w:color w:val="auto"/>
          <w:spacing w:val="0"/>
          <w:sz w:val="24"/>
          <w:szCs w:val="24"/>
          <w:highlight w:val="none"/>
        </w:rPr>
        <w:t>医用气体工程</w:t>
      </w:r>
    </w:p>
    <w:p w14:paraId="34FA2804">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氧气、压缩空气、真空吸引气体管道由业主负责提供到楼层管井并预留阀门接口，本标段</w:t>
      </w:r>
      <w:r>
        <w:rPr>
          <w:rFonts w:hint="eastAsia" w:ascii="宋体" w:hAnsi="宋体" w:eastAsia="宋体" w:cs="宋体"/>
          <w:bCs/>
          <w:color w:val="auto"/>
          <w:spacing w:val="0"/>
          <w:sz w:val="24"/>
          <w:szCs w:val="24"/>
          <w:highlight w:val="none"/>
          <w:lang w:eastAsia="zh-CN"/>
        </w:rPr>
        <w:t>中标人</w:t>
      </w:r>
      <w:r>
        <w:rPr>
          <w:rFonts w:hint="eastAsia" w:ascii="宋体" w:hAnsi="宋体" w:eastAsia="宋体" w:cs="宋体"/>
          <w:bCs/>
          <w:color w:val="auto"/>
          <w:spacing w:val="0"/>
          <w:sz w:val="24"/>
          <w:szCs w:val="24"/>
          <w:highlight w:val="none"/>
        </w:rPr>
        <w:t>负责招标范围内的所有气体管道施工，并接入楼层管井主管道。</w:t>
      </w:r>
    </w:p>
    <w:p w14:paraId="5355AE20">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2.9</w:t>
      </w:r>
      <w:r>
        <w:rPr>
          <w:rFonts w:hint="eastAsia" w:ascii="宋体" w:hAnsi="宋体" w:eastAsia="宋体" w:cs="宋体"/>
          <w:color w:val="auto"/>
          <w:spacing w:val="0"/>
          <w:sz w:val="24"/>
          <w:szCs w:val="24"/>
          <w:highlight w:val="none"/>
        </w:rPr>
        <w:t>给排水工程</w:t>
      </w:r>
    </w:p>
    <w:p w14:paraId="0CE79C6B">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（1）</w:t>
      </w:r>
      <w:r>
        <w:rPr>
          <w:rFonts w:hint="eastAsia" w:ascii="宋体" w:hAnsi="宋体" w:eastAsia="宋体" w:cs="宋体"/>
          <w:bCs/>
          <w:color w:val="auto"/>
          <w:spacing w:val="0"/>
          <w:sz w:val="24"/>
          <w:szCs w:val="24"/>
          <w:highlight w:val="none"/>
        </w:rPr>
        <w:t>生活冷热水的给水管道由业主负责提供到楼层管井并预留阀门接口，本标段</w:t>
      </w:r>
      <w:r>
        <w:rPr>
          <w:rFonts w:hint="eastAsia" w:ascii="宋体" w:hAnsi="宋体" w:eastAsia="宋体" w:cs="宋体"/>
          <w:bCs/>
          <w:color w:val="auto"/>
          <w:spacing w:val="0"/>
          <w:sz w:val="24"/>
          <w:szCs w:val="24"/>
          <w:highlight w:val="none"/>
          <w:lang w:eastAsia="zh-CN"/>
        </w:rPr>
        <w:t>中标人</w:t>
      </w:r>
      <w:r>
        <w:rPr>
          <w:rFonts w:hint="eastAsia" w:ascii="宋体" w:hAnsi="宋体" w:eastAsia="宋体" w:cs="宋体"/>
          <w:bCs/>
          <w:color w:val="auto"/>
          <w:spacing w:val="0"/>
          <w:sz w:val="24"/>
          <w:szCs w:val="24"/>
          <w:highlight w:val="none"/>
        </w:rPr>
        <w:t>负责招标范围内的所有给水管道施工，并接入楼层管井主管道。</w:t>
      </w:r>
    </w:p>
    <w:p w14:paraId="1535AAD7">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（2）</w:t>
      </w:r>
      <w:r>
        <w:rPr>
          <w:rFonts w:hint="eastAsia" w:ascii="宋体" w:hAnsi="宋体" w:eastAsia="宋体" w:cs="宋体"/>
          <w:bCs/>
          <w:color w:val="auto"/>
          <w:spacing w:val="0"/>
          <w:sz w:val="24"/>
          <w:szCs w:val="24"/>
          <w:highlight w:val="none"/>
        </w:rPr>
        <w:t>排水管道由业主负责提供到立管位置，本标段</w:t>
      </w:r>
      <w:r>
        <w:rPr>
          <w:rFonts w:hint="eastAsia" w:ascii="宋体" w:hAnsi="宋体" w:eastAsia="宋体" w:cs="宋体"/>
          <w:bCs/>
          <w:color w:val="auto"/>
          <w:spacing w:val="0"/>
          <w:sz w:val="24"/>
          <w:szCs w:val="24"/>
          <w:highlight w:val="none"/>
          <w:lang w:eastAsia="zh-CN"/>
        </w:rPr>
        <w:t>中标人</w:t>
      </w:r>
      <w:r>
        <w:rPr>
          <w:rFonts w:hint="eastAsia" w:ascii="宋体" w:hAnsi="宋体" w:eastAsia="宋体" w:cs="宋体"/>
          <w:bCs/>
          <w:color w:val="auto"/>
          <w:spacing w:val="0"/>
          <w:sz w:val="24"/>
          <w:szCs w:val="24"/>
          <w:highlight w:val="none"/>
        </w:rPr>
        <w:t>负责本标段招标范围内的所有排水管施工，并接入相应立管。</w:t>
      </w:r>
    </w:p>
    <w:p w14:paraId="0AAA025A">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（3）</w:t>
      </w:r>
      <w:r>
        <w:rPr>
          <w:rFonts w:hint="eastAsia" w:ascii="宋体" w:hAnsi="宋体" w:eastAsia="宋体" w:cs="宋体"/>
          <w:bCs/>
          <w:color w:val="auto"/>
          <w:spacing w:val="0"/>
          <w:sz w:val="24"/>
          <w:szCs w:val="24"/>
          <w:highlight w:val="none"/>
        </w:rPr>
        <w:t>包含本标段招标范围内所有卫生洁具的供货安装。</w:t>
      </w:r>
    </w:p>
    <w:p w14:paraId="025C3A6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技术规范及标准</w:t>
      </w:r>
      <w:bookmarkEnd w:id="66"/>
      <w:bookmarkEnd w:id="67"/>
      <w:bookmarkEnd w:id="68"/>
    </w:p>
    <w:p w14:paraId="3DAD3AD7">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1配置总原则：</w:t>
      </w:r>
    </w:p>
    <w:p w14:paraId="1034F9DF">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1.1洁污分明、功能齐全、选材及配置合理；</w:t>
      </w:r>
    </w:p>
    <w:p w14:paraId="5C0E424F">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1.2配置方案、设备选择、装饰材料充分满足各功能区的使用要求；</w:t>
      </w:r>
    </w:p>
    <w:p w14:paraId="44A8B6E5">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1.3具有先进性、高可靠性、实用性、经济性，配套设施齐全，全部技术指标及参数符合或高于国家规范规定。</w:t>
      </w:r>
    </w:p>
    <w:p w14:paraId="4758E537">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3.</w:t>
      </w:r>
      <w:r>
        <w:rPr>
          <w:rFonts w:hint="eastAsia" w:ascii="宋体" w:hAnsi="宋体" w:eastAsia="宋体" w:cs="宋体"/>
          <w:bCs/>
          <w:color w:val="auto"/>
          <w:spacing w:val="0"/>
          <w:sz w:val="24"/>
          <w:szCs w:val="24"/>
          <w:highlight w:val="none"/>
        </w:rPr>
        <w:t>2参照规范及标准（不局限且以最新标准为准）：</w:t>
      </w:r>
    </w:p>
    <w:p w14:paraId="4AB578C3">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《综合医院建设标准》建标110-2021</w:t>
      </w:r>
    </w:p>
    <w:p w14:paraId="27EAAE5E">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《综合医院建筑设计规范》GB51039-2014</w:t>
      </w:r>
    </w:p>
    <w:p w14:paraId="17F9A7C9">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《医院洁净手术部建筑技术规范》GB50333-2013</w:t>
      </w:r>
    </w:p>
    <w:p w14:paraId="22DB9B7F">
      <w:pPr>
        <w:pageBreakBefore w:val="0"/>
        <w:shd w:val="clear"/>
        <w:kinsoku/>
        <w:wordWrap/>
        <w:overflowPunct/>
        <w:topLinePunct w:val="0"/>
        <w:autoSpaceDE/>
        <w:autoSpaceDN/>
        <w:bidi w:val="0"/>
        <w:adjustRightInd w:val="0"/>
        <w:snapToGrid w:val="0"/>
        <w:spacing w:line="300" w:lineRule="auto"/>
        <w:ind w:left="0" w:leftChars="0" w:firstLine="480" w:firstLineChars="200"/>
        <w:jc w:val="left"/>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《建筑防火通用规范》GB55037-2022</w:t>
      </w:r>
    </w:p>
    <w:p w14:paraId="4B9CDA7A">
      <w:pPr>
        <w:pageBreakBefore w:val="0"/>
        <w:shd w:val="clear"/>
        <w:kinsoku/>
        <w:wordWrap/>
        <w:overflowPunct/>
        <w:topLinePunct w:val="0"/>
        <w:autoSpaceDE/>
        <w:autoSpaceDN/>
        <w:bidi w:val="0"/>
        <w:adjustRightInd w:val="0"/>
        <w:snapToGrid w:val="0"/>
        <w:spacing w:line="300" w:lineRule="auto"/>
        <w:ind w:left="0" w:leftChars="0"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《建筑内部装修设计防火规范》GB50222-2017</w:t>
      </w:r>
    </w:p>
    <w:p w14:paraId="36674108">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《洁净室施工及验收规范》GB50591-2010</w:t>
      </w:r>
    </w:p>
    <w:p w14:paraId="0F54DC31">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《建筑装饰装修工程质量验收标准》GB50210-2018</w:t>
      </w:r>
    </w:p>
    <w:p w14:paraId="1237AD43">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《建筑地面工程施工质量验收规范》GB50209-2010</w:t>
      </w:r>
    </w:p>
    <w:p w14:paraId="519FFC8C">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《建筑与市政工程防水通用规范》GB55030-2022</w:t>
      </w:r>
    </w:p>
    <w:p w14:paraId="1B7F9086">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《建筑地面设计规范》GB50037-2013</w:t>
      </w:r>
    </w:p>
    <w:p w14:paraId="3FAEE1C8">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《民用建筑隔声设计规范》GB50118-2010</w:t>
      </w:r>
    </w:p>
    <w:p w14:paraId="3F415C28">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《医院感染预防与控制评价规范》 WS/T592-2018</w:t>
      </w:r>
    </w:p>
    <w:p w14:paraId="07AFC5E2">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《静脉用药调配中心建设与管理指南（试行）》 国卫办医函（2021）598号</w:t>
      </w:r>
    </w:p>
    <w:p w14:paraId="4C12F2F6">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《医院消毒供应中心第1部分：管理规范》WS310.1-2016</w:t>
      </w:r>
    </w:p>
    <w:p w14:paraId="634EA28D">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《医院消毒供应中心第2部分：清洗消毒及灭菌技术操作规范》WS310.2-2016</w:t>
      </w:r>
    </w:p>
    <w:p w14:paraId="48AD320A">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《放射治疗放射防护要求》GBZ121-2020</w:t>
      </w:r>
    </w:p>
    <w:p w14:paraId="4CDDD03C">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《放射诊断放射防护要求》 GBZ130-2020</w:t>
      </w:r>
    </w:p>
    <w:p w14:paraId="62BCB90A">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《民用建筑工程室内环境污染控制</w:t>
      </w:r>
      <w:r>
        <w:rPr>
          <w:rFonts w:hint="eastAsia" w:ascii="宋体" w:hAnsi="宋体" w:eastAsia="宋体" w:cs="宋体"/>
          <w:color w:val="auto"/>
          <w:spacing w:val="0"/>
          <w:sz w:val="24"/>
          <w:szCs w:val="24"/>
          <w:highlight w:val="none"/>
          <w:lang w:val="en-US" w:eastAsia="zh-CN"/>
        </w:rPr>
        <w:t>标准</w:t>
      </w:r>
      <w:r>
        <w:rPr>
          <w:rFonts w:hint="eastAsia" w:ascii="宋体" w:hAnsi="宋体" w:eastAsia="宋体" w:cs="宋体"/>
          <w:color w:val="auto"/>
          <w:spacing w:val="0"/>
          <w:sz w:val="24"/>
          <w:szCs w:val="24"/>
          <w:highlight w:val="none"/>
        </w:rPr>
        <w:t>》GB50325-20</w:t>
      </w:r>
      <w:r>
        <w:rPr>
          <w:rFonts w:hint="eastAsia" w:ascii="宋体" w:hAnsi="宋体" w:eastAsia="宋体" w:cs="宋体"/>
          <w:color w:val="auto"/>
          <w:spacing w:val="0"/>
          <w:sz w:val="24"/>
          <w:szCs w:val="24"/>
          <w:highlight w:val="none"/>
          <w:lang w:val="en-US" w:eastAsia="zh-CN"/>
        </w:rPr>
        <w:t>20</w:t>
      </w:r>
    </w:p>
    <w:p w14:paraId="7762F105">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《民用建筑设计统一标准》 GB50352-2019</w:t>
      </w:r>
    </w:p>
    <w:p w14:paraId="73B7540B">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zh-CN"/>
        </w:rPr>
        <w:t>《民用建筑通用规范》GB55031-2022</w:t>
      </w:r>
    </w:p>
    <w:p w14:paraId="7276E4F0">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《民用建筑供暖通风与空气调节设计规范》GB50736-2012</w:t>
      </w:r>
    </w:p>
    <w:p w14:paraId="2F449F9F">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《空气过滤器》GB14295-2019</w:t>
      </w:r>
    </w:p>
    <w:p w14:paraId="29FFB498">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《高效空气过滤器》GB13554-2020</w:t>
      </w:r>
    </w:p>
    <w:p w14:paraId="51C4B815">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《洁净手术室用空气调节机组》GB19569-2004</w:t>
      </w:r>
    </w:p>
    <w:p w14:paraId="2961A169">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《通风与空调工程施工规范》GB50738-2011</w:t>
      </w:r>
    </w:p>
    <w:p w14:paraId="26AC0C1D">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《通风与空调工程施工质量验收规范》GB50243-2016</w:t>
      </w:r>
    </w:p>
    <w:p w14:paraId="68B6E142">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《通风与空调工程施工规范》GB50738-2011</w:t>
      </w:r>
    </w:p>
    <w:p w14:paraId="3CE8078C">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《机械设备安装工程施工及验收通用规范》GB50231-2009</w:t>
      </w:r>
    </w:p>
    <w:p w14:paraId="0BD5B181">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《现场设备、工业管道焊接工程施工质量验收规范》GB50683-2011</w:t>
      </w:r>
    </w:p>
    <w:p w14:paraId="0E0F394F">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《室内管道支架及吊架》03S402</w:t>
      </w:r>
    </w:p>
    <w:p w14:paraId="4FFC81EB">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《建筑机电工程抗震设计规范》GB50981-2014</w:t>
      </w:r>
    </w:p>
    <w:p w14:paraId="30402BA2">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《民用建筑电气设计标准》GB51348-2019</w:t>
      </w:r>
    </w:p>
    <w:p w14:paraId="234C5E15">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《供配电系统设计规范》GB50052-2009</w:t>
      </w:r>
    </w:p>
    <w:p w14:paraId="57FCB775">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《低压配电设计规范》GB50054-2011</w:t>
      </w:r>
    </w:p>
    <w:p w14:paraId="289895D9">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《建筑照明设计标准》GB50034-2013</w:t>
      </w:r>
    </w:p>
    <w:p w14:paraId="6CF8DE7F">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《智能建筑设计标准》GB50314-2015</w:t>
      </w:r>
    </w:p>
    <w:p w14:paraId="159FB1BD">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《综合布线系统工程设计规范》GB50311-2016</w:t>
      </w:r>
    </w:p>
    <w:p w14:paraId="734E2074">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《爆炸危险环境电力装置设计规范》GB50058-2014</w:t>
      </w:r>
    </w:p>
    <w:p w14:paraId="6B439617">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《火灾自动报警系统设计规范》GB50116-2013</w:t>
      </w:r>
    </w:p>
    <w:p w14:paraId="6EFAC90F">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《建筑电气工程施工质量验收规范》GB50303-2011</w:t>
      </w:r>
    </w:p>
    <w:p w14:paraId="068DC8CD">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《综合布线系统工程验收规范》GB50312-2016</w:t>
      </w:r>
    </w:p>
    <w:p w14:paraId="73DE4336">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《有线电视系统工程技术规范》GB50200-2018　</w:t>
      </w:r>
    </w:p>
    <w:p w14:paraId="47DD1207">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《工业金属管道工程施工规范》GB50235-2010</w:t>
      </w:r>
    </w:p>
    <w:p w14:paraId="157450B8">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《现场设备、工业管道焊接工程施工规范》GB50236-2011</w:t>
      </w:r>
    </w:p>
    <w:p w14:paraId="740D4A10">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《医用中心供氧系统通用技术条件》YY/T0187-1994</w:t>
      </w:r>
    </w:p>
    <w:p w14:paraId="5BBF55F3">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《医用中心吸引系统通用技术条件》YY/T0186-1994</w:t>
      </w:r>
    </w:p>
    <w:p w14:paraId="1655A034">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《医用气体工程技术规范》GB50751-2012</w:t>
      </w:r>
    </w:p>
    <w:p w14:paraId="05BE30B1">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《建筑给水排水设计规范》GB50015-2019</w:t>
      </w:r>
    </w:p>
    <w:p w14:paraId="74626476">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《建筑给水排水及采暖工程施工质量验收规范》GB50242-2002</w:t>
      </w:r>
    </w:p>
    <w:p w14:paraId="4B2D7DBD">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《医院卫生设备安装参见国标图集92S303》</w:t>
      </w:r>
    </w:p>
    <w:p w14:paraId="4843B417">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《医院消毒卫生标准》GB15982-2012</w:t>
      </w:r>
    </w:p>
    <w:p w14:paraId="6FB188C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第三方检测</w:t>
      </w:r>
      <w:r>
        <w:rPr>
          <w:rFonts w:hint="eastAsia" w:ascii="宋体" w:hAnsi="宋体" w:eastAsia="宋体" w:cs="宋体"/>
          <w:color w:val="auto"/>
          <w:spacing w:val="0"/>
          <w:sz w:val="24"/>
          <w:szCs w:val="24"/>
          <w:highlight w:val="none"/>
          <w:lang w:val="en-US" w:eastAsia="zh-CN"/>
        </w:rPr>
        <w:t>要求</w:t>
      </w:r>
    </w:p>
    <w:p w14:paraId="03981DFE">
      <w:pPr>
        <w:pageBreakBefore w:val="0"/>
        <w:shd w:val="clear"/>
        <w:kinsoku/>
        <w:wordWrap/>
        <w:overflowPunct/>
        <w:topLinePunct w:val="0"/>
        <w:autoSpaceDE/>
        <w:autoSpaceDN/>
        <w:bidi w:val="0"/>
        <w:adjustRightInd w:val="0"/>
        <w:snapToGrid w:val="0"/>
        <w:spacing w:line="300" w:lineRule="auto"/>
        <w:ind w:left="0" w:leftChars="0" w:firstLine="482" w:firstLineChars="200"/>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中标人在</w:t>
      </w:r>
      <w:r>
        <w:rPr>
          <w:rFonts w:hint="eastAsia" w:ascii="宋体" w:hAnsi="宋体" w:eastAsia="宋体" w:cs="宋体"/>
          <w:b/>
          <w:bCs/>
          <w:color w:val="auto"/>
          <w:spacing w:val="0"/>
          <w:sz w:val="24"/>
          <w:szCs w:val="24"/>
          <w:highlight w:val="none"/>
          <w:lang w:eastAsia="zh-CN"/>
        </w:rPr>
        <w:t>净化</w:t>
      </w:r>
      <w:r>
        <w:rPr>
          <w:rFonts w:hint="eastAsia" w:ascii="宋体" w:hAnsi="宋体" w:eastAsia="宋体" w:cs="宋体"/>
          <w:b/>
          <w:bCs/>
          <w:color w:val="auto"/>
          <w:spacing w:val="0"/>
          <w:sz w:val="24"/>
          <w:szCs w:val="24"/>
          <w:highlight w:val="none"/>
        </w:rPr>
        <w:t>系统安装和接线全部完成后，必须由具有国家认可资质的权威机构对本净化项目有关技术指标进行测试，并</w:t>
      </w:r>
      <w:r>
        <w:rPr>
          <w:rFonts w:hint="eastAsia" w:ascii="宋体" w:hAnsi="宋体" w:eastAsia="宋体" w:cs="宋体"/>
          <w:b/>
          <w:bCs/>
          <w:color w:val="auto"/>
          <w:spacing w:val="0"/>
          <w:sz w:val="24"/>
          <w:szCs w:val="24"/>
          <w:highlight w:val="none"/>
          <w:lang w:eastAsia="zh-CN"/>
        </w:rPr>
        <w:t>出具</w:t>
      </w:r>
      <w:r>
        <w:rPr>
          <w:rFonts w:hint="eastAsia" w:ascii="宋体" w:hAnsi="宋体" w:eastAsia="宋体" w:cs="宋体"/>
          <w:b/>
          <w:bCs/>
          <w:color w:val="auto"/>
          <w:spacing w:val="0"/>
          <w:sz w:val="24"/>
          <w:szCs w:val="24"/>
          <w:highlight w:val="none"/>
        </w:rPr>
        <w:t>合格的检测报告。</w:t>
      </w:r>
    </w:p>
    <w:p w14:paraId="358CC42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装饰技术要求</w:t>
      </w:r>
    </w:p>
    <w:p w14:paraId="11C87325">
      <w:pPr>
        <w:pageBreakBefore w:val="0"/>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5.1</w:t>
      </w:r>
      <w:r>
        <w:rPr>
          <w:rFonts w:hint="eastAsia" w:ascii="宋体" w:hAnsi="宋体" w:eastAsia="宋体" w:cs="宋体"/>
          <w:color w:val="auto"/>
          <w:spacing w:val="0"/>
          <w:sz w:val="24"/>
          <w:szCs w:val="24"/>
          <w:highlight w:val="none"/>
        </w:rPr>
        <w:t>建筑装饰选材详细说明（墙、顶、地）</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本工程按一级耐火等级进行建筑防火设计和室内装修防火设计。</w:t>
      </w:r>
    </w:p>
    <w:p w14:paraId="27B41B2A">
      <w:pPr>
        <w:pageBreakBefore w:val="0"/>
        <w:shd w:val="clear"/>
        <w:kinsoku/>
        <w:wordWrap/>
        <w:overflowPunct/>
        <w:topLinePunct w:val="0"/>
        <w:autoSpaceDE/>
        <w:autoSpaceDN/>
        <w:bidi w:val="0"/>
        <w:adjustRightInd w:val="0"/>
        <w:snapToGrid w:val="0"/>
        <w:spacing w:line="300" w:lineRule="auto"/>
        <w:ind w:left="0" w:leftChars="0" w:firstLine="482"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5.2</w:t>
      </w:r>
      <w:r>
        <w:rPr>
          <w:rFonts w:hint="eastAsia" w:ascii="宋体" w:hAnsi="宋体" w:eastAsia="宋体" w:cs="宋体"/>
          <w:b/>
          <w:bCs/>
          <w:color w:val="auto"/>
          <w:spacing w:val="0"/>
          <w:sz w:val="24"/>
          <w:szCs w:val="24"/>
          <w:highlight w:val="none"/>
        </w:rPr>
        <w:t>墙体、墙面</w:t>
      </w:r>
      <w:r>
        <w:rPr>
          <w:rFonts w:hint="eastAsia" w:ascii="宋体" w:hAnsi="宋体" w:eastAsia="宋体" w:cs="宋体"/>
          <w:color w:val="auto"/>
          <w:spacing w:val="0"/>
          <w:sz w:val="24"/>
          <w:szCs w:val="24"/>
          <w:highlight w:val="none"/>
        </w:rPr>
        <w:t>：疏散走道两侧隔墙耐火极限不小于</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小时，房间隔墙耐火极限不小于0.75小时。</w:t>
      </w:r>
    </w:p>
    <w:p w14:paraId="087AF5C5">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.1各区域范围内的湿区辅房墙面采用300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eastAsia="zh"/>
        </w:rPr>
        <w:t>600墙面瓷砖；同时做采用</w:t>
      </w:r>
      <w:r>
        <w:rPr>
          <w:rFonts w:hint="eastAsia" w:ascii="宋体" w:hAnsi="宋体" w:eastAsia="宋体" w:cs="宋体"/>
          <w:color w:val="auto"/>
          <w:spacing w:val="0"/>
          <w:sz w:val="24"/>
          <w:szCs w:val="24"/>
          <w:highlight w:val="none"/>
          <w:lang w:val="en-US" w:eastAsia="zh-CN"/>
        </w:rPr>
        <w:t>2mm厚聚氨酯防水层</w:t>
      </w:r>
      <w:r>
        <w:rPr>
          <w:rFonts w:hint="eastAsia" w:ascii="宋体" w:hAnsi="宋体" w:eastAsia="宋体" w:cs="宋体"/>
          <w:color w:val="auto"/>
          <w:spacing w:val="0"/>
          <w:sz w:val="24"/>
          <w:szCs w:val="24"/>
          <w:highlight w:val="none"/>
          <w:lang w:eastAsia="zh"/>
        </w:rPr>
        <w:t>做防水处理（</w:t>
      </w:r>
      <w:r>
        <w:rPr>
          <w:rFonts w:hint="eastAsia" w:ascii="宋体" w:hAnsi="宋体" w:eastAsia="宋体" w:cs="宋体"/>
          <w:color w:val="auto"/>
          <w:spacing w:val="0"/>
          <w:sz w:val="24"/>
          <w:szCs w:val="24"/>
          <w:highlight w:val="none"/>
          <w:lang w:val="en-US" w:eastAsia="zh-CN"/>
        </w:rPr>
        <w:t>卫生间、</w:t>
      </w:r>
      <w:r>
        <w:rPr>
          <w:rFonts w:hint="eastAsia" w:ascii="宋体" w:hAnsi="宋体" w:eastAsia="宋体" w:cs="宋体"/>
          <w:color w:val="auto"/>
          <w:spacing w:val="0"/>
          <w:sz w:val="24"/>
          <w:szCs w:val="24"/>
          <w:highlight w:val="none"/>
          <w:lang w:val="zh-CN"/>
        </w:rPr>
        <w:t>淋浴</w:t>
      </w:r>
      <w:r>
        <w:rPr>
          <w:rFonts w:hint="eastAsia" w:ascii="宋体" w:hAnsi="宋体" w:eastAsia="宋体" w:cs="宋体"/>
          <w:color w:val="auto"/>
          <w:spacing w:val="0"/>
          <w:sz w:val="24"/>
          <w:szCs w:val="24"/>
          <w:highlight w:val="none"/>
          <w:lang w:val="zh-CN" w:eastAsia="zh-CN"/>
        </w:rPr>
        <w:t>间</w:t>
      </w:r>
      <w:r>
        <w:rPr>
          <w:rFonts w:hint="eastAsia" w:ascii="宋体" w:hAnsi="宋体" w:eastAsia="宋体" w:cs="宋体"/>
          <w:color w:val="auto"/>
          <w:spacing w:val="0"/>
          <w:sz w:val="24"/>
          <w:szCs w:val="24"/>
          <w:highlight w:val="none"/>
          <w:lang w:val="zh-CN"/>
        </w:rPr>
        <w:t>面墙和</w:t>
      </w:r>
      <w:r>
        <w:rPr>
          <w:rFonts w:hint="eastAsia" w:ascii="宋体" w:hAnsi="宋体" w:eastAsia="宋体" w:cs="宋体"/>
          <w:color w:val="auto"/>
          <w:spacing w:val="0"/>
          <w:sz w:val="24"/>
          <w:szCs w:val="24"/>
          <w:highlight w:val="none"/>
          <w:lang w:val="en-US" w:eastAsia="zh-CN"/>
        </w:rPr>
        <w:t>污车洁车清洗间</w:t>
      </w:r>
      <w:r>
        <w:rPr>
          <w:rFonts w:hint="eastAsia" w:ascii="宋体" w:hAnsi="宋体" w:eastAsia="宋体" w:cs="宋体"/>
          <w:color w:val="auto"/>
          <w:spacing w:val="0"/>
          <w:sz w:val="24"/>
          <w:szCs w:val="24"/>
          <w:highlight w:val="none"/>
          <w:lang w:val="zh-CN"/>
        </w:rPr>
        <w:t>墙面，防水涂刷高度不得低于2000mm（完成面高度）且不低于淋浴喷淋口高度，盥洗池盆等用水处墙面防水层翻起高度不应小于1200mm，墙面其他部位泛水翻起高度不应小于</w:t>
      </w:r>
      <w:r>
        <w:rPr>
          <w:rFonts w:hint="eastAsia" w:ascii="宋体" w:hAnsi="宋体" w:eastAsia="宋体" w:cs="宋体"/>
          <w:color w:val="auto"/>
          <w:spacing w:val="0"/>
          <w:sz w:val="24"/>
          <w:szCs w:val="24"/>
          <w:highlight w:val="none"/>
          <w:lang w:val="en-US" w:eastAsia="zh-CN"/>
        </w:rPr>
        <w:t>25</w:t>
      </w:r>
      <w:r>
        <w:rPr>
          <w:rFonts w:hint="eastAsia" w:ascii="宋体" w:hAnsi="宋体" w:eastAsia="宋体" w:cs="宋体"/>
          <w:color w:val="auto"/>
          <w:spacing w:val="0"/>
          <w:sz w:val="24"/>
          <w:szCs w:val="24"/>
          <w:highlight w:val="none"/>
          <w:lang w:val="zh-CN"/>
        </w:rPr>
        <w:t>0mm</w:t>
      </w:r>
      <w:r>
        <w:rPr>
          <w:rFonts w:hint="eastAsia" w:ascii="宋体" w:hAnsi="宋体" w:eastAsia="宋体" w:cs="宋体"/>
          <w:color w:val="auto"/>
          <w:spacing w:val="0"/>
          <w:sz w:val="24"/>
          <w:szCs w:val="24"/>
          <w:highlight w:val="none"/>
          <w:lang w:eastAsia="zh"/>
        </w:rPr>
        <w:t>。</w:t>
      </w:r>
    </w:p>
    <w:p w14:paraId="74E8E344">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.2各区域办公区域走廊：</w:t>
      </w: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lang w:eastAsia="zh"/>
        </w:rPr>
        <w:t>mm</w:t>
      </w:r>
      <w:r>
        <w:rPr>
          <w:rFonts w:hint="eastAsia" w:ascii="宋体" w:hAnsi="宋体" w:eastAsia="宋体" w:cs="宋体"/>
          <w:color w:val="auto"/>
          <w:spacing w:val="0"/>
          <w:sz w:val="24"/>
          <w:szCs w:val="24"/>
          <w:highlight w:val="none"/>
          <w:lang w:val="zh-CN"/>
        </w:rPr>
        <w:t>硅酸钙板</w:t>
      </w:r>
      <w:r>
        <w:rPr>
          <w:rFonts w:hint="eastAsia" w:ascii="宋体" w:hAnsi="宋体" w:eastAsia="宋体" w:cs="宋体"/>
          <w:color w:val="auto"/>
          <w:spacing w:val="0"/>
          <w:sz w:val="24"/>
          <w:szCs w:val="24"/>
          <w:highlight w:val="none"/>
          <w:lang w:eastAsia="zh"/>
        </w:rPr>
        <w:t>+75mm轻钢龙骨（填充</w:t>
      </w:r>
      <w:r>
        <w:rPr>
          <w:rFonts w:hint="eastAsia" w:ascii="宋体" w:hAnsi="宋体" w:eastAsia="宋体" w:cs="宋体"/>
          <w:color w:val="auto"/>
          <w:spacing w:val="0"/>
          <w:sz w:val="24"/>
          <w:szCs w:val="24"/>
          <w:highlight w:val="none"/>
          <w:lang w:val="en-US" w:eastAsia="zh-CN"/>
        </w:rPr>
        <w:t>防火</w:t>
      </w:r>
      <w:r>
        <w:rPr>
          <w:rFonts w:hint="eastAsia" w:ascii="宋体" w:hAnsi="宋体" w:eastAsia="宋体" w:cs="宋体"/>
          <w:color w:val="auto"/>
          <w:spacing w:val="0"/>
          <w:sz w:val="24"/>
          <w:szCs w:val="24"/>
          <w:highlight w:val="none"/>
          <w:lang w:eastAsia="zh"/>
        </w:rPr>
        <w:t>岩棉，容重100kg/m³）+</w:t>
      </w: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lang w:eastAsia="zh"/>
        </w:rPr>
        <w:t>mm</w:t>
      </w:r>
      <w:r>
        <w:rPr>
          <w:rFonts w:hint="eastAsia" w:ascii="宋体" w:hAnsi="宋体" w:eastAsia="宋体" w:cs="宋体"/>
          <w:color w:val="auto"/>
          <w:spacing w:val="0"/>
          <w:sz w:val="24"/>
          <w:szCs w:val="24"/>
          <w:highlight w:val="none"/>
          <w:lang w:val="zh-CN"/>
        </w:rPr>
        <w:t>硅酸钙板</w:t>
      </w:r>
      <w:r>
        <w:rPr>
          <w:rFonts w:hint="eastAsia" w:ascii="宋体" w:hAnsi="宋体" w:eastAsia="宋体" w:cs="宋体"/>
          <w:color w:val="auto"/>
          <w:spacing w:val="0"/>
          <w:sz w:val="24"/>
          <w:szCs w:val="24"/>
          <w:highlight w:val="none"/>
          <w:lang w:eastAsia="zh"/>
        </w:rPr>
        <w:t>，安装高度为本层建筑层高，面层批腻子二道，饰面材料</w:t>
      </w:r>
      <w:r>
        <w:rPr>
          <w:rFonts w:hint="eastAsia" w:ascii="宋体" w:hAnsi="宋体" w:eastAsia="宋体" w:cs="宋体"/>
          <w:color w:val="auto"/>
          <w:spacing w:val="0"/>
          <w:sz w:val="24"/>
          <w:szCs w:val="24"/>
          <w:highlight w:val="none"/>
          <w:lang w:val="en-US" w:eastAsia="zh-CN"/>
        </w:rPr>
        <w:t>抗</w:t>
      </w:r>
      <w:r>
        <w:rPr>
          <w:rFonts w:hint="eastAsia" w:ascii="宋体" w:hAnsi="宋体" w:eastAsia="宋体" w:cs="宋体"/>
          <w:color w:val="auto"/>
          <w:spacing w:val="0"/>
          <w:sz w:val="24"/>
          <w:szCs w:val="24"/>
          <w:highlight w:val="none"/>
          <w:lang w:eastAsia="zh"/>
        </w:rPr>
        <w:t>菌涂料</w:t>
      </w:r>
      <w:r>
        <w:rPr>
          <w:rFonts w:hint="eastAsia" w:ascii="宋体" w:hAnsi="宋体" w:eastAsia="宋体" w:cs="宋体"/>
          <w:color w:val="auto"/>
          <w:spacing w:val="0"/>
          <w:sz w:val="24"/>
          <w:szCs w:val="24"/>
          <w:highlight w:val="none"/>
          <w:lang w:eastAsia="zh-CN"/>
        </w:rPr>
        <w:t>。</w:t>
      </w:r>
    </w:p>
    <w:p w14:paraId="37BA3CF9">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.3手术室墙面面层装饰材料均采用1.2mm厚电解钢板（内衬</w:t>
      </w:r>
      <w:r>
        <w:rPr>
          <w:rFonts w:hint="eastAsia" w:ascii="宋体" w:hAnsi="宋体" w:eastAsia="宋体" w:cs="宋体"/>
          <w:color w:val="auto"/>
          <w:spacing w:val="0"/>
          <w:sz w:val="24"/>
          <w:szCs w:val="24"/>
          <w:highlight w:val="none"/>
          <w:lang w:val="en-US" w:eastAsia="zh-CN"/>
        </w:rPr>
        <w:t>12</w:t>
      </w:r>
      <w:r>
        <w:rPr>
          <w:rFonts w:hint="eastAsia" w:ascii="宋体" w:hAnsi="宋体" w:eastAsia="宋体" w:cs="宋体"/>
          <w:color w:val="auto"/>
          <w:spacing w:val="0"/>
          <w:sz w:val="24"/>
          <w:szCs w:val="24"/>
          <w:highlight w:val="none"/>
          <w:lang w:eastAsia="zh"/>
        </w:rPr>
        <w:t>mm</w:t>
      </w:r>
      <w:r>
        <w:rPr>
          <w:rFonts w:hint="eastAsia" w:ascii="宋体" w:hAnsi="宋体" w:eastAsia="宋体" w:cs="宋体"/>
          <w:color w:val="auto"/>
          <w:spacing w:val="0"/>
          <w:sz w:val="24"/>
          <w:szCs w:val="24"/>
          <w:highlight w:val="none"/>
          <w:lang w:val="en-US" w:eastAsia="zh-CN"/>
        </w:rPr>
        <w:t>耐火纸面石膏板</w:t>
      </w:r>
      <w:r>
        <w:rPr>
          <w:rFonts w:hint="eastAsia" w:ascii="宋体" w:hAnsi="宋体" w:eastAsia="宋体" w:cs="宋体"/>
          <w:color w:val="auto"/>
          <w:spacing w:val="0"/>
          <w:sz w:val="24"/>
          <w:szCs w:val="24"/>
          <w:highlight w:val="none"/>
          <w:lang w:eastAsia="zh"/>
        </w:rPr>
        <w:t>），采用</w:t>
      </w:r>
      <w:r>
        <w:rPr>
          <w:rFonts w:hint="eastAsia" w:ascii="宋体" w:hAnsi="宋体" w:eastAsia="宋体" w:cs="宋体"/>
          <w:color w:val="auto"/>
          <w:spacing w:val="0"/>
          <w:sz w:val="24"/>
          <w:szCs w:val="24"/>
          <w:highlight w:val="none"/>
          <w:lang w:val="en-US" w:eastAsia="zh-CN"/>
        </w:rPr>
        <w:t>模块化</w:t>
      </w:r>
      <w:r>
        <w:rPr>
          <w:rFonts w:hint="eastAsia" w:ascii="宋体" w:hAnsi="宋体" w:eastAsia="宋体" w:cs="宋体"/>
          <w:color w:val="auto"/>
          <w:spacing w:val="0"/>
          <w:sz w:val="24"/>
          <w:szCs w:val="24"/>
          <w:highlight w:val="none"/>
          <w:lang w:eastAsia="zh"/>
        </w:rPr>
        <w:t>安装，防锈、耐冲击、耐擦洗、耐酸碱、不变色、隔音保温，墙板表面严禁现场喷涂，板间拼缝采用环保型耐候胶进行密封处理。墙面拐角及与吊顶衔接处采用半径300的大圆弧形过渡。</w:t>
      </w:r>
    </w:p>
    <w:p w14:paraId="5672ACF6">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rPr>
        <w:t>耐磨含钛喷涂摩擦系统0.05-0.20，涂层耐磨面积≤6%，厚度损失≤0.03mm；耐霉菌性能≥99%；抗碘伏、碘酒、酒精、双氧水、硼酸、高锰酸钾、84消毒液腐蚀测试表面无变化。</w:t>
      </w:r>
      <w:r>
        <w:rPr>
          <w:rFonts w:hint="eastAsia" w:ascii="宋体" w:hAnsi="宋体" w:eastAsia="宋体" w:cs="宋体"/>
          <w:b/>
          <w:bCs/>
          <w:color w:val="auto"/>
          <w:spacing w:val="0"/>
          <w:sz w:val="24"/>
          <w:szCs w:val="24"/>
          <w:highlight w:val="none"/>
        </w:rPr>
        <w:t>投标文件中提供具有CMA认证的第三方检测机构出具的检测报告扫描件或复印件。</w:t>
      </w:r>
    </w:p>
    <w:p w14:paraId="3D65B1AA">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eastAsia="zh"/>
        </w:rPr>
        <w:t>有防辐射要求的DSA手术室墙面，采用</w:t>
      </w:r>
      <w:r>
        <w:rPr>
          <w:rFonts w:hint="eastAsia" w:ascii="宋体" w:hAnsi="宋体" w:eastAsia="宋体" w:cs="宋体"/>
          <w:color w:val="auto"/>
          <w:spacing w:val="0"/>
          <w:sz w:val="24"/>
          <w:szCs w:val="24"/>
          <w:highlight w:val="none"/>
          <w:lang w:val="en-US" w:eastAsia="zh"/>
        </w:rPr>
        <w:t>5</w:t>
      </w:r>
      <w:r>
        <w:rPr>
          <w:rFonts w:hint="eastAsia" w:ascii="宋体" w:hAnsi="宋体" w:eastAsia="宋体" w:cs="宋体"/>
          <w:color w:val="auto"/>
          <w:spacing w:val="0"/>
          <w:sz w:val="24"/>
          <w:szCs w:val="24"/>
          <w:highlight w:val="none"/>
          <w:lang w:eastAsia="zh"/>
        </w:rPr>
        <w:t>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
        </w:rPr>
        <w:t>3</w:t>
      </w:r>
      <w:r>
        <w:rPr>
          <w:rFonts w:hint="eastAsia" w:ascii="宋体" w:hAnsi="宋体" w:eastAsia="宋体" w:cs="宋体"/>
          <w:color w:val="auto"/>
          <w:spacing w:val="0"/>
          <w:sz w:val="24"/>
          <w:szCs w:val="24"/>
          <w:highlight w:val="none"/>
          <w:lang w:eastAsia="zh"/>
        </w:rPr>
        <w:t>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eastAsia="zh"/>
        </w:rPr>
        <w:t>1.</w:t>
      </w:r>
      <w:r>
        <w:rPr>
          <w:rFonts w:hint="eastAsia" w:ascii="宋体" w:hAnsi="宋体" w:eastAsia="宋体" w:cs="宋体"/>
          <w:color w:val="auto"/>
          <w:spacing w:val="0"/>
          <w:sz w:val="24"/>
          <w:szCs w:val="24"/>
          <w:highlight w:val="none"/>
          <w:lang w:val="en-US" w:eastAsia="zh"/>
        </w:rPr>
        <w:t>2</w:t>
      </w:r>
      <w:r>
        <w:rPr>
          <w:rFonts w:hint="eastAsia" w:ascii="宋体" w:hAnsi="宋体" w:eastAsia="宋体" w:cs="宋体"/>
          <w:color w:val="auto"/>
          <w:spacing w:val="0"/>
          <w:sz w:val="24"/>
          <w:szCs w:val="24"/>
          <w:highlight w:val="none"/>
          <w:lang w:eastAsia="zh"/>
        </w:rPr>
        <w:t>镀锌</w:t>
      </w:r>
      <w:r>
        <w:rPr>
          <w:rFonts w:hint="eastAsia" w:ascii="宋体" w:hAnsi="宋体" w:eastAsia="宋体" w:cs="宋体"/>
          <w:color w:val="auto"/>
          <w:spacing w:val="0"/>
          <w:sz w:val="24"/>
          <w:szCs w:val="24"/>
          <w:highlight w:val="none"/>
          <w:lang w:val="en-US" w:eastAsia="zh-CN"/>
        </w:rPr>
        <w:t>方</w:t>
      </w:r>
      <w:r>
        <w:rPr>
          <w:rFonts w:hint="eastAsia" w:ascii="宋体" w:hAnsi="宋体" w:eastAsia="宋体" w:cs="宋体"/>
          <w:color w:val="auto"/>
          <w:spacing w:val="0"/>
          <w:sz w:val="24"/>
          <w:szCs w:val="24"/>
          <w:highlight w:val="none"/>
          <w:lang w:eastAsia="zh"/>
        </w:rPr>
        <w:t>管龙骨+4</w:t>
      </w:r>
      <w:r>
        <w:rPr>
          <w:rFonts w:hint="eastAsia" w:ascii="宋体" w:hAnsi="宋体" w:eastAsia="宋体" w:cs="宋体"/>
          <w:color w:val="auto"/>
          <w:spacing w:val="0"/>
          <w:sz w:val="24"/>
          <w:szCs w:val="24"/>
          <w:highlight w:val="none"/>
          <w:lang w:val="en-US" w:eastAsia="zh-CN"/>
        </w:rPr>
        <w:t>pb</w:t>
      </w:r>
      <w:r>
        <w:rPr>
          <w:rFonts w:hint="eastAsia" w:ascii="宋体" w:hAnsi="宋体" w:eastAsia="宋体" w:cs="宋体"/>
          <w:color w:val="auto"/>
          <w:spacing w:val="0"/>
          <w:sz w:val="24"/>
          <w:szCs w:val="24"/>
          <w:highlight w:val="none"/>
          <w:lang w:eastAsia="zh"/>
        </w:rPr>
        <w:t>铅板防护（四面防护），安装高度同本层建筑层高。(具体铅当量参照平面图纸）</w:t>
      </w:r>
    </w:p>
    <w:p w14:paraId="5BD8ABD4">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 xml:space="preserve">4 </w:t>
      </w:r>
      <w:r>
        <w:rPr>
          <w:rFonts w:hint="eastAsia" w:ascii="宋体" w:hAnsi="宋体" w:eastAsia="宋体" w:cs="宋体"/>
          <w:color w:val="auto"/>
          <w:spacing w:val="0"/>
          <w:sz w:val="24"/>
          <w:szCs w:val="24"/>
          <w:highlight w:val="none"/>
          <w:lang w:eastAsia="zh"/>
        </w:rPr>
        <w:t>新增墙体应砌筑到结构梁底板，不留隙缝。新增防火墙满足耐火极限不小于3小时，疏散走道两侧墙耐火极限应为不小于1小时，房间隔墙耐火极限不小于0.75小时。医疗建筑内的手术室、贵重精密医疗装备用房、储藏间、</w:t>
      </w:r>
      <w:r>
        <w:rPr>
          <w:rFonts w:hint="eastAsia" w:ascii="宋体" w:hAnsi="宋体" w:eastAsia="宋体" w:cs="宋体"/>
          <w:color w:val="auto"/>
          <w:spacing w:val="0"/>
          <w:sz w:val="24"/>
          <w:szCs w:val="24"/>
          <w:highlight w:val="none"/>
          <w:lang w:val="en-US" w:eastAsia="zh-CN"/>
        </w:rPr>
        <w:t>等</w:t>
      </w:r>
      <w:r>
        <w:rPr>
          <w:rFonts w:hint="eastAsia" w:ascii="宋体" w:hAnsi="宋体" w:eastAsia="宋体" w:cs="宋体"/>
          <w:color w:val="auto"/>
          <w:spacing w:val="0"/>
          <w:sz w:val="24"/>
          <w:szCs w:val="24"/>
          <w:highlight w:val="none"/>
          <w:lang w:eastAsia="zh"/>
        </w:rPr>
        <w:t>隔墙耐火极限不低于2小时。</w:t>
      </w:r>
    </w:p>
    <w:p w14:paraId="753E8E67">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lang w:eastAsia="zh"/>
        </w:rPr>
        <w:t>轻钢龙骨隔墙要求：</w:t>
      </w:r>
    </w:p>
    <w:p w14:paraId="6193B2D3">
      <w:pPr>
        <w:keepNext w:val="0"/>
        <w:keepLines w:val="0"/>
        <w:pageBreakBefore w:val="0"/>
        <w:widowControl w:val="0"/>
        <w:numPr>
          <w:ilvl w:val="0"/>
          <w:numId w:val="0"/>
        </w:numPr>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kern w:val="2"/>
          <w:sz w:val="24"/>
          <w:szCs w:val="24"/>
          <w:highlight w:val="none"/>
          <w:lang w:val="en-US" w:eastAsia="zh-CN" w:bidi="ar-SA"/>
        </w:rPr>
        <w:t>（1）</w:t>
      </w:r>
      <w:r>
        <w:rPr>
          <w:rFonts w:hint="eastAsia" w:ascii="宋体" w:hAnsi="宋体" w:eastAsia="宋体" w:cs="宋体"/>
          <w:color w:val="auto"/>
          <w:spacing w:val="0"/>
          <w:sz w:val="24"/>
          <w:szCs w:val="24"/>
          <w:highlight w:val="none"/>
          <w:lang w:eastAsia="zh"/>
        </w:rPr>
        <w:t>非土建墙侧1：8mm硅酸钙板+75mm轻钢龙骨（填充岩棉，容重100kg/m³）+8mm硅酸钙板，耐火时间</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eastAsia="zh"/>
        </w:rPr>
        <w:t>.0h，安装高度为</w:t>
      </w:r>
      <w:r>
        <w:rPr>
          <w:rFonts w:hint="eastAsia" w:ascii="宋体" w:hAnsi="宋体" w:eastAsia="宋体" w:cs="宋体"/>
          <w:color w:val="auto"/>
          <w:spacing w:val="0"/>
          <w:sz w:val="24"/>
          <w:szCs w:val="24"/>
          <w:highlight w:val="none"/>
          <w:lang w:val="zh-CN"/>
        </w:rPr>
        <w:t>疏散走廊二侧墙高度到楼板底部，房间隔墙高度为吊顶高度</w:t>
      </w:r>
      <w:r>
        <w:rPr>
          <w:rFonts w:hint="eastAsia" w:ascii="宋体" w:hAnsi="宋体" w:eastAsia="宋体" w:cs="宋体"/>
          <w:color w:val="auto"/>
          <w:spacing w:val="0"/>
          <w:sz w:val="24"/>
          <w:szCs w:val="24"/>
          <w:highlight w:val="none"/>
          <w:lang w:val="en-US" w:eastAsia="zh-CN"/>
        </w:rPr>
        <w:t>+200</w:t>
      </w:r>
      <w:r>
        <w:rPr>
          <w:rFonts w:hint="eastAsia" w:ascii="宋体" w:hAnsi="宋体" w:eastAsia="宋体" w:cs="宋体"/>
          <w:color w:val="auto"/>
          <w:spacing w:val="0"/>
          <w:sz w:val="24"/>
          <w:szCs w:val="24"/>
          <w:highlight w:val="none"/>
          <w:lang w:eastAsia="zh"/>
        </w:rPr>
        <w:t>。</w:t>
      </w:r>
    </w:p>
    <w:p w14:paraId="3F9E48D5">
      <w:pPr>
        <w:keepNext w:val="0"/>
        <w:keepLines w:val="0"/>
        <w:pageBreakBefore w:val="0"/>
        <w:widowControl w:val="0"/>
        <w:numPr>
          <w:ilvl w:val="0"/>
          <w:numId w:val="0"/>
        </w:numPr>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kern w:val="2"/>
          <w:sz w:val="24"/>
          <w:szCs w:val="24"/>
          <w:highlight w:val="none"/>
          <w:lang w:val="en-US" w:eastAsia="zh-CN" w:bidi="ar-SA"/>
        </w:rPr>
        <w:t>（2）</w:t>
      </w:r>
      <w:r>
        <w:rPr>
          <w:rFonts w:hint="eastAsia" w:ascii="宋体" w:hAnsi="宋体" w:eastAsia="宋体" w:cs="宋体"/>
          <w:color w:val="auto"/>
          <w:spacing w:val="0"/>
          <w:sz w:val="24"/>
          <w:szCs w:val="24"/>
          <w:highlight w:val="none"/>
          <w:lang w:val="en-US" w:eastAsia="zh-CN"/>
        </w:rPr>
        <w:t>靠</w:t>
      </w:r>
      <w:r>
        <w:rPr>
          <w:rFonts w:hint="eastAsia" w:ascii="宋体" w:hAnsi="宋体" w:eastAsia="宋体" w:cs="宋体"/>
          <w:color w:val="auto"/>
          <w:spacing w:val="0"/>
          <w:sz w:val="24"/>
          <w:szCs w:val="24"/>
          <w:highlight w:val="none"/>
          <w:lang w:eastAsia="zh"/>
        </w:rPr>
        <w:t>土建墙侧2：</w:t>
      </w: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lang w:eastAsia="zh"/>
        </w:rPr>
        <w:t>mm</w:t>
      </w:r>
      <w:r>
        <w:rPr>
          <w:rFonts w:hint="eastAsia" w:ascii="宋体" w:hAnsi="宋体" w:eastAsia="宋体" w:cs="宋体"/>
          <w:color w:val="auto"/>
          <w:spacing w:val="0"/>
          <w:sz w:val="24"/>
          <w:szCs w:val="24"/>
          <w:highlight w:val="none"/>
          <w:lang w:val="en-US" w:eastAsia="zh-CN"/>
        </w:rPr>
        <w:t>硅酸钙板</w:t>
      </w:r>
      <w:r>
        <w:rPr>
          <w:rFonts w:hint="eastAsia" w:ascii="宋体" w:hAnsi="宋体" w:eastAsia="宋体" w:cs="宋体"/>
          <w:color w:val="auto"/>
          <w:spacing w:val="0"/>
          <w:sz w:val="24"/>
          <w:szCs w:val="24"/>
          <w:highlight w:val="none"/>
          <w:lang w:eastAsia="zh"/>
        </w:rPr>
        <w:t>+75型轻钢龙骨+</w:t>
      </w: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lang w:eastAsia="zh"/>
        </w:rPr>
        <w:t>mm</w:t>
      </w:r>
      <w:r>
        <w:rPr>
          <w:rFonts w:hint="eastAsia" w:ascii="宋体" w:hAnsi="宋体" w:eastAsia="宋体" w:cs="宋体"/>
          <w:color w:val="auto"/>
          <w:spacing w:val="0"/>
          <w:sz w:val="24"/>
          <w:szCs w:val="24"/>
          <w:highlight w:val="none"/>
          <w:lang w:val="en-US" w:eastAsia="zh-CN"/>
        </w:rPr>
        <w:t>硅酸钙板</w:t>
      </w:r>
      <w:r>
        <w:rPr>
          <w:rFonts w:hint="eastAsia" w:ascii="宋体" w:hAnsi="宋体" w:eastAsia="宋体" w:cs="宋体"/>
          <w:color w:val="auto"/>
          <w:spacing w:val="0"/>
          <w:sz w:val="24"/>
          <w:szCs w:val="24"/>
          <w:highlight w:val="none"/>
          <w:lang w:eastAsia="zh"/>
        </w:rPr>
        <w:t>，安装高度为</w:t>
      </w:r>
      <w:r>
        <w:rPr>
          <w:rFonts w:hint="eastAsia" w:ascii="宋体" w:hAnsi="宋体" w:eastAsia="宋体" w:cs="宋体"/>
          <w:color w:val="auto"/>
          <w:spacing w:val="0"/>
          <w:sz w:val="24"/>
          <w:szCs w:val="24"/>
          <w:highlight w:val="none"/>
          <w:lang w:val="en-US" w:eastAsia="zh-CN"/>
        </w:rPr>
        <w:t>隔墙高度+200</w:t>
      </w:r>
      <w:r>
        <w:rPr>
          <w:rFonts w:hint="eastAsia" w:ascii="宋体" w:hAnsi="宋体" w:eastAsia="宋体" w:cs="宋体"/>
          <w:color w:val="auto"/>
          <w:spacing w:val="0"/>
          <w:sz w:val="24"/>
          <w:szCs w:val="24"/>
          <w:highlight w:val="none"/>
          <w:lang w:eastAsia="zh"/>
        </w:rPr>
        <w:t>。</w:t>
      </w:r>
    </w:p>
    <w:p w14:paraId="133425A2">
      <w:pPr>
        <w:keepNext w:val="0"/>
        <w:keepLines w:val="0"/>
        <w:pageBreakBefore w:val="0"/>
        <w:widowControl w:val="0"/>
        <w:numPr>
          <w:ilvl w:val="0"/>
          <w:numId w:val="0"/>
        </w:numPr>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eastAsia="zh"/>
        </w:rPr>
        <w:t>非土建墙侧3：8mm硅酸钙板（双层）+75型轻钢龙骨（填充岩棉，容重100kg/m³）+8mm硅酸钙板（双层），耐火时间</w:t>
      </w:r>
      <w:r>
        <w:rPr>
          <w:rFonts w:hint="eastAsia" w:ascii="宋体" w:hAnsi="宋体" w:eastAsia="宋体" w:cs="宋体"/>
          <w:color w:val="auto"/>
          <w:spacing w:val="0"/>
          <w:sz w:val="24"/>
          <w:szCs w:val="24"/>
          <w:highlight w:val="none"/>
          <w:lang w:val="en-US" w:eastAsia="zh-CN"/>
        </w:rPr>
        <w:t>2.0</w:t>
      </w:r>
      <w:r>
        <w:rPr>
          <w:rFonts w:hint="eastAsia" w:ascii="宋体" w:hAnsi="宋体" w:eastAsia="宋体" w:cs="宋体"/>
          <w:color w:val="auto"/>
          <w:spacing w:val="0"/>
          <w:sz w:val="24"/>
          <w:szCs w:val="24"/>
          <w:highlight w:val="none"/>
          <w:lang w:eastAsia="zh"/>
        </w:rPr>
        <w:t>h，安装高度为本层建筑层高。</w:t>
      </w:r>
    </w:p>
    <w:p w14:paraId="6F27015F">
      <w:pPr>
        <w:keepNext w:val="0"/>
        <w:keepLines w:val="0"/>
        <w:pageBreakBefore w:val="0"/>
        <w:widowControl w:val="0"/>
        <w:numPr>
          <w:ilvl w:val="0"/>
          <w:numId w:val="0"/>
        </w:numPr>
        <w:shd w:val="clear"/>
        <w:kinsoku/>
        <w:wordWrap/>
        <w:overflowPunct/>
        <w:topLinePunct w:val="0"/>
        <w:autoSpaceDE/>
        <w:autoSpaceDN/>
        <w:bidi w:val="0"/>
        <w:adjustRightInd/>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kern w:val="2"/>
          <w:sz w:val="24"/>
          <w:szCs w:val="24"/>
          <w:highlight w:val="none"/>
          <w:lang w:val="en-US" w:eastAsia="zh-CN" w:bidi="ar-SA"/>
        </w:rPr>
        <w:t>（4）</w:t>
      </w:r>
      <w:r>
        <w:rPr>
          <w:rFonts w:hint="eastAsia" w:ascii="宋体" w:hAnsi="宋体" w:eastAsia="宋体" w:cs="宋体"/>
          <w:color w:val="auto"/>
          <w:spacing w:val="0"/>
          <w:sz w:val="24"/>
          <w:szCs w:val="24"/>
          <w:highlight w:val="none"/>
          <w:lang w:val="en-US" w:eastAsia="zh-CN"/>
        </w:rPr>
        <w:t>防辐射隔墙</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铅板铆接</w:t>
      </w:r>
      <w:r>
        <w:rPr>
          <w:rFonts w:hint="eastAsia" w:ascii="宋体" w:hAnsi="宋体" w:eastAsia="宋体" w:cs="宋体"/>
          <w:color w:val="auto"/>
          <w:spacing w:val="0"/>
          <w:sz w:val="24"/>
          <w:szCs w:val="24"/>
          <w:highlight w:val="none"/>
          <w:lang w:eastAsia="zh"/>
        </w:rPr>
        <w:t>+钢结构龙骨（</w:t>
      </w: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lang w:eastAsia="zh"/>
        </w:rPr>
        <w:t>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eastAsia="zh"/>
        </w:rPr>
        <w:t>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eastAsia="zh"/>
        </w:rPr>
        <w:t>1.</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
        </w:rPr>
        <w:t>镀锌方管），安装高度为本层建筑层高。</w:t>
      </w:r>
    </w:p>
    <w:p w14:paraId="6E19F632">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lang w:eastAsia="zh"/>
        </w:rPr>
        <w:t>手术部有推车经过墙面安装150</w:t>
      </w:r>
      <w:r>
        <w:rPr>
          <w:rFonts w:hint="eastAsia" w:ascii="宋体" w:hAnsi="宋体" w:eastAsia="宋体" w:cs="宋体"/>
          <w:color w:val="auto"/>
          <w:spacing w:val="0"/>
          <w:sz w:val="24"/>
          <w:szCs w:val="24"/>
          <w:highlight w:val="none"/>
          <w:lang w:val="en-US" w:eastAsia="zh-CN"/>
        </w:rPr>
        <w:t>宽不锈钢</w:t>
      </w:r>
      <w:r>
        <w:rPr>
          <w:rFonts w:hint="eastAsia" w:ascii="宋体" w:hAnsi="宋体" w:eastAsia="宋体" w:cs="宋体"/>
          <w:color w:val="auto"/>
          <w:spacing w:val="0"/>
          <w:sz w:val="24"/>
          <w:szCs w:val="24"/>
          <w:highlight w:val="none"/>
          <w:lang w:eastAsia="zh"/>
        </w:rPr>
        <w:t>防撞带；安装区域详见平面布置图。</w:t>
      </w:r>
    </w:p>
    <w:p w14:paraId="6F04F1DF">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lang w:val="zh-CN"/>
        </w:rPr>
        <w:t>范围内大楼墙、顶、地面变形缝采用1.5mm不锈钢板进行处理，详见变形缝节点。</w:t>
      </w:r>
    </w:p>
    <w:p w14:paraId="6DCA7987">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lang w:eastAsia="zh"/>
        </w:rPr>
        <w:t>墙体的基础部分、承重钢筋混凝土墙体、非承重的外围护墙（特殊说明的除外）、楼梯间隔墙、电梯间隔墙、钢筋混凝土柱不在本范围内。</w:t>
      </w:r>
    </w:p>
    <w:p w14:paraId="5FF0D305">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9</w:t>
      </w:r>
      <w:r>
        <w:rPr>
          <w:rFonts w:hint="eastAsia" w:ascii="宋体" w:hAnsi="宋体" w:eastAsia="宋体" w:cs="宋体"/>
          <w:color w:val="auto"/>
          <w:spacing w:val="0"/>
          <w:sz w:val="24"/>
          <w:szCs w:val="24"/>
          <w:highlight w:val="none"/>
          <w:lang w:val="zh-CN"/>
        </w:rPr>
        <w:t>吊塔、吊桥、无影灯等医疗设备不在专项设计范围，锚栓数量以后期专业设备厂家配合图纸为准，施工单位配合安装。</w:t>
      </w:r>
    </w:p>
    <w:p w14:paraId="4A9E8A2C">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en-US" w:eastAsia="zh-CN"/>
        </w:rPr>
        <w:t>5.2</w:t>
      </w:r>
      <w:r>
        <w:rPr>
          <w:rFonts w:hint="eastAsia" w:ascii="宋体" w:hAnsi="宋体" w:eastAsia="宋体" w:cs="宋体"/>
          <w:color w:val="auto"/>
          <w:spacing w:val="0"/>
          <w:sz w:val="24"/>
          <w:szCs w:val="24"/>
          <w:highlight w:val="none"/>
          <w:lang w:eastAsia="zh"/>
        </w:rPr>
        <w:t>.1</w:t>
      </w:r>
      <w:r>
        <w:rPr>
          <w:rFonts w:hint="eastAsia" w:ascii="宋体" w:hAnsi="宋体" w:eastAsia="宋体" w:cs="宋体"/>
          <w:color w:val="auto"/>
          <w:spacing w:val="0"/>
          <w:sz w:val="24"/>
          <w:szCs w:val="24"/>
          <w:highlight w:val="none"/>
          <w:lang w:val="en-US" w:eastAsia="zh-CN"/>
        </w:rPr>
        <w:t>0</w:t>
      </w:r>
      <w:r>
        <w:rPr>
          <w:rFonts w:hint="eastAsia" w:ascii="宋体" w:hAnsi="宋体" w:eastAsia="宋体" w:cs="宋体"/>
          <w:color w:val="auto"/>
          <w:spacing w:val="0"/>
          <w:sz w:val="24"/>
          <w:szCs w:val="24"/>
          <w:highlight w:val="none"/>
          <w:lang w:val="zh-CN" w:eastAsia="zh"/>
        </w:rPr>
        <w:t>室内装修不得遮挡消防设施标志、疏散指示标志及安全出口，并不得影响消防设施和疏散通道的正常使用；</w:t>
      </w:r>
    </w:p>
    <w:p w14:paraId="4B4DD80E">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en-US" w:eastAsia="zh-CN"/>
        </w:rPr>
        <w:t>5.2.11</w:t>
      </w:r>
      <w:r>
        <w:rPr>
          <w:rFonts w:hint="eastAsia" w:ascii="宋体" w:hAnsi="宋体" w:eastAsia="宋体" w:cs="宋体"/>
          <w:color w:val="auto"/>
          <w:spacing w:val="0"/>
          <w:sz w:val="24"/>
          <w:szCs w:val="24"/>
          <w:highlight w:val="none"/>
          <w:lang w:val="zh-CN" w:eastAsia="zh"/>
        </w:rPr>
        <w:t>建筑内部消火栓箱门不应被装饰物遮掩，消火栓箱门四周的装修材料颜色应与消火栓箱门的颜色有明显区别或在消火栓箱门表面设置发光标志。</w:t>
      </w:r>
    </w:p>
    <w:p w14:paraId="4E4B030F">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en-US" w:eastAsia="zh-CN"/>
        </w:rPr>
        <w:t>5.2.12</w:t>
      </w:r>
      <w:r>
        <w:rPr>
          <w:rFonts w:hint="eastAsia" w:ascii="宋体" w:hAnsi="宋体" w:eastAsia="宋体" w:cs="宋体"/>
          <w:color w:val="auto"/>
          <w:spacing w:val="0"/>
          <w:sz w:val="24"/>
          <w:szCs w:val="24"/>
          <w:highlight w:val="none"/>
          <w:lang w:val="zh-CN" w:eastAsia="zh"/>
        </w:rPr>
        <w:t>建筑内部装修不应擅自减少、改动、拆除、遮挡消防设施、疏散指示标志、安全出口、疏散出口、疏散走道和防火分区、防烟分区等。</w:t>
      </w:r>
    </w:p>
    <w:p w14:paraId="2D270CA9">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2" w:firstLineChars="200"/>
        <w:textAlignment w:val="auto"/>
        <w:rPr>
          <w:rFonts w:hint="eastAsia" w:ascii="宋体" w:hAnsi="宋体" w:eastAsia="宋体" w:cs="宋体"/>
          <w:b/>
          <w:bCs/>
          <w:color w:val="auto"/>
          <w:spacing w:val="0"/>
          <w:sz w:val="24"/>
          <w:szCs w:val="24"/>
          <w:highlight w:val="none"/>
          <w:lang w:eastAsia="zh"/>
        </w:rPr>
      </w:pPr>
      <w:r>
        <w:rPr>
          <w:rFonts w:hint="eastAsia" w:ascii="宋体" w:hAnsi="宋体" w:eastAsia="宋体" w:cs="宋体"/>
          <w:b/>
          <w:bCs/>
          <w:color w:val="auto"/>
          <w:spacing w:val="0"/>
          <w:sz w:val="24"/>
          <w:szCs w:val="24"/>
          <w:highlight w:val="none"/>
          <w:lang w:val="en-US" w:eastAsia="zh-CN"/>
        </w:rPr>
        <w:t>5.3</w:t>
      </w:r>
      <w:r>
        <w:rPr>
          <w:rFonts w:hint="eastAsia" w:ascii="宋体" w:hAnsi="宋体" w:eastAsia="宋体" w:cs="宋体"/>
          <w:b/>
          <w:bCs/>
          <w:color w:val="auto"/>
          <w:spacing w:val="0"/>
          <w:sz w:val="24"/>
          <w:szCs w:val="24"/>
          <w:highlight w:val="none"/>
          <w:lang w:eastAsia="zh"/>
        </w:rPr>
        <w:t>地面</w:t>
      </w:r>
    </w:p>
    <w:p w14:paraId="3B486D03">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5.3</w:t>
      </w:r>
      <w:r>
        <w:rPr>
          <w:rFonts w:hint="eastAsia" w:ascii="宋体" w:hAnsi="宋体" w:eastAsia="宋体" w:cs="宋体"/>
          <w:color w:val="auto"/>
          <w:spacing w:val="0"/>
          <w:sz w:val="24"/>
          <w:szCs w:val="24"/>
          <w:highlight w:val="none"/>
          <w:lang w:eastAsia="zh"/>
        </w:rPr>
        <w:t>.1区域内的铺卷材的地面，在卷材铺装前，均进行3厚自流平找平。</w:t>
      </w:r>
    </w:p>
    <w:p w14:paraId="1673C0F1">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jc w:val="both"/>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5.3</w:t>
      </w:r>
      <w:r>
        <w:rPr>
          <w:rFonts w:hint="eastAsia" w:ascii="宋体" w:hAnsi="宋体" w:eastAsia="宋体" w:cs="宋体"/>
          <w:color w:val="auto"/>
          <w:spacing w:val="0"/>
          <w:sz w:val="24"/>
          <w:szCs w:val="24"/>
          <w:highlight w:val="none"/>
          <w:lang w:eastAsia="zh"/>
        </w:rPr>
        <w:t>.2所有手术室地面面层饰面采用铺贴抗菌型、耐腐蚀、耐污染、耐擦洗、防滑、防尘、防水、耐压、耐磨、静音2.0mm防静电橡胶卷材，踢脚上墙高度100mm；</w:t>
      </w:r>
    </w:p>
    <w:p w14:paraId="0BBE6035">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5.3</w:t>
      </w:r>
      <w:r>
        <w:rPr>
          <w:rFonts w:hint="eastAsia" w:ascii="宋体" w:hAnsi="宋体" w:eastAsia="宋体" w:cs="宋体"/>
          <w:color w:val="auto"/>
          <w:spacing w:val="0"/>
          <w:sz w:val="24"/>
          <w:szCs w:val="24"/>
          <w:highlight w:val="none"/>
          <w:lang w:eastAsia="zh"/>
        </w:rPr>
        <w:t>.3特殊要求手术室</w:t>
      </w:r>
    </w:p>
    <w:p w14:paraId="4D32F3C7">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eastAsia="zh"/>
        </w:rPr>
        <w:t>防辐射地面（</w:t>
      </w:r>
      <w:r>
        <w:rPr>
          <w:rFonts w:hint="eastAsia" w:ascii="宋体" w:hAnsi="宋体" w:eastAsia="宋体" w:cs="宋体"/>
          <w:color w:val="auto"/>
          <w:spacing w:val="0"/>
          <w:sz w:val="24"/>
          <w:szCs w:val="24"/>
          <w:highlight w:val="none"/>
          <w:lang w:val="en-US" w:eastAsia="zh-CN"/>
        </w:rPr>
        <w:t>DSA</w:t>
      </w:r>
      <w:r>
        <w:rPr>
          <w:rFonts w:hint="eastAsia" w:ascii="宋体" w:hAnsi="宋体" w:eastAsia="宋体" w:cs="宋体"/>
          <w:color w:val="auto"/>
          <w:spacing w:val="0"/>
          <w:sz w:val="24"/>
          <w:szCs w:val="24"/>
          <w:highlight w:val="none"/>
          <w:lang w:eastAsia="zh"/>
        </w:rPr>
        <w:t>防辐射手术室）地面基层需浇筑40mm厚硫酸钡水泥，达到射线防护要求，施工区域详见土建配合图。</w:t>
      </w:r>
    </w:p>
    <w:p w14:paraId="7CD92A20">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5.3</w:t>
      </w:r>
      <w:r>
        <w:rPr>
          <w:rFonts w:hint="eastAsia" w:ascii="宋体" w:hAnsi="宋体" w:eastAsia="宋体" w:cs="宋体"/>
          <w:color w:val="auto"/>
          <w:spacing w:val="0"/>
          <w:sz w:val="24"/>
          <w:szCs w:val="24"/>
          <w:highlight w:val="none"/>
          <w:lang w:eastAsia="zh"/>
        </w:rPr>
        <w:t>.4区域内的湿区辅房地面采用防滑地砖，并</w:t>
      </w:r>
      <w:r>
        <w:rPr>
          <w:rFonts w:hint="eastAsia" w:ascii="宋体" w:hAnsi="宋体" w:eastAsia="宋体" w:cs="宋体"/>
          <w:color w:val="auto"/>
          <w:spacing w:val="0"/>
          <w:sz w:val="24"/>
          <w:szCs w:val="24"/>
          <w:highlight w:val="none"/>
          <w:lang w:val="en-US" w:eastAsia="zh-CN"/>
        </w:rPr>
        <w:t>做2</w:t>
      </w:r>
      <w:r>
        <w:rPr>
          <w:rFonts w:hint="eastAsia" w:ascii="宋体" w:hAnsi="宋体" w:eastAsia="宋体" w:cs="宋体"/>
          <w:color w:val="auto"/>
          <w:spacing w:val="0"/>
          <w:sz w:val="24"/>
          <w:szCs w:val="24"/>
          <w:highlight w:val="none"/>
          <w:lang w:val="zh-CN"/>
        </w:rPr>
        <w:t>厚聚氨酯防水层</w:t>
      </w:r>
      <w:r>
        <w:rPr>
          <w:rFonts w:hint="eastAsia" w:ascii="宋体" w:hAnsi="宋体" w:eastAsia="宋体" w:cs="宋体"/>
          <w:color w:val="auto"/>
          <w:spacing w:val="0"/>
          <w:sz w:val="24"/>
          <w:szCs w:val="24"/>
          <w:highlight w:val="none"/>
          <w:lang w:eastAsia="zh"/>
        </w:rPr>
        <w:t>。</w:t>
      </w:r>
    </w:p>
    <w:p w14:paraId="28576B86">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5.3</w:t>
      </w:r>
      <w:r>
        <w:rPr>
          <w:rFonts w:hint="eastAsia" w:ascii="宋体" w:hAnsi="宋体" w:eastAsia="宋体" w:cs="宋体"/>
          <w:color w:val="auto"/>
          <w:spacing w:val="0"/>
          <w:sz w:val="24"/>
          <w:szCs w:val="24"/>
          <w:highlight w:val="none"/>
          <w:lang w:eastAsia="zh"/>
        </w:rPr>
        <w:t>.5区域内的除湿区辅房、</w:t>
      </w:r>
      <w:r>
        <w:rPr>
          <w:rFonts w:hint="eastAsia" w:ascii="宋体" w:hAnsi="宋体" w:eastAsia="宋体" w:cs="宋体"/>
          <w:color w:val="auto"/>
          <w:spacing w:val="0"/>
          <w:sz w:val="24"/>
          <w:szCs w:val="24"/>
          <w:highlight w:val="none"/>
          <w:lang w:val="en-US" w:eastAsia="zh-CN"/>
        </w:rPr>
        <w:t>干</w:t>
      </w:r>
      <w:r>
        <w:rPr>
          <w:rFonts w:hint="eastAsia" w:ascii="宋体" w:hAnsi="宋体" w:eastAsia="宋体" w:cs="宋体"/>
          <w:color w:val="auto"/>
          <w:spacing w:val="0"/>
          <w:sz w:val="24"/>
          <w:szCs w:val="24"/>
          <w:highlight w:val="none"/>
          <w:lang w:eastAsia="zh"/>
        </w:rPr>
        <w:t>区辅房</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eastAsia="zh"/>
        </w:rPr>
        <w:t>手术室</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机房</w:t>
      </w:r>
      <w:r>
        <w:rPr>
          <w:rFonts w:hint="eastAsia" w:ascii="宋体" w:hAnsi="宋体" w:eastAsia="宋体" w:cs="宋体"/>
          <w:color w:val="auto"/>
          <w:spacing w:val="0"/>
          <w:sz w:val="24"/>
          <w:szCs w:val="24"/>
          <w:highlight w:val="none"/>
          <w:lang w:eastAsia="zh"/>
        </w:rPr>
        <w:t>外，其余所有的走廊及辅房地面均采用抗静电2.0厚PVC地板，踢脚线上墙高度100高，辅房及走廊墙面下部的踢脚严禁凸出墙面。</w:t>
      </w:r>
    </w:p>
    <w:p w14:paraId="7D747796">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5.3</w:t>
      </w:r>
      <w:r>
        <w:rPr>
          <w:rFonts w:hint="eastAsia" w:ascii="宋体" w:hAnsi="宋体" w:eastAsia="宋体" w:cs="宋体"/>
          <w:color w:val="auto"/>
          <w:spacing w:val="0"/>
          <w:sz w:val="24"/>
          <w:szCs w:val="24"/>
          <w:highlight w:val="none"/>
          <w:lang w:eastAsia="zh"/>
        </w:rPr>
        <w:t>.6有地漏的房间地面坡向地漏，坡度为</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eastAsia="zh"/>
        </w:rPr>
        <w:t>%，门口处设过门石，装修后地漏面比同室地面低10mm，该房间楼面最高点低于本楼层标高10mm。</w:t>
      </w:r>
    </w:p>
    <w:p w14:paraId="1F7EA189">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2" w:firstLineChars="200"/>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5.4</w:t>
      </w:r>
      <w:r>
        <w:rPr>
          <w:rFonts w:hint="eastAsia" w:ascii="宋体" w:hAnsi="宋体" w:eastAsia="宋体" w:cs="宋体"/>
          <w:b/>
          <w:bCs/>
          <w:color w:val="auto"/>
          <w:spacing w:val="0"/>
          <w:sz w:val="24"/>
          <w:szCs w:val="24"/>
          <w:highlight w:val="none"/>
        </w:rPr>
        <w:t>吊顶：</w:t>
      </w:r>
    </w:p>
    <w:p w14:paraId="4E5001BC">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5.4.1</w:t>
      </w:r>
      <w:r>
        <w:rPr>
          <w:rFonts w:hint="eastAsia" w:ascii="宋体" w:hAnsi="宋体" w:eastAsia="宋体" w:cs="宋体"/>
          <w:color w:val="auto"/>
          <w:spacing w:val="0"/>
          <w:sz w:val="24"/>
          <w:szCs w:val="24"/>
          <w:highlight w:val="none"/>
        </w:rPr>
        <w:t>耐火极限不小于0.</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小时。</w:t>
      </w:r>
    </w:p>
    <w:p w14:paraId="41CA0476">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
        </w:rPr>
        <w:t>手术室吊顶设计高度3.0米，其它区域无特殊说明均按2.6</w:t>
      </w:r>
      <w:r>
        <w:rPr>
          <w:rFonts w:hint="eastAsia" w:ascii="宋体" w:hAnsi="宋体" w:eastAsia="宋体" w:cs="宋体"/>
          <w:color w:val="auto"/>
          <w:spacing w:val="0"/>
          <w:sz w:val="24"/>
          <w:szCs w:val="24"/>
          <w:highlight w:val="none"/>
          <w:lang w:val="en-US" w:eastAsia="zh-CN"/>
        </w:rPr>
        <w:t>/2.8</w:t>
      </w:r>
      <w:r>
        <w:rPr>
          <w:rFonts w:hint="eastAsia" w:ascii="宋体" w:hAnsi="宋体" w:eastAsia="宋体" w:cs="宋体"/>
          <w:color w:val="auto"/>
          <w:spacing w:val="0"/>
          <w:sz w:val="24"/>
          <w:szCs w:val="24"/>
          <w:highlight w:val="none"/>
          <w:lang w:eastAsia="zh"/>
        </w:rPr>
        <w:t>米考虑。</w:t>
      </w:r>
    </w:p>
    <w:p w14:paraId="62831DD5">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w:t>
      </w:r>
      <w:r>
        <w:rPr>
          <w:rFonts w:hint="eastAsia" w:ascii="宋体" w:hAnsi="宋体" w:eastAsia="宋体" w:cs="宋体"/>
          <w:color w:val="auto"/>
          <w:spacing w:val="0"/>
          <w:sz w:val="24"/>
          <w:szCs w:val="24"/>
          <w:highlight w:val="none"/>
          <w:lang w:eastAsia="zh"/>
        </w:rPr>
        <w:t>3手术室吊顶均采用均采用1.2mm厚电解钢板（内衬</w:t>
      </w:r>
      <w:r>
        <w:rPr>
          <w:rFonts w:hint="eastAsia" w:ascii="宋体" w:hAnsi="宋体" w:eastAsia="宋体" w:cs="宋体"/>
          <w:color w:val="auto"/>
          <w:spacing w:val="0"/>
          <w:sz w:val="24"/>
          <w:szCs w:val="24"/>
          <w:highlight w:val="none"/>
          <w:lang w:val="en-US" w:eastAsia="zh-CN"/>
        </w:rPr>
        <w:t>9.5</w:t>
      </w:r>
      <w:r>
        <w:rPr>
          <w:rFonts w:hint="eastAsia" w:ascii="宋体" w:hAnsi="宋体" w:eastAsia="宋体" w:cs="宋体"/>
          <w:color w:val="auto"/>
          <w:spacing w:val="0"/>
          <w:sz w:val="24"/>
          <w:szCs w:val="24"/>
          <w:highlight w:val="none"/>
          <w:lang w:eastAsia="zh"/>
        </w:rPr>
        <w:t>mm</w:t>
      </w:r>
      <w:r>
        <w:rPr>
          <w:rFonts w:hint="eastAsia" w:ascii="宋体" w:hAnsi="宋体" w:eastAsia="宋体" w:cs="宋体"/>
          <w:color w:val="auto"/>
          <w:spacing w:val="0"/>
          <w:sz w:val="24"/>
          <w:szCs w:val="24"/>
          <w:highlight w:val="none"/>
          <w:lang w:val="en-US" w:eastAsia="zh-CN"/>
        </w:rPr>
        <w:t>耐火纸面石膏板</w:t>
      </w:r>
      <w:r>
        <w:rPr>
          <w:rFonts w:hint="eastAsia" w:ascii="宋体" w:hAnsi="宋体" w:eastAsia="宋体" w:cs="宋体"/>
          <w:color w:val="auto"/>
          <w:spacing w:val="0"/>
          <w:sz w:val="24"/>
          <w:szCs w:val="24"/>
          <w:highlight w:val="none"/>
          <w:lang w:eastAsia="zh"/>
        </w:rPr>
        <w:t>），模块化安装，防锈、耐冲击、耐擦洗、耐酸碱、不变色、隔音保温的，墙板表面严禁现场喷涂，板间拼缝采用环保型耐候胶进行密封处理。墙面与吊顶衔接处采用半径300的大圆弧形过渡。</w:t>
      </w:r>
    </w:p>
    <w:p w14:paraId="2E6074F0">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5.4.4</w:t>
      </w:r>
      <w:r>
        <w:rPr>
          <w:rFonts w:hint="eastAsia" w:ascii="宋体" w:hAnsi="宋体" w:eastAsia="宋体" w:cs="宋体"/>
          <w:color w:val="auto"/>
          <w:spacing w:val="0"/>
          <w:sz w:val="24"/>
          <w:szCs w:val="24"/>
          <w:highlight w:val="none"/>
          <w:lang w:eastAsia="zh"/>
        </w:rPr>
        <w:t>有防辐射要求的DSA手术室顶面，采用4.0mm铅板</w:t>
      </w:r>
      <w:r>
        <w:rPr>
          <w:rFonts w:hint="eastAsia" w:ascii="宋体" w:hAnsi="宋体" w:eastAsia="宋体" w:cs="宋体"/>
          <w:color w:val="auto"/>
          <w:spacing w:val="0"/>
          <w:sz w:val="24"/>
          <w:szCs w:val="24"/>
          <w:highlight w:val="none"/>
          <w:lang w:val="en-US" w:eastAsia="zh-CN"/>
        </w:rPr>
        <w:t>固定在楼板上</w:t>
      </w:r>
      <w:r>
        <w:rPr>
          <w:rFonts w:hint="eastAsia" w:ascii="宋体" w:hAnsi="宋体" w:eastAsia="宋体" w:cs="宋体"/>
          <w:color w:val="auto"/>
          <w:spacing w:val="0"/>
          <w:sz w:val="24"/>
          <w:szCs w:val="24"/>
          <w:highlight w:val="none"/>
          <w:lang w:eastAsia="zh"/>
        </w:rPr>
        <w:t>防护。</w:t>
      </w:r>
    </w:p>
    <w:p w14:paraId="6CBD672A">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5.4.5</w:t>
      </w:r>
      <w:r>
        <w:rPr>
          <w:rFonts w:hint="eastAsia" w:ascii="宋体" w:hAnsi="宋体" w:eastAsia="宋体" w:cs="宋体"/>
          <w:color w:val="auto"/>
          <w:spacing w:val="0"/>
          <w:sz w:val="24"/>
          <w:szCs w:val="24"/>
          <w:highlight w:val="none"/>
          <w:lang w:eastAsia="zh"/>
        </w:rPr>
        <w:t>除手术室、湿区辅房走廊外，其它功能区域吊顶均采用可上人轻钢龙骨+6mm硅酸钙板+</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lang w:eastAsia="zh"/>
        </w:rPr>
        <w:t>mm</w:t>
      </w:r>
      <w:r>
        <w:rPr>
          <w:rFonts w:hint="eastAsia" w:ascii="宋体" w:hAnsi="宋体" w:eastAsia="宋体" w:cs="宋体"/>
          <w:color w:val="auto"/>
          <w:spacing w:val="0"/>
          <w:sz w:val="24"/>
          <w:szCs w:val="24"/>
          <w:highlight w:val="none"/>
          <w:lang w:val="en-US" w:eastAsia="zh-CN"/>
        </w:rPr>
        <w:t>抗菌医疗板</w:t>
      </w:r>
      <w:r>
        <w:rPr>
          <w:rFonts w:hint="eastAsia" w:ascii="宋体" w:hAnsi="宋体" w:eastAsia="宋体" w:cs="宋体"/>
          <w:color w:val="auto"/>
          <w:spacing w:val="0"/>
          <w:sz w:val="24"/>
          <w:szCs w:val="24"/>
          <w:highlight w:val="none"/>
          <w:lang w:eastAsia="zh"/>
        </w:rPr>
        <w:t>，颜色可选，板间拼缝采用结缝胶密封。</w:t>
      </w:r>
    </w:p>
    <w:p w14:paraId="1065A7BD">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5.4.6</w:t>
      </w:r>
      <w:r>
        <w:rPr>
          <w:rFonts w:hint="eastAsia" w:ascii="宋体" w:hAnsi="宋体" w:eastAsia="宋体" w:cs="宋体"/>
          <w:color w:val="auto"/>
          <w:spacing w:val="0"/>
          <w:sz w:val="24"/>
          <w:szCs w:val="24"/>
          <w:highlight w:val="none"/>
          <w:lang w:eastAsia="zh"/>
        </w:rPr>
        <w:t>湿区辅助用房的吊顶均采用</w:t>
      </w:r>
      <w:r>
        <w:rPr>
          <w:rFonts w:hint="eastAsia" w:ascii="宋体" w:hAnsi="宋体" w:eastAsia="宋体" w:cs="宋体"/>
          <w:color w:val="auto"/>
          <w:spacing w:val="0"/>
          <w:sz w:val="24"/>
          <w:szCs w:val="24"/>
          <w:highlight w:val="none"/>
          <w:lang w:val="zh-CN"/>
        </w:rPr>
        <w:t>铝合金扣板专用龙骨</w:t>
      </w:r>
      <w:r>
        <w:rPr>
          <w:rFonts w:hint="eastAsia" w:ascii="宋体" w:hAnsi="宋体" w:eastAsia="宋体" w:cs="宋体"/>
          <w:color w:val="auto"/>
          <w:spacing w:val="0"/>
          <w:sz w:val="24"/>
          <w:szCs w:val="24"/>
          <w:highlight w:val="none"/>
          <w:lang w:eastAsia="zh"/>
        </w:rPr>
        <w:t>+</w:t>
      </w:r>
      <w:r>
        <w:rPr>
          <w:rFonts w:hint="eastAsia" w:ascii="宋体" w:hAnsi="宋体" w:eastAsia="宋体" w:cs="宋体"/>
          <w:color w:val="auto"/>
          <w:spacing w:val="0"/>
          <w:sz w:val="24"/>
          <w:szCs w:val="24"/>
          <w:highlight w:val="none"/>
          <w:lang w:val="en-US" w:eastAsia="zh-CN"/>
        </w:rPr>
        <w:t>0.8厚</w:t>
      </w:r>
      <w:r>
        <w:rPr>
          <w:rFonts w:hint="eastAsia" w:ascii="宋体" w:hAnsi="宋体" w:eastAsia="宋体" w:cs="宋体"/>
          <w:color w:val="auto"/>
          <w:spacing w:val="0"/>
          <w:sz w:val="24"/>
          <w:szCs w:val="24"/>
          <w:highlight w:val="none"/>
          <w:lang w:eastAsia="zh"/>
        </w:rPr>
        <w:t>优质铝扣板吊顶（规格详见吊顶分割图）</w:t>
      </w:r>
    </w:p>
    <w:p w14:paraId="21A8BB19">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5.4.7</w:t>
      </w:r>
      <w:r>
        <w:rPr>
          <w:rFonts w:hint="eastAsia" w:ascii="宋体" w:hAnsi="宋体" w:eastAsia="宋体" w:cs="宋体"/>
          <w:color w:val="auto"/>
          <w:spacing w:val="0"/>
          <w:sz w:val="24"/>
          <w:szCs w:val="24"/>
          <w:highlight w:val="none"/>
          <w:lang w:eastAsia="zh"/>
        </w:rPr>
        <w:t>轻钢龙骨吊顶及配件：本工程吊顶龙骨采用U60系上人轻钢龙骨系列配套。吊筋为∅8钢筋吊杆。主龙骨间距小于1</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
        </w:rPr>
        <w:t>00mm范围内，吊点间距小于</w:t>
      </w: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eastAsia="zh"/>
        </w:rPr>
        <w:t>00mm范围。</w:t>
      </w:r>
    </w:p>
    <w:p w14:paraId="6609F7A8">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5.4.8</w:t>
      </w:r>
      <w:r>
        <w:rPr>
          <w:rFonts w:hint="eastAsia" w:ascii="宋体" w:hAnsi="宋体" w:eastAsia="宋体" w:cs="宋体"/>
          <w:color w:val="auto"/>
          <w:spacing w:val="0"/>
          <w:sz w:val="24"/>
          <w:szCs w:val="24"/>
          <w:highlight w:val="none"/>
          <w:lang w:eastAsia="zh"/>
        </w:rPr>
        <w:t>吊顶应预留规格为600mmx600mm</w:t>
      </w:r>
      <w:r>
        <w:rPr>
          <w:rFonts w:hint="eastAsia" w:ascii="宋体" w:hAnsi="宋体" w:eastAsia="宋体" w:cs="宋体"/>
          <w:color w:val="auto"/>
          <w:spacing w:val="0"/>
          <w:sz w:val="24"/>
          <w:szCs w:val="24"/>
          <w:highlight w:val="none"/>
          <w:lang w:val="en-US" w:eastAsia="zh-CN"/>
        </w:rPr>
        <w:t>/450mm</w:t>
      </w:r>
      <w:r>
        <w:rPr>
          <w:rFonts w:hint="eastAsia" w:ascii="宋体" w:hAnsi="宋体" w:eastAsia="宋体" w:cs="宋体"/>
          <w:color w:val="auto"/>
          <w:spacing w:val="0"/>
          <w:sz w:val="24"/>
          <w:szCs w:val="24"/>
          <w:highlight w:val="none"/>
          <w:lang w:eastAsia="zh"/>
        </w:rPr>
        <w:t>x</w:t>
      </w:r>
      <w:r>
        <w:rPr>
          <w:rFonts w:hint="eastAsia" w:ascii="宋体" w:hAnsi="宋体" w:eastAsia="宋体" w:cs="宋体"/>
          <w:color w:val="auto"/>
          <w:spacing w:val="0"/>
          <w:sz w:val="24"/>
          <w:szCs w:val="24"/>
          <w:highlight w:val="none"/>
          <w:lang w:val="en-US" w:eastAsia="zh-CN"/>
        </w:rPr>
        <w:t>450mm</w:t>
      </w:r>
      <w:r>
        <w:rPr>
          <w:rFonts w:hint="eastAsia" w:ascii="宋体" w:hAnsi="宋体" w:eastAsia="宋体" w:cs="宋体"/>
          <w:color w:val="auto"/>
          <w:spacing w:val="0"/>
          <w:sz w:val="24"/>
          <w:szCs w:val="24"/>
          <w:highlight w:val="none"/>
          <w:lang w:eastAsia="zh"/>
        </w:rPr>
        <w:t>气密封检修孔，当吊顶为模数板时，检修孔尺寸与模数板规格一致。用于手术室室内的检修口需设置在手术室外走廊，检修口表面喷涂颜色需与饰面材料保持一致。另空调检修口位置均须设在冷凝水管与风机接口侧。</w:t>
      </w:r>
    </w:p>
    <w:p w14:paraId="2DE1B555">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5.4.9</w:t>
      </w:r>
      <w:r>
        <w:rPr>
          <w:rFonts w:hint="eastAsia" w:ascii="宋体" w:hAnsi="宋体" w:eastAsia="宋体" w:cs="宋体"/>
          <w:color w:val="auto"/>
          <w:spacing w:val="0"/>
          <w:sz w:val="24"/>
          <w:szCs w:val="24"/>
          <w:highlight w:val="none"/>
          <w:lang w:eastAsia="zh"/>
        </w:rPr>
        <w:t>所有吊顶的房间，灯具、风口的规格及安装位置，应根据不同板材的规格和排列，并结合各专业图纸予以确定。吊顶为上人型吊顶，吊顶及吊挂件必须牢固，能上人维修。</w:t>
      </w:r>
    </w:p>
    <w:p w14:paraId="229028E9">
      <w:pPr>
        <w:pageBreakBefore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textAlignment w:val="auto"/>
        <w:rPr>
          <w:rFonts w:hint="eastAsia" w:ascii="宋体" w:hAnsi="宋体" w:eastAsia="宋体" w:cs="宋体"/>
          <w:color w:val="auto"/>
          <w:spacing w:val="0"/>
          <w:sz w:val="24"/>
          <w:szCs w:val="24"/>
          <w:highlight w:val="none"/>
          <w:lang w:eastAsia="zh"/>
        </w:rPr>
      </w:pPr>
      <w:r>
        <w:rPr>
          <w:rFonts w:hint="eastAsia" w:ascii="宋体" w:hAnsi="宋体" w:eastAsia="宋体" w:cs="宋体"/>
          <w:color w:val="auto"/>
          <w:spacing w:val="0"/>
          <w:sz w:val="24"/>
          <w:szCs w:val="24"/>
          <w:highlight w:val="none"/>
          <w:lang w:val="en-US" w:eastAsia="zh-CN"/>
        </w:rPr>
        <w:t>5.4.10</w:t>
      </w:r>
      <w:r>
        <w:rPr>
          <w:rFonts w:hint="eastAsia" w:ascii="宋体" w:hAnsi="宋体" w:eastAsia="宋体" w:cs="宋体"/>
          <w:color w:val="auto"/>
          <w:spacing w:val="0"/>
          <w:sz w:val="24"/>
          <w:szCs w:val="24"/>
          <w:highlight w:val="none"/>
          <w:lang w:val="zh-CN"/>
        </w:rPr>
        <w:t>吊杆长度＞1.5m时需设置反支撑，吊杆长度＞2.5m时需设置钢结构转换层。当吊杆与管道等设备相遇、吊顶造型复杂或内部空间较高时，应调节、增设吊杆或增加钢结构转换层。吊杆不得直接吊挂在设备或设备的支架上。吊杆、反支撑及钢结构转换层与主体钢结构的连接方式必须经主体钢结构设计单位审核批准后方可实施。</w:t>
      </w:r>
    </w:p>
    <w:p w14:paraId="7D934D50">
      <w:pPr>
        <w:pStyle w:val="21"/>
        <w:pageBreakBefore w:val="0"/>
        <w:numPr>
          <w:ilvl w:val="0"/>
          <w:numId w:val="0"/>
        </w:numPr>
        <w:shd w:val="clear"/>
        <w:kinsoku/>
        <w:wordWrap/>
        <w:overflowPunct/>
        <w:topLinePunct w:val="0"/>
        <w:autoSpaceDE/>
        <w:autoSpaceDN/>
        <w:bidi w:val="0"/>
        <w:adjustRightInd w:val="0"/>
        <w:snapToGrid w:val="0"/>
        <w:spacing w:before="0" w:afterLines="0" w:line="300" w:lineRule="auto"/>
        <w:ind w:left="0" w:leftChars="0" w:firstLine="482" w:firstLineChars="200"/>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5.5</w:t>
      </w:r>
      <w:r>
        <w:rPr>
          <w:rFonts w:hint="eastAsia" w:ascii="宋体" w:hAnsi="宋体" w:eastAsia="宋体" w:cs="宋体"/>
          <w:b/>
          <w:bCs/>
          <w:color w:val="auto"/>
          <w:spacing w:val="0"/>
          <w:sz w:val="24"/>
          <w:szCs w:val="24"/>
          <w:highlight w:val="none"/>
        </w:rPr>
        <w:t>门窗装饰工程选材详细说明</w:t>
      </w:r>
    </w:p>
    <w:p w14:paraId="0523464A">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en-US" w:eastAsia="zh-CN"/>
        </w:rPr>
        <w:t>5.5.1</w:t>
      </w:r>
      <w:r>
        <w:rPr>
          <w:rFonts w:hint="eastAsia" w:ascii="宋体" w:hAnsi="宋体" w:eastAsia="宋体" w:cs="宋体"/>
          <w:color w:val="auto"/>
          <w:spacing w:val="0"/>
          <w:sz w:val="24"/>
          <w:szCs w:val="24"/>
          <w:highlight w:val="none"/>
          <w:lang w:val="zh-CN" w:eastAsia="zh"/>
        </w:rPr>
        <w:t>医用气密电动门</w:t>
      </w:r>
    </w:p>
    <w:p w14:paraId="10AF0481">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光控感应电动门：采用脚感应装置、有全开、半开功能，带延时关闭功能，配备安全光线，具有应急手动开门功能，防夹。采用外挂式安装。手术室门上方配有“手术中”指示灯。具有射线要求的手术室配有“射线中”指示灯。</w:t>
      </w:r>
    </w:p>
    <w:p w14:paraId="4C3CE06D">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带消防联动功能：断电时手动开启；火灾时自动开启，并处于能开启状态，具有信号反馈功能。门上醒目位置有使用说明标识。</w:t>
      </w:r>
    </w:p>
    <w:p w14:paraId="6F56D53D">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所有房间尺寸有误差的，装修时按现场尺寸进行具体调整。本工程中门要求选用成品门及成品门套即均由专业厂家定做。门规格详本图提供的门配置表，由于门的规格特殊，在加工及安装时应重点注意。</w:t>
      </w:r>
    </w:p>
    <w:p w14:paraId="508AB23D">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en-US" w:eastAsia="zh-CN"/>
        </w:rPr>
        <w:t>5.5.</w:t>
      </w:r>
      <w:r>
        <w:rPr>
          <w:rFonts w:hint="eastAsia" w:ascii="宋体" w:hAnsi="宋体" w:eastAsia="宋体" w:cs="宋体"/>
          <w:color w:val="auto"/>
          <w:spacing w:val="0"/>
          <w:sz w:val="24"/>
          <w:szCs w:val="24"/>
          <w:highlight w:val="none"/>
          <w:lang w:val="zh-CN" w:eastAsia="zh"/>
        </w:rPr>
        <w:t>2钢质洁净门</w:t>
      </w:r>
    </w:p>
    <w:p w14:paraId="70BEC120">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val="zh-CN" w:eastAsia="zh"/>
        </w:rPr>
        <w:t>）门板：采用成品钢质门，表面静电喷涂。</w:t>
      </w:r>
    </w:p>
    <w:p w14:paraId="5F372AD9">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val="zh-CN" w:eastAsia="zh"/>
        </w:rPr>
        <w:t>）门框：门框均为铝合金门框，门框宽度与墙体配套。</w:t>
      </w:r>
    </w:p>
    <w:p w14:paraId="0FC538A7">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val="zh-CN" w:eastAsia="zh"/>
        </w:rPr>
        <w:t>）视窗：双层5厚中空钢化玻璃，满足防火要求。</w:t>
      </w:r>
    </w:p>
    <w:p w14:paraId="60B3B682">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val="zh-CN" w:eastAsia="zh"/>
        </w:rPr>
        <w:t>）附件：配套五金件、门锁、执手、闭门器，电子锁部位加补强板，带密封条和可调节扫地条。</w:t>
      </w:r>
    </w:p>
    <w:p w14:paraId="39EE32E1">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en-US" w:eastAsia="zh-CN"/>
        </w:rPr>
        <w:t>5.5.</w:t>
      </w:r>
      <w:r>
        <w:rPr>
          <w:rFonts w:hint="eastAsia" w:ascii="宋体" w:hAnsi="宋体" w:eastAsia="宋体" w:cs="宋体"/>
          <w:color w:val="auto"/>
          <w:spacing w:val="0"/>
          <w:sz w:val="24"/>
          <w:szCs w:val="24"/>
          <w:highlight w:val="none"/>
          <w:lang w:val="zh-CN" w:eastAsia="zh"/>
        </w:rPr>
        <w:t>3观察窗</w:t>
      </w:r>
    </w:p>
    <w:p w14:paraId="65D4C4CF">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val="zh-CN" w:eastAsia="zh"/>
        </w:rPr>
        <w:t>）玻璃：采用10mm钢化玻璃。</w:t>
      </w:r>
    </w:p>
    <w:p w14:paraId="590D114E">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val="zh-CN" w:eastAsia="zh"/>
        </w:rPr>
        <w:t>）窗框：1.2mm不锈钢窗框。</w:t>
      </w:r>
    </w:p>
    <w:p w14:paraId="39CCE760">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val="zh-CN" w:eastAsia="zh"/>
        </w:rPr>
        <w:t>）安装：图中所有观察窗、透视窗除特别说明的外，其余安装高度均为窗台下沿距地900mm，上沿齐平门套顶端。</w:t>
      </w:r>
    </w:p>
    <w:p w14:paraId="25750198">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val="zh-CN" w:eastAsia="zh"/>
        </w:rPr>
        <w:t>）疏散走廊侧玻璃为乙级防火玻璃，耐火极限≥1h。</w:t>
      </w:r>
    </w:p>
    <w:p w14:paraId="4D75BF80">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en-US" w:eastAsia="zh-CN"/>
        </w:rPr>
        <w:t>5.5.</w:t>
      </w:r>
      <w:r>
        <w:rPr>
          <w:rFonts w:hint="eastAsia" w:ascii="宋体" w:hAnsi="宋体" w:eastAsia="宋体" w:cs="宋体"/>
          <w:color w:val="auto"/>
          <w:spacing w:val="0"/>
          <w:sz w:val="24"/>
          <w:szCs w:val="24"/>
          <w:highlight w:val="none"/>
          <w:lang w:val="zh-CN" w:eastAsia="zh"/>
        </w:rPr>
        <w:t>4传递箱：箱式传递，采用外烤漆内不锈钢材质，具有电子或机械互锁功能，配备紫外线灭菌灯，除特殊说明外传递窗安装高度底高度为900mm。</w:t>
      </w:r>
    </w:p>
    <w:p w14:paraId="26C6C70E">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en-US" w:eastAsia="zh-CN"/>
        </w:rPr>
        <w:t>5.5.</w:t>
      </w:r>
      <w:r>
        <w:rPr>
          <w:rFonts w:hint="eastAsia" w:ascii="宋体" w:hAnsi="宋体" w:eastAsia="宋体" w:cs="宋体"/>
          <w:color w:val="auto"/>
          <w:spacing w:val="0"/>
          <w:sz w:val="24"/>
          <w:szCs w:val="24"/>
          <w:highlight w:val="none"/>
          <w:lang w:val="zh-CN" w:eastAsia="zh"/>
        </w:rPr>
        <w:t>5防火门</w:t>
      </w:r>
    </w:p>
    <w:p w14:paraId="623D2202">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val="zh-CN" w:eastAsia="zh"/>
        </w:rPr>
        <w:t>）防火门应符合现行国家标准《防火门》GB12955规定，考虑土建施工误差，本设计有关其洞口尺寸（详门表）仅供参考，其定货、制作应以现场实际尺寸为准。</w:t>
      </w:r>
    </w:p>
    <w:p w14:paraId="2CA54B60">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val="zh-CN" w:eastAsia="zh"/>
        </w:rPr>
        <w:t>）疏散走道在防火分区处均设置常开甲级防火门，火灾时能自动关闭并起到挡火阻烟的作用；除允许设置常开防火门的位置外，其他位置的防火门均采用常闭防火门。常开防火门应在火灾时自行关闭，常闭防火门在其明显位置设置“保持防火门关闭”等提示标识。</w:t>
      </w:r>
    </w:p>
    <w:p w14:paraId="690E58C0">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val="zh-CN" w:eastAsia="zh"/>
        </w:rPr>
        <w:t>）除管井检修门外，所有防火门均应安装金属闭门器，使其具有自行关闭功能。双扇和多扇防火门，还应具有按顺序关闭的功能。</w:t>
      </w:r>
    </w:p>
    <w:p w14:paraId="19D50FD8">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val="zh-CN" w:eastAsia="zh"/>
        </w:rPr>
        <w:t>）防火门应能在其内外两侧手动开启，防火门关闭后应具有防烟功能。</w:t>
      </w:r>
    </w:p>
    <w:p w14:paraId="335C7672">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lang w:val="zh-CN" w:eastAsia="zh"/>
        </w:rPr>
        <w:t>）人员密集场所内平时需要控制人员随意出入的疏散门和设置门禁系统的建筑外门，应保证火灾时不需使用钥匙等任何工具即能从内部易于打开，并应在显著位置设置具有使用提示的标识。</w:t>
      </w:r>
    </w:p>
    <w:p w14:paraId="1D400243">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lang w:val="zh-CN" w:eastAsia="zh"/>
        </w:rPr>
        <w:t>）防火门兼消防联动门：管理需要平时控制人员出入或者设置门禁的门，平时和火灾时均为关闭状态，火灾时能开启并具有信号反馈功能，断电时能手动开启；但常开防火门不能设置门禁。</w:t>
      </w:r>
    </w:p>
    <w:p w14:paraId="6448CF9F">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lang w:val="zh-CN" w:eastAsia="zh"/>
        </w:rPr>
        <w:t>）常开防火门：设置在经常有人通行处的门宜采用常开防火门，平时处于常开状态，火灾时能自动关闭，并具有信号反馈功能。</w:t>
      </w:r>
    </w:p>
    <w:p w14:paraId="61C62E9F">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lang w:val="zh-CN" w:eastAsia="zh"/>
        </w:rPr>
        <w:t>）应急门：因洁净要求或管理需要，平时处于关闭状态，火灾时能自动开启，并具有信号反馈功能。图中备注“应急门/消防联动”。</w:t>
      </w:r>
    </w:p>
    <w:p w14:paraId="48BB860C">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9</w:t>
      </w:r>
      <w:r>
        <w:rPr>
          <w:rFonts w:hint="eastAsia" w:ascii="宋体" w:hAnsi="宋体" w:eastAsia="宋体" w:cs="宋体"/>
          <w:color w:val="auto"/>
          <w:spacing w:val="0"/>
          <w:sz w:val="24"/>
          <w:szCs w:val="24"/>
          <w:highlight w:val="none"/>
          <w:lang w:val="zh-CN" w:eastAsia="zh"/>
        </w:rPr>
        <w:t>）当位于防火分区通道上的甲级防火门时应为常开防火门（强条）；如果需要设置门禁应另外再增设消防联动门。图中备注“常开”，用在防火分区处。</w:t>
      </w:r>
    </w:p>
    <w:p w14:paraId="7A4377B0">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lang w:val="zh-CN" w:eastAsia="zh"/>
        </w:rPr>
        <w:t>）防火窗应符合现行国家标准《防火窗》GB16809的规定，应采用不可开启窗扇或火灾时能自行关闭。</w:t>
      </w:r>
    </w:p>
    <w:p w14:paraId="7FA6209A">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eastAsia="zh"/>
        </w:rPr>
      </w:pPr>
      <w:r>
        <w:rPr>
          <w:rFonts w:hint="eastAsia" w:ascii="宋体" w:hAnsi="宋体" w:eastAsia="宋体" w:cs="宋体"/>
          <w:color w:val="auto"/>
          <w:spacing w:val="0"/>
          <w:sz w:val="24"/>
          <w:szCs w:val="24"/>
          <w:highlight w:val="none"/>
          <w:lang w:val="zh-CN" w:eastAsia="zh"/>
        </w:rPr>
        <w:t>（</w:t>
      </w:r>
      <w:r>
        <w:rPr>
          <w:rFonts w:hint="eastAsia" w:ascii="宋体" w:hAnsi="宋体" w:eastAsia="宋体" w:cs="宋体"/>
          <w:color w:val="auto"/>
          <w:spacing w:val="0"/>
          <w:sz w:val="24"/>
          <w:szCs w:val="24"/>
          <w:highlight w:val="none"/>
          <w:lang w:val="en-US" w:eastAsia="zh-CN"/>
        </w:rPr>
        <w:t>11</w:t>
      </w:r>
      <w:r>
        <w:rPr>
          <w:rFonts w:hint="eastAsia" w:ascii="宋体" w:hAnsi="宋体" w:eastAsia="宋体" w:cs="宋体"/>
          <w:color w:val="auto"/>
          <w:spacing w:val="0"/>
          <w:sz w:val="24"/>
          <w:szCs w:val="24"/>
          <w:highlight w:val="none"/>
          <w:lang w:val="zh-CN" w:eastAsia="zh"/>
        </w:rPr>
        <w:t>）防火门应设闭门器，双扇平开防火门安装闭门器和顺序器。凡设置气体灭火的房间，其门窗应能根据控制信号自行关闭。</w:t>
      </w:r>
    </w:p>
    <w:p w14:paraId="3DA0E893">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2" w:firstLineChars="200"/>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5.6</w:t>
      </w:r>
      <w:r>
        <w:rPr>
          <w:rFonts w:hint="eastAsia" w:ascii="宋体" w:hAnsi="宋体" w:eastAsia="宋体" w:cs="宋体"/>
          <w:b/>
          <w:bCs/>
          <w:color w:val="auto"/>
          <w:spacing w:val="0"/>
          <w:sz w:val="24"/>
          <w:szCs w:val="24"/>
          <w:highlight w:val="none"/>
        </w:rPr>
        <w:t>土建配合要求</w:t>
      </w:r>
    </w:p>
    <w:p w14:paraId="07E502A4">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5.6.1</w:t>
      </w:r>
      <w:r>
        <w:rPr>
          <w:rFonts w:hint="eastAsia" w:ascii="宋体" w:hAnsi="宋体" w:eastAsia="宋体" w:cs="宋体"/>
          <w:color w:val="auto"/>
          <w:spacing w:val="0"/>
          <w:sz w:val="24"/>
          <w:szCs w:val="24"/>
          <w:highlight w:val="none"/>
        </w:rPr>
        <w:t>墙面要求</w:t>
      </w:r>
    </w:p>
    <w:p w14:paraId="6EF15D63">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按照平面图砌筑土建隔墙，面层需抹灰，达到高级水平。面层表面应洁净，无空鼓、裂纹、麻面、起砂等缺陷；2m</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2m区域内平整度误差不超过3mm。</w:t>
      </w:r>
    </w:p>
    <w:p w14:paraId="2511BEFD">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5.6.2</w:t>
      </w:r>
      <w:r>
        <w:rPr>
          <w:rFonts w:hint="eastAsia" w:ascii="宋体" w:hAnsi="宋体" w:eastAsia="宋体" w:cs="宋体"/>
          <w:color w:val="auto"/>
          <w:spacing w:val="0"/>
          <w:sz w:val="24"/>
          <w:szCs w:val="24"/>
          <w:highlight w:val="none"/>
          <w:lang w:val="zh-CN"/>
        </w:rPr>
        <w:t>当有需要排除水或其他液体时的楼地面应设坡向地漏或地沟的坡度。地面可用基土找坡，坡度为1%~2%。卫生间回填、找平时，应以地漏为中心向四面方向辐射，找准坡度，用刮尺刮平，抹面要求平整，表面无坑、无缝隙，不起沙，以不积水为准</w:t>
      </w:r>
      <w:r>
        <w:rPr>
          <w:rFonts w:hint="eastAsia" w:ascii="宋体" w:hAnsi="宋体" w:eastAsia="宋体" w:cs="宋体"/>
          <w:color w:val="auto"/>
          <w:spacing w:val="0"/>
          <w:sz w:val="24"/>
          <w:szCs w:val="24"/>
          <w:highlight w:val="none"/>
        </w:rPr>
        <w:t>。</w:t>
      </w:r>
    </w:p>
    <w:p w14:paraId="5155340A">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5.6.3</w:t>
      </w:r>
      <w:r>
        <w:rPr>
          <w:rFonts w:hint="eastAsia" w:ascii="宋体" w:hAnsi="宋体" w:eastAsia="宋体" w:cs="宋体"/>
          <w:color w:val="auto"/>
          <w:spacing w:val="0"/>
          <w:sz w:val="24"/>
          <w:szCs w:val="24"/>
          <w:highlight w:val="none"/>
        </w:rPr>
        <w:t>图中所示相对地面标高均以电梯出口处完成贴面为基准点测量。</w:t>
      </w:r>
    </w:p>
    <w:p w14:paraId="0670AEBA">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5.6.4</w:t>
      </w:r>
      <w:r>
        <w:rPr>
          <w:rFonts w:hint="eastAsia" w:ascii="宋体" w:hAnsi="宋体" w:eastAsia="宋体" w:cs="宋体"/>
          <w:color w:val="auto"/>
          <w:spacing w:val="0"/>
          <w:sz w:val="24"/>
          <w:szCs w:val="24"/>
          <w:highlight w:val="none"/>
        </w:rPr>
        <w:t>为了防冻，业主需要在冬季对机房进行必要的采暖处理，确保机房温度不底于5℃。</w:t>
      </w:r>
    </w:p>
    <w:p w14:paraId="3E47832B">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2" w:firstLineChars="200"/>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5.7</w:t>
      </w:r>
      <w:r>
        <w:rPr>
          <w:rFonts w:hint="eastAsia" w:ascii="宋体" w:hAnsi="宋体" w:eastAsia="宋体" w:cs="宋体"/>
          <w:b/>
          <w:bCs/>
          <w:color w:val="auto"/>
          <w:spacing w:val="0"/>
          <w:sz w:val="24"/>
          <w:szCs w:val="24"/>
          <w:highlight w:val="none"/>
        </w:rPr>
        <w:t>其它说明：</w:t>
      </w:r>
    </w:p>
    <w:p w14:paraId="53108051">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5.7.</w:t>
      </w:r>
      <w:r>
        <w:rPr>
          <w:rFonts w:hint="eastAsia" w:ascii="宋体" w:hAnsi="宋体" w:eastAsia="宋体" w:cs="宋体"/>
          <w:color w:val="auto"/>
          <w:spacing w:val="0"/>
          <w:sz w:val="24"/>
          <w:szCs w:val="24"/>
          <w:highlight w:val="none"/>
        </w:rPr>
        <w:t>1本设计图纸中除特殊标注外，全部尺寸单位均为毫米，标高均以米为单位。</w:t>
      </w:r>
    </w:p>
    <w:p w14:paraId="7E13640E">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5.7.</w:t>
      </w:r>
      <w:r>
        <w:rPr>
          <w:rFonts w:hint="eastAsia" w:ascii="宋体" w:hAnsi="宋体" w:eastAsia="宋体" w:cs="宋体"/>
          <w:color w:val="auto"/>
          <w:spacing w:val="0"/>
          <w:sz w:val="24"/>
          <w:szCs w:val="24"/>
          <w:highlight w:val="none"/>
        </w:rPr>
        <w:t>2尽量避免在手术室天花之上横穿各类水管（包括消防等给排水管），如果确实无法避免，必须采取相应措施以确保水管密封可靠</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不会渗漏。</w:t>
      </w:r>
    </w:p>
    <w:p w14:paraId="1E75E9F5">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5.7.</w:t>
      </w:r>
      <w:r>
        <w:rPr>
          <w:rFonts w:hint="eastAsia" w:ascii="宋体" w:hAnsi="宋体" w:eastAsia="宋体" w:cs="宋体"/>
          <w:color w:val="auto"/>
          <w:spacing w:val="0"/>
          <w:sz w:val="24"/>
          <w:szCs w:val="24"/>
          <w:highlight w:val="none"/>
        </w:rPr>
        <w:t>3输液导轨安装在各手术室吊顶上，平行于手术台长度方向各1条，每条长2.6m，每条带2个挂勾。</w:t>
      </w:r>
    </w:p>
    <w:p w14:paraId="444BA0A9">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5.7.4</w:t>
      </w:r>
      <w:r>
        <w:rPr>
          <w:rFonts w:hint="eastAsia" w:ascii="宋体" w:hAnsi="宋体" w:eastAsia="宋体" w:cs="宋体"/>
          <w:color w:val="auto"/>
          <w:spacing w:val="0"/>
          <w:sz w:val="24"/>
          <w:szCs w:val="24"/>
          <w:highlight w:val="none"/>
          <w:lang w:val="zh-CN"/>
        </w:rPr>
        <w:t>地砖地面与其他地材交界门槛处须设20厚仿大理石门槛石。</w:t>
      </w:r>
    </w:p>
    <w:p w14:paraId="27B7F3F8">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5.7.5</w:t>
      </w:r>
      <w:r>
        <w:rPr>
          <w:rFonts w:hint="eastAsia" w:ascii="宋体" w:hAnsi="宋体" w:eastAsia="宋体" w:cs="宋体"/>
          <w:color w:val="auto"/>
          <w:spacing w:val="0"/>
          <w:sz w:val="24"/>
          <w:szCs w:val="24"/>
          <w:highlight w:val="none"/>
          <w:lang w:val="zh-CN"/>
        </w:rPr>
        <w:t>范围内靠外窗处需吊顶设窗帘盒和</w:t>
      </w:r>
      <w:r>
        <w:rPr>
          <w:rFonts w:hint="eastAsia" w:ascii="宋体" w:hAnsi="宋体" w:eastAsia="宋体" w:cs="宋体"/>
          <w:color w:val="auto"/>
          <w:spacing w:val="0"/>
          <w:sz w:val="24"/>
          <w:szCs w:val="24"/>
          <w:highlight w:val="none"/>
          <w:lang w:val="en-US" w:eastAsia="zh-CN"/>
        </w:rPr>
        <w:t>20</w:t>
      </w:r>
      <w:r>
        <w:rPr>
          <w:rFonts w:hint="eastAsia" w:ascii="宋体" w:hAnsi="宋体" w:eastAsia="宋体" w:cs="宋体"/>
          <w:color w:val="auto"/>
          <w:spacing w:val="0"/>
          <w:sz w:val="24"/>
          <w:szCs w:val="24"/>
          <w:highlight w:val="none"/>
          <w:lang w:val="zh-CN"/>
        </w:rPr>
        <w:t>厚</w:t>
      </w:r>
      <w:r>
        <w:rPr>
          <w:rFonts w:hint="eastAsia" w:ascii="宋体" w:hAnsi="宋体" w:eastAsia="宋体" w:cs="宋体"/>
          <w:color w:val="auto"/>
          <w:spacing w:val="0"/>
          <w:sz w:val="24"/>
          <w:szCs w:val="24"/>
          <w:highlight w:val="none"/>
          <w:lang w:val="en-US" w:eastAsia="zh-CN"/>
        </w:rPr>
        <w:t>人造石</w:t>
      </w:r>
      <w:r>
        <w:rPr>
          <w:rFonts w:hint="eastAsia" w:ascii="宋体" w:hAnsi="宋体" w:eastAsia="宋体" w:cs="宋体"/>
          <w:color w:val="auto"/>
          <w:spacing w:val="0"/>
          <w:sz w:val="24"/>
          <w:szCs w:val="24"/>
          <w:highlight w:val="none"/>
          <w:lang w:val="zh-CN"/>
        </w:rPr>
        <w:t>窗台板，窗帘盒与顶板交界处包边处理。</w:t>
      </w:r>
    </w:p>
    <w:p w14:paraId="23CF0D43">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5.7.6</w:t>
      </w:r>
      <w:r>
        <w:rPr>
          <w:rFonts w:hint="eastAsia" w:ascii="宋体" w:hAnsi="宋体" w:eastAsia="宋体" w:cs="宋体"/>
          <w:color w:val="auto"/>
          <w:spacing w:val="0"/>
          <w:sz w:val="24"/>
          <w:szCs w:val="24"/>
          <w:highlight w:val="none"/>
          <w:lang w:val="zh-CN"/>
        </w:rPr>
        <w:t>板材墙面与墙面阳角、墙面与墙面阴角、墙面与顶面阴角处均采用成品配套圆弧型材，墙面阳角型材高度到吊顶。</w:t>
      </w:r>
    </w:p>
    <w:p w14:paraId="0EF0FC54">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5.7.7</w:t>
      </w:r>
      <w:r>
        <w:rPr>
          <w:rFonts w:hint="eastAsia" w:ascii="宋体" w:hAnsi="宋体" w:eastAsia="宋体" w:cs="宋体"/>
          <w:color w:val="auto"/>
          <w:spacing w:val="0"/>
          <w:sz w:val="24"/>
          <w:szCs w:val="24"/>
          <w:highlight w:val="none"/>
          <w:lang w:val="zh-CN"/>
        </w:rPr>
        <w:t>净化区域电动门、等有压力梯度要求的房间门入口处需设置微压计，离地高度1400mm。</w:t>
      </w:r>
    </w:p>
    <w:p w14:paraId="26E955BF">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5.7.8</w:t>
      </w:r>
      <w:r>
        <w:rPr>
          <w:rFonts w:hint="eastAsia" w:ascii="宋体" w:hAnsi="宋体" w:eastAsia="宋体" w:cs="宋体"/>
          <w:color w:val="auto"/>
          <w:spacing w:val="0"/>
          <w:sz w:val="24"/>
          <w:szCs w:val="24"/>
          <w:highlight w:val="none"/>
          <w:lang w:val="zh-CN"/>
        </w:rPr>
        <w:t>范围内大楼墙、顶、地面变形缝采用1.5mm不锈钢板进行处理，详见变形缝节点。</w:t>
      </w:r>
    </w:p>
    <w:p w14:paraId="7F37300A">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5.7.9</w:t>
      </w:r>
      <w:r>
        <w:rPr>
          <w:rFonts w:hint="eastAsia" w:ascii="宋体" w:hAnsi="宋体" w:eastAsia="宋体" w:cs="宋体"/>
          <w:color w:val="auto"/>
          <w:spacing w:val="0"/>
          <w:sz w:val="24"/>
          <w:szCs w:val="24"/>
          <w:highlight w:val="none"/>
          <w:lang w:val="zh-CN"/>
        </w:rPr>
        <w:t>所有卫生洁具均选用节水型设备，卫生洁具、成品隔断及五金配件选型需由建设方根据使用功能要求最终确定，定位见平面。</w:t>
      </w:r>
    </w:p>
    <w:p w14:paraId="4A0667C5">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5.7.10</w:t>
      </w:r>
      <w:r>
        <w:rPr>
          <w:rFonts w:hint="eastAsia" w:ascii="宋体" w:hAnsi="宋体" w:eastAsia="宋体" w:cs="宋体"/>
          <w:color w:val="auto"/>
          <w:spacing w:val="0"/>
          <w:sz w:val="24"/>
          <w:szCs w:val="24"/>
          <w:highlight w:val="none"/>
          <w:lang w:val="zh-CN"/>
        </w:rPr>
        <w:t>卫生间、浴室、更衣室所表示的各类卫生洁具和设施，包括坐便器、蹲便器、小便器、淋浴器、拖布池、厕位淋浴位隔断隔板、洗手盆、台面、镜子、烘手器等，仅在图中表示位置。</w:t>
      </w:r>
    </w:p>
    <w:p w14:paraId="00A56397">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5.7.11</w:t>
      </w:r>
      <w:r>
        <w:rPr>
          <w:rFonts w:hint="eastAsia" w:ascii="宋体" w:hAnsi="宋体" w:eastAsia="宋体" w:cs="宋体"/>
          <w:color w:val="auto"/>
          <w:spacing w:val="0"/>
          <w:sz w:val="24"/>
          <w:szCs w:val="24"/>
          <w:highlight w:val="none"/>
          <w:lang w:val="zh-CN"/>
        </w:rPr>
        <w:t>大型设备荷载及需结构专业进行验算确认，大型设备应考虑预留运输通道，墙体应待设备进场安装后砌筑。</w:t>
      </w:r>
    </w:p>
    <w:p w14:paraId="6EC38AED">
      <w:pPr>
        <w:pStyle w:val="21"/>
        <w:pageBreakBefore w:val="0"/>
        <w:shd w:val="clear"/>
        <w:kinsoku/>
        <w:wordWrap/>
        <w:overflowPunct/>
        <w:topLinePunct w:val="0"/>
        <w:autoSpaceDE/>
        <w:autoSpaceDN/>
        <w:bidi w:val="0"/>
        <w:adjustRightInd w:val="0"/>
        <w:snapToGrid w:val="0"/>
        <w:spacing w:before="0" w:afterLines="0" w:line="300" w:lineRule="auto"/>
        <w:ind w:left="0" w:leftChars="0" w:firstLine="480" w:firstLineChars="200"/>
        <w:textAlignment w:val="auto"/>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5.7.12</w:t>
      </w:r>
      <w:r>
        <w:rPr>
          <w:rFonts w:hint="eastAsia" w:ascii="宋体" w:hAnsi="宋体" w:eastAsia="宋体" w:cs="宋体"/>
          <w:color w:val="auto"/>
          <w:spacing w:val="0"/>
          <w:sz w:val="24"/>
          <w:szCs w:val="24"/>
          <w:highlight w:val="none"/>
          <w:lang w:val="zh-CN"/>
        </w:rPr>
        <w:t>供应室清洗机、灭菌器两侧采用1.2mm不锈钢面板装饰。</w:t>
      </w:r>
    </w:p>
    <w:p w14:paraId="0701524C">
      <w:pPr>
        <w:pStyle w:val="21"/>
        <w:keepNext w:val="0"/>
        <w:keepLines w:val="0"/>
        <w:pageBreakBefore w:val="0"/>
        <w:widowControl/>
        <w:shd w:val="clear"/>
        <w:kinsoku/>
        <w:wordWrap/>
        <w:overflowPunct/>
        <w:topLinePunct w:val="0"/>
        <w:autoSpaceDE/>
        <w:autoSpaceDN/>
        <w:bidi w:val="0"/>
        <w:adjustRightInd w:val="0"/>
        <w:snapToGrid w:val="0"/>
        <w:spacing w:before="0" w:afterLines="0" w:line="300" w:lineRule="auto"/>
        <w:ind w:left="0" w:leftChars="0" w:firstLine="0" w:firstLineChars="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洁净手术室基本装备</w:t>
      </w:r>
    </w:p>
    <w:tbl>
      <w:tblPr>
        <w:tblStyle w:val="27"/>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203"/>
        <w:gridCol w:w="2033"/>
        <w:gridCol w:w="5118"/>
      </w:tblGrid>
      <w:tr w14:paraId="262B0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520F20CD">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装 备 名 称</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13FA7BC0">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必须配置数量</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4C464E4F">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规     格</w:t>
            </w:r>
          </w:p>
        </w:tc>
      </w:tr>
      <w:tr w14:paraId="136B2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52F64E8B">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医用气体终端箱</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5D0957F7">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1套/每间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7928C1C5">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采用304发纹不锈钢制作，墙上一套，插口</w:t>
            </w:r>
            <w:r>
              <w:rPr>
                <w:rFonts w:hint="eastAsia" w:ascii="宋体" w:hAnsi="宋体" w:eastAsia="宋体" w:cs="宋体"/>
                <w:color w:val="auto"/>
                <w:spacing w:val="0"/>
                <w:sz w:val="24"/>
                <w:szCs w:val="24"/>
                <w:highlight w:val="none"/>
                <w:lang w:eastAsia="zh-CN"/>
              </w:rPr>
              <w:t>设</w:t>
            </w:r>
            <w:r>
              <w:rPr>
                <w:rFonts w:hint="eastAsia" w:ascii="宋体" w:hAnsi="宋体" w:eastAsia="宋体" w:cs="宋体"/>
                <w:color w:val="auto"/>
                <w:spacing w:val="0"/>
                <w:sz w:val="24"/>
                <w:szCs w:val="24"/>
                <w:highlight w:val="none"/>
              </w:rPr>
              <w:t>有互换性。</w:t>
            </w:r>
          </w:p>
        </w:tc>
      </w:tr>
      <w:tr w14:paraId="0F3B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1E0DC866">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观片灯</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0771B5B4">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1个/每间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374B12F9">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手术室均为</w:t>
            </w: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联，全部采用液晶面板，滤光性能好。</w:t>
            </w:r>
          </w:p>
        </w:tc>
      </w:tr>
      <w:tr w14:paraId="1C6A2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72C87321">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多功能控制面板</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1FFCABE9">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1个/每间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5DD5B662">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液晶面板，含计时器、温湿度显示控制、空气处理系统开/关机功能、空调机组运行状态显示和故障报警、照明系统开关、过滤器报警功能、绝缘监测及漏电保护报警、气体报警、背景音乐控制、对讲呼叫、手术中（打开后手术间门顶“手术中”灯亮）</w:t>
            </w:r>
          </w:p>
        </w:tc>
      </w:tr>
      <w:tr w14:paraId="1B72D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1B993A3A">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药品柜（嵌入式）</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7B7FB2E2">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1个/每间</w:t>
            </w:r>
          </w:p>
        </w:tc>
        <w:tc>
          <w:tcPr>
            <w:tcW w:w="51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82049FC">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采用304发纹不锈钢制作，有抽屉、有分格、可调整 1200×1700×400（mm）</w:t>
            </w:r>
          </w:p>
        </w:tc>
      </w:tr>
      <w:tr w14:paraId="6C8BB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1B21BCE8">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麻醉柜（嵌入式）</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09D04FC0">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1个/每间</w:t>
            </w:r>
          </w:p>
        </w:tc>
        <w:tc>
          <w:tcPr>
            <w:tcW w:w="5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3B73690">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p>
        </w:tc>
      </w:tr>
      <w:tr w14:paraId="63BF4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7234F0E0">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器械柜（嵌入式）</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005DEB0F">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1个/每间</w:t>
            </w:r>
          </w:p>
        </w:tc>
        <w:tc>
          <w:tcPr>
            <w:tcW w:w="5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F62557F">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p>
        </w:tc>
      </w:tr>
      <w:tr w14:paraId="1FC8C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337C2B1F">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组合插座箱1（嵌入式）</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11622C4E">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3台/每间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5A26E96C">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采用304发纹不锈钢制作，多功能插座，含接地端子，220V电源插座4个/每台</w:t>
            </w:r>
          </w:p>
        </w:tc>
      </w:tr>
      <w:tr w14:paraId="60BD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17EF6472">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组合插座箱2（嵌入式）</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78553A30">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1台/每间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5D26B001">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采用304发纹不锈钢制作，多功能插座，含接地端子，380V电源插座1个，220V电源插座3个/每台</w:t>
            </w:r>
          </w:p>
        </w:tc>
      </w:tr>
      <w:tr w14:paraId="6CA31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4A9ED039">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输液导轨（含吊钩2个）</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521B6B91">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2个/每间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51C6C9AB">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采用304发纹不锈钢制作，可以上下调节高度</w:t>
            </w:r>
          </w:p>
        </w:tc>
      </w:tr>
      <w:tr w14:paraId="05B2B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7BCAC88F">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无影灯</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06FF13C9">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1台/每间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212C33FE">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甲供</w:t>
            </w:r>
          </w:p>
        </w:tc>
      </w:tr>
      <w:tr w14:paraId="17F46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2E43A3AD">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吊塔</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7490431F">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1台/每间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253D29F7">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甲供</w:t>
            </w:r>
          </w:p>
        </w:tc>
      </w:tr>
      <w:tr w14:paraId="609D6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6F33A1EA">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手术床</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07DEB66E">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1台/每间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51327B42">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甲供</w:t>
            </w:r>
          </w:p>
        </w:tc>
      </w:tr>
      <w:tr w14:paraId="21802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49EC02D4">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保温柜</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77434DA5">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1台/每间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6EC4EDE4">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甲供</w:t>
            </w:r>
          </w:p>
        </w:tc>
      </w:tr>
      <w:tr w14:paraId="16D5C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14:paraId="2814ADAE">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保冷柜</w:t>
            </w:r>
          </w:p>
        </w:tc>
        <w:tc>
          <w:tcPr>
            <w:tcW w:w="2033" w:type="dxa"/>
            <w:tcBorders>
              <w:top w:val="single" w:color="auto" w:sz="4" w:space="0"/>
              <w:left w:val="single" w:color="auto" w:sz="4" w:space="0"/>
              <w:bottom w:val="single" w:color="auto" w:sz="4" w:space="0"/>
              <w:right w:val="single" w:color="auto" w:sz="4" w:space="0"/>
            </w:tcBorders>
            <w:shd w:val="clear" w:color="auto" w:fill="auto"/>
            <w:vAlign w:val="center"/>
          </w:tcPr>
          <w:p w14:paraId="54A0454E">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1台/每间</w:t>
            </w:r>
          </w:p>
        </w:tc>
        <w:tc>
          <w:tcPr>
            <w:tcW w:w="5118" w:type="dxa"/>
            <w:tcBorders>
              <w:top w:val="single" w:color="auto" w:sz="4" w:space="0"/>
              <w:left w:val="single" w:color="auto" w:sz="4" w:space="0"/>
              <w:bottom w:val="single" w:color="auto" w:sz="4" w:space="0"/>
              <w:right w:val="single" w:color="auto" w:sz="4" w:space="0"/>
            </w:tcBorders>
            <w:shd w:val="clear" w:color="auto" w:fill="auto"/>
            <w:vAlign w:val="center"/>
          </w:tcPr>
          <w:p w14:paraId="3C62DF55">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甲供</w:t>
            </w:r>
          </w:p>
        </w:tc>
      </w:tr>
      <w:tr w14:paraId="08126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5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10769AD">
            <w:pPr>
              <w:keepNext w:val="0"/>
              <w:keepLines w:val="0"/>
              <w:pageBreakBefore w:val="0"/>
              <w:shd w:val="clear"/>
              <w:kinsoku/>
              <w:wordWrap/>
              <w:overflowPunct/>
              <w:topLinePunct w:val="0"/>
              <w:autoSpaceDE/>
              <w:autoSpaceDN/>
              <w:bidi w:val="0"/>
              <w:adjustRightInd w:val="0"/>
              <w:snapToGrid w:val="0"/>
              <w:spacing w:line="300" w:lineRule="auto"/>
              <w:ind w:left="0" w:leftChars="0" w:firstLine="0" w:firstLine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备注：以上所有设置区域、数量及具体位置详见图纸</w:t>
            </w:r>
          </w:p>
        </w:tc>
      </w:tr>
    </w:tbl>
    <w:p w14:paraId="70A60FF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rPr>
      </w:pPr>
    </w:p>
    <w:p w14:paraId="4BB30E6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暖通</w:t>
      </w:r>
      <w:r>
        <w:rPr>
          <w:rFonts w:hint="eastAsia" w:ascii="宋体" w:hAnsi="宋体" w:eastAsia="宋体" w:cs="宋体"/>
          <w:color w:val="auto"/>
          <w:spacing w:val="0"/>
          <w:sz w:val="24"/>
          <w:szCs w:val="24"/>
          <w:highlight w:val="none"/>
        </w:rPr>
        <w:t>技术要求</w:t>
      </w:r>
    </w:p>
    <w:p w14:paraId="1F195247">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6.1气象参数：</w:t>
      </w: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9"/>
        <w:gridCol w:w="1009"/>
        <w:gridCol w:w="1010"/>
        <w:gridCol w:w="1012"/>
        <w:gridCol w:w="1010"/>
        <w:gridCol w:w="1010"/>
        <w:gridCol w:w="1010"/>
        <w:gridCol w:w="1010"/>
        <w:gridCol w:w="1010"/>
      </w:tblGrid>
      <w:tr w14:paraId="2CCC1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55" w:type="pct"/>
            <w:tcBorders>
              <w:top w:val="single" w:color="000000" w:sz="8" w:space="0"/>
              <w:left w:val="single" w:color="000000" w:sz="8" w:space="0"/>
              <w:bottom w:val="nil"/>
              <w:right w:val="single" w:color="000000" w:sz="8" w:space="0"/>
            </w:tcBorders>
            <w:shd w:val="clear" w:color="auto" w:fill="auto"/>
            <w:vAlign w:val="top"/>
          </w:tcPr>
          <w:p w14:paraId="1EAF2693">
            <w:pPr>
              <w:keepNext w:val="0"/>
              <w:keepLines w:val="0"/>
              <w:widowControl/>
              <w:suppressLineNumbers w:val="0"/>
              <w:ind w:firstLineChars="200"/>
              <w:jc w:val="both"/>
              <w:textAlignment w:val="top"/>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参数</w:t>
            </w:r>
          </w:p>
        </w:tc>
        <w:tc>
          <w:tcPr>
            <w:tcW w:w="1666" w:type="pct"/>
            <w:gridSpan w:val="3"/>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65662A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干球温度℃</w:t>
            </w:r>
          </w:p>
        </w:tc>
        <w:tc>
          <w:tcPr>
            <w:tcW w:w="555"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93691D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湿球温度</w:t>
            </w:r>
          </w:p>
        </w:tc>
        <w:tc>
          <w:tcPr>
            <w:tcW w:w="555"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2EB5FF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空调日平均温度</w:t>
            </w:r>
          </w:p>
        </w:tc>
        <w:tc>
          <w:tcPr>
            <w:tcW w:w="555"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7B69E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相对湿度</w:t>
            </w:r>
          </w:p>
        </w:tc>
        <w:tc>
          <w:tcPr>
            <w:tcW w:w="555"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647269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室外平均</w:t>
            </w:r>
          </w:p>
        </w:tc>
        <w:tc>
          <w:tcPr>
            <w:tcW w:w="555"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650CEE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大气压力</w:t>
            </w:r>
          </w:p>
        </w:tc>
      </w:tr>
      <w:tr w14:paraId="54185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5" w:type="pct"/>
            <w:tcBorders>
              <w:top w:val="nil"/>
              <w:left w:val="single" w:color="000000" w:sz="8" w:space="0"/>
              <w:bottom w:val="nil"/>
              <w:right w:val="single" w:color="000000" w:sz="8" w:space="0"/>
            </w:tcBorders>
            <w:shd w:val="clear" w:color="auto" w:fill="auto"/>
            <w:vAlign w:val="center"/>
          </w:tcPr>
          <w:p w14:paraId="7A685411">
            <w:pPr>
              <w:jc w:val="both"/>
              <w:rPr>
                <w:rFonts w:hint="eastAsia" w:ascii="宋体" w:hAnsi="宋体" w:eastAsia="宋体" w:cs="宋体"/>
                <w:i w:val="0"/>
                <w:iCs w:val="0"/>
                <w:color w:val="000000"/>
                <w:sz w:val="24"/>
                <w:szCs w:val="24"/>
                <w:highlight w:val="none"/>
                <w:u w:val="none"/>
              </w:rPr>
            </w:pPr>
          </w:p>
        </w:tc>
        <w:tc>
          <w:tcPr>
            <w:tcW w:w="1666" w:type="pct"/>
            <w:gridSpan w:val="3"/>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87FD416">
            <w:pPr>
              <w:jc w:val="center"/>
              <w:rPr>
                <w:rFonts w:hint="eastAsia" w:ascii="宋体" w:hAnsi="宋体" w:eastAsia="宋体" w:cs="宋体"/>
                <w:i w:val="0"/>
                <w:iCs w:val="0"/>
                <w:color w:val="000000"/>
                <w:sz w:val="24"/>
                <w:szCs w:val="24"/>
                <w:highlight w:val="none"/>
                <w:u w:val="none"/>
              </w:rPr>
            </w:pPr>
          </w:p>
        </w:tc>
        <w:tc>
          <w:tcPr>
            <w:tcW w:w="555"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781454D">
            <w:pPr>
              <w:jc w:val="center"/>
              <w:rPr>
                <w:rFonts w:hint="eastAsia" w:ascii="宋体" w:hAnsi="宋体" w:eastAsia="宋体" w:cs="宋体"/>
                <w:i w:val="0"/>
                <w:iCs w:val="0"/>
                <w:color w:val="000000"/>
                <w:sz w:val="24"/>
                <w:szCs w:val="24"/>
                <w:highlight w:val="none"/>
                <w:u w:val="none"/>
              </w:rPr>
            </w:pPr>
          </w:p>
        </w:tc>
        <w:tc>
          <w:tcPr>
            <w:tcW w:w="555"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409077C">
            <w:pPr>
              <w:jc w:val="center"/>
              <w:rPr>
                <w:rFonts w:hint="eastAsia" w:ascii="宋体" w:hAnsi="宋体" w:eastAsia="宋体" w:cs="宋体"/>
                <w:i w:val="0"/>
                <w:iCs w:val="0"/>
                <w:color w:val="000000"/>
                <w:sz w:val="24"/>
                <w:szCs w:val="24"/>
                <w:highlight w:val="none"/>
                <w:u w:val="none"/>
              </w:rPr>
            </w:pPr>
          </w:p>
        </w:tc>
        <w:tc>
          <w:tcPr>
            <w:tcW w:w="555"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C4D935B">
            <w:pPr>
              <w:jc w:val="center"/>
              <w:rPr>
                <w:rFonts w:hint="eastAsia" w:ascii="宋体" w:hAnsi="宋体" w:eastAsia="宋体" w:cs="宋体"/>
                <w:i w:val="0"/>
                <w:iCs w:val="0"/>
                <w:color w:val="000000"/>
                <w:sz w:val="24"/>
                <w:szCs w:val="24"/>
                <w:highlight w:val="none"/>
                <w:u w:val="none"/>
              </w:rPr>
            </w:pPr>
          </w:p>
        </w:tc>
        <w:tc>
          <w:tcPr>
            <w:tcW w:w="555"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8245D57">
            <w:pPr>
              <w:jc w:val="center"/>
              <w:rPr>
                <w:rFonts w:hint="eastAsia" w:ascii="宋体" w:hAnsi="宋体" w:eastAsia="宋体" w:cs="宋体"/>
                <w:i w:val="0"/>
                <w:iCs w:val="0"/>
                <w:color w:val="000000"/>
                <w:sz w:val="24"/>
                <w:szCs w:val="24"/>
                <w:highlight w:val="none"/>
                <w:u w:val="none"/>
              </w:rPr>
            </w:pPr>
          </w:p>
        </w:tc>
        <w:tc>
          <w:tcPr>
            <w:tcW w:w="555"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284BDF7">
            <w:pPr>
              <w:jc w:val="center"/>
              <w:rPr>
                <w:rFonts w:hint="eastAsia" w:ascii="宋体" w:hAnsi="宋体" w:eastAsia="宋体" w:cs="宋体"/>
                <w:i w:val="0"/>
                <w:iCs w:val="0"/>
                <w:color w:val="000000"/>
                <w:sz w:val="24"/>
                <w:szCs w:val="24"/>
                <w:highlight w:val="none"/>
                <w:u w:val="none"/>
              </w:rPr>
            </w:pPr>
          </w:p>
        </w:tc>
      </w:tr>
      <w:tr w14:paraId="36F0D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555" w:type="pct"/>
            <w:tcBorders>
              <w:top w:val="nil"/>
              <w:left w:val="single" w:color="000000" w:sz="8" w:space="0"/>
              <w:bottom w:val="single" w:color="000000" w:sz="8" w:space="0"/>
              <w:right w:val="single" w:color="000000" w:sz="8" w:space="0"/>
            </w:tcBorders>
            <w:shd w:val="clear" w:color="auto" w:fill="auto"/>
            <w:vAlign w:val="center"/>
          </w:tcPr>
          <w:p w14:paraId="54D6E324">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季节</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3D8F2B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空调</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18D60BF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通风</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3C289C1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采暖</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13FB7CA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71187EF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0F4975E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w:t>
            </w:r>
          </w:p>
        </w:tc>
        <w:tc>
          <w:tcPr>
            <w:tcW w:w="55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63CB6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风速（m）</w:t>
            </w:r>
          </w:p>
        </w:tc>
        <w:tc>
          <w:tcPr>
            <w:tcW w:w="55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239CC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HPa</w:t>
            </w:r>
          </w:p>
        </w:tc>
      </w:tr>
      <w:tr w14:paraId="0B8E0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5" w:type="pct"/>
            <w:tcBorders>
              <w:top w:val="nil"/>
              <w:left w:val="single" w:color="000000" w:sz="8" w:space="0"/>
              <w:bottom w:val="single" w:color="000000" w:sz="8" w:space="0"/>
              <w:right w:val="single" w:color="000000" w:sz="8" w:space="0"/>
            </w:tcBorders>
            <w:shd w:val="clear" w:color="auto" w:fill="auto"/>
            <w:vAlign w:val="center"/>
          </w:tcPr>
          <w:p w14:paraId="2EBA9AE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夏季</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369685E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35.8</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3F4DAAD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32.5</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6089B0E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0C17507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27.7</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168B054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31.1</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511B312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38B5AD2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2.1</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54D48F0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994</w:t>
            </w:r>
          </w:p>
        </w:tc>
      </w:tr>
      <w:tr w14:paraId="05A14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5" w:type="pct"/>
            <w:tcBorders>
              <w:top w:val="nil"/>
              <w:left w:val="single" w:color="000000" w:sz="8" w:space="0"/>
              <w:bottom w:val="single" w:color="000000" w:sz="8" w:space="0"/>
              <w:right w:val="single" w:color="000000" w:sz="8" w:space="0"/>
            </w:tcBorders>
            <w:shd w:val="clear" w:color="auto" w:fill="auto"/>
            <w:vAlign w:val="center"/>
          </w:tcPr>
          <w:p w14:paraId="66F119B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冬季</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221999C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-2.6</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3C4B785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4.5</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087451D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-0.3</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0CD06B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5EE32E6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21CF96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76</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05D36D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2.7</w:t>
            </w:r>
          </w:p>
        </w:tc>
        <w:tc>
          <w:tcPr>
            <w:tcW w:w="555" w:type="pct"/>
            <w:tcBorders>
              <w:top w:val="nil"/>
              <w:left w:val="single" w:color="000000" w:sz="8" w:space="0"/>
              <w:bottom w:val="single" w:color="000000" w:sz="8" w:space="0"/>
              <w:right w:val="single" w:color="000000" w:sz="8" w:space="0"/>
            </w:tcBorders>
            <w:shd w:val="clear" w:color="auto" w:fill="auto"/>
            <w:vAlign w:val="center"/>
          </w:tcPr>
          <w:p w14:paraId="06A5452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1012.9</w:t>
            </w:r>
          </w:p>
        </w:tc>
      </w:tr>
    </w:tbl>
    <w:p w14:paraId="1E6A83A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en-US" w:eastAsia="zh-CN"/>
        </w:rPr>
      </w:pPr>
    </w:p>
    <w:p w14:paraId="68DED51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6.2空调设计系统</w:t>
      </w:r>
    </w:p>
    <w:p w14:paraId="2C0CD13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eastAsia="zh-CN"/>
        </w:rPr>
      </w:pPr>
      <w:r>
        <w:rPr>
          <w:rFonts w:hint="eastAsia" w:ascii="宋体" w:hAnsi="宋体" w:eastAsia="宋体" w:cs="宋体"/>
          <w:b w:val="0"/>
          <w:color w:val="auto"/>
          <w:spacing w:val="0"/>
          <w:kern w:val="2"/>
          <w:sz w:val="24"/>
          <w:szCs w:val="24"/>
          <w:highlight w:val="none"/>
          <w:lang w:val="en-US" w:eastAsia="zh-CN"/>
        </w:rPr>
        <w:t>6.2.1</w:t>
      </w:r>
      <w:r>
        <w:rPr>
          <w:rFonts w:hint="eastAsia" w:ascii="宋体" w:hAnsi="宋体" w:eastAsia="宋体" w:cs="宋体"/>
          <w:b w:val="0"/>
          <w:color w:val="auto"/>
          <w:spacing w:val="0"/>
          <w:kern w:val="2"/>
          <w:sz w:val="24"/>
          <w:szCs w:val="24"/>
          <w:highlight w:val="none"/>
          <w:lang w:val="zh-CN"/>
        </w:rPr>
        <w:t>系统配置：所有空调机组均采用医用卫生型净化空调机组，风机盘管采用加长型水盘。</w:t>
      </w:r>
      <w:r>
        <w:rPr>
          <w:rFonts w:hint="eastAsia" w:ascii="宋体" w:hAnsi="宋体" w:eastAsia="宋体" w:cs="宋体"/>
          <w:b w:val="0"/>
          <w:color w:val="auto"/>
          <w:spacing w:val="0"/>
          <w:kern w:val="2"/>
          <w:sz w:val="24"/>
          <w:szCs w:val="24"/>
          <w:highlight w:val="none"/>
          <w:lang w:val="zh-CN" w:eastAsia="zh-CN"/>
        </w:rPr>
        <w:t>相关技术指标需满足图纸要求。</w:t>
      </w:r>
    </w:p>
    <w:p w14:paraId="14469D42">
      <w:pPr>
        <w:pageBreakBefore w:val="0"/>
        <w:shd w:val="clear"/>
        <w:kinsoku/>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空调系统风机的能效等级</w:t>
      </w:r>
      <w:r>
        <w:rPr>
          <w:rFonts w:hint="eastAsia" w:ascii="宋体" w:hAnsi="宋体" w:eastAsia="宋体" w:cs="宋体"/>
          <w:color w:val="auto"/>
          <w:sz w:val="24"/>
          <w:szCs w:val="24"/>
          <w:highlight w:val="none"/>
          <w:lang w:val="en-US" w:eastAsia="zh-CN"/>
        </w:rPr>
        <w:t>为1级</w:t>
      </w:r>
      <w:r>
        <w:rPr>
          <w:rFonts w:hint="eastAsia" w:ascii="宋体" w:hAnsi="宋体" w:eastAsia="宋体" w:cs="宋体"/>
          <w:color w:val="auto"/>
          <w:sz w:val="24"/>
          <w:szCs w:val="24"/>
          <w:highlight w:val="none"/>
          <w:lang w:val="zh-CN"/>
        </w:rPr>
        <w:t>，且应满足规范GB19761-2020规定，满足节能要求。循环水泵效率不应低于现行国家标准《清水离心泵能效限定值及节能评价值》GB-19762规定的节能评价值。</w:t>
      </w:r>
    </w:p>
    <w:p w14:paraId="21C50BC8">
      <w:pPr>
        <w:pageBreakBefore w:val="0"/>
        <w:shd w:val="clear"/>
        <w:kinsoku/>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具有AI 多参数自适应精准环境控制（核心基础应用）功能，具有AI 负荷预测与冷热源群控节能功能，具有滤网与设备 AI 预测性维护功能，具有AI 异常污染识别与风险预警功能。</w:t>
      </w:r>
      <w:r>
        <w:rPr>
          <w:rFonts w:hint="eastAsia" w:ascii="宋体" w:hAnsi="宋体" w:eastAsia="宋体" w:cs="宋体"/>
          <w:b/>
          <w:bCs/>
          <w:color w:val="auto"/>
          <w:sz w:val="24"/>
          <w:szCs w:val="24"/>
          <w:highlight w:val="none"/>
          <w:lang w:val="zh-CN"/>
        </w:rPr>
        <w:t>投标文件中提供具有CMA认证的第三方检测机构出具的检测报告扫描件或复印件。</w:t>
      </w:r>
    </w:p>
    <w:p w14:paraId="5DEBB8A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CN"/>
        </w:rPr>
        <w:t>6.2.2</w:t>
      </w:r>
      <w:r>
        <w:rPr>
          <w:rFonts w:hint="eastAsia" w:ascii="宋体" w:hAnsi="宋体" w:eastAsia="宋体" w:cs="宋体"/>
          <w:b w:val="0"/>
          <w:color w:val="auto"/>
          <w:spacing w:val="0"/>
          <w:kern w:val="2"/>
          <w:sz w:val="24"/>
          <w:szCs w:val="24"/>
          <w:highlight w:val="none"/>
          <w:lang w:val="zh-CN"/>
        </w:rPr>
        <w:t>二层中心供应室：</w:t>
      </w:r>
    </w:p>
    <w:p w14:paraId="1FBF978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rPr>
        <w:t>）中心供应室区域采用风机盘管加新风形式，设置1台普通新风机组，并按要求设置排风系统，具体见后附设备表。</w:t>
      </w:r>
    </w:p>
    <w:p w14:paraId="3864177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rPr>
        <w:t>）中心供应室核心工作区设置空气消毒器，中心供应室灭菌锅夹墙、蒸汽发生间按设备要求设置自然补风，降低室内温度。</w:t>
      </w:r>
    </w:p>
    <w:p w14:paraId="5972D9F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6.2.3</w:t>
      </w:r>
      <w:r>
        <w:rPr>
          <w:rFonts w:hint="eastAsia" w:ascii="宋体" w:hAnsi="宋体" w:eastAsia="宋体" w:cs="宋体"/>
          <w:b w:val="0"/>
          <w:color w:val="auto"/>
          <w:spacing w:val="0"/>
          <w:kern w:val="2"/>
          <w:sz w:val="24"/>
          <w:szCs w:val="24"/>
          <w:highlight w:val="none"/>
          <w:lang w:val="zh-CN"/>
        </w:rPr>
        <w:t>三层手术部：</w:t>
      </w:r>
    </w:p>
    <w:p w14:paraId="33258CA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）Ⅰ</w:t>
      </w:r>
      <w:r>
        <w:rPr>
          <w:rFonts w:hint="eastAsia" w:ascii="宋体" w:hAnsi="宋体" w:eastAsia="宋体" w:cs="宋体"/>
          <w:b w:val="0"/>
          <w:color w:val="auto"/>
          <w:spacing w:val="0"/>
          <w:kern w:val="2"/>
          <w:sz w:val="24"/>
          <w:szCs w:val="24"/>
          <w:highlight w:val="none"/>
          <w:lang w:val="zh-CN"/>
        </w:rPr>
        <w:t>级手术室</w:t>
      </w:r>
      <w:r>
        <w:rPr>
          <w:rFonts w:hint="eastAsia" w:ascii="宋体" w:hAnsi="宋体" w:eastAsia="宋体" w:cs="宋体"/>
          <w:b w:val="0"/>
          <w:color w:val="auto"/>
          <w:spacing w:val="0"/>
          <w:kern w:val="2"/>
          <w:sz w:val="24"/>
          <w:szCs w:val="24"/>
          <w:highlight w:val="none"/>
          <w:lang w:val="zh-CN" w:eastAsia="zh"/>
        </w:rPr>
        <w:t>1</w:t>
      </w:r>
      <w:r>
        <w:rPr>
          <w:rFonts w:hint="eastAsia" w:ascii="宋体" w:hAnsi="宋体" w:eastAsia="宋体" w:cs="宋体"/>
          <w:b w:val="0"/>
          <w:color w:val="auto"/>
          <w:spacing w:val="0"/>
          <w:kern w:val="2"/>
          <w:sz w:val="24"/>
          <w:szCs w:val="24"/>
          <w:highlight w:val="none"/>
          <w:lang w:val="zh-CN"/>
        </w:rPr>
        <w:t>间，</w:t>
      </w:r>
      <w:r>
        <w:rPr>
          <w:rFonts w:hint="eastAsia" w:ascii="宋体" w:hAnsi="宋体" w:eastAsia="宋体" w:cs="宋体"/>
          <w:b w:val="0"/>
          <w:color w:val="auto"/>
          <w:spacing w:val="0"/>
          <w:kern w:val="2"/>
          <w:sz w:val="24"/>
          <w:szCs w:val="24"/>
          <w:highlight w:val="none"/>
          <w:lang w:val="zh-CN" w:eastAsia="zh"/>
        </w:rPr>
        <w:t>Ⅱ</w:t>
      </w:r>
      <w:r>
        <w:rPr>
          <w:rFonts w:hint="eastAsia" w:ascii="宋体" w:hAnsi="宋体" w:eastAsia="宋体" w:cs="宋体"/>
          <w:b w:val="0"/>
          <w:color w:val="auto"/>
          <w:spacing w:val="0"/>
          <w:kern w:val="2"/>
          <w:sz w:val="24"/>
          <w:szCs w:val="24"/>
          <w:highlight w:val="none"/>
          <w:lang w:val="zh-CN"/>
        </w:rPr>
        <w:t>级手术室</w:t>
      </w:r>
      <w:r>
        <w:rPr>
          <w:rFonts w:hint="eastAsia" w:ascii="宋体" w:hAnsi="宋体" w:eastAsia="宋体" w:cs="宋体"/>
          <w:b w:val="0"/>
          <w:color w:val="auto"/>
          <w:spacing w:val="0"/>
          <w:kern w:val="2"/>
          <w:sz w:val="24"/>
          <w:szCs w:val="24"/>
          <w:highlight w:val="none"/>
          <w:lang w:val="zh-CN" w:eastAsia="zh"/>
        </w:rPr>
        <w:t>1</w:t>
      </w:r>
      <w:r>
        <w:rPr>
          <w:rFonts w:hint="eastAsia" w:ascii="宋体" w:hAnsi="宋体" w:eastAsia="宋体" w:cs="宋体"/>
          <w:b w:val="0"/>
          <w:color w:val="auto"/>
          <w:spacing w:val="0"/>
          <w:kern w:val="2"/>
          <w:sz w:val="24"/>
          <w:szCs w:val="24"/>
          <w:highlight w:val="none"/>
          <w:lang w:val="zh-CN"/>
        </w:rPr>
        <w:t>间</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采用一拖一的空调系统，共设计2台医用卫生型净化空调机组。</w:t>
      </w:r>
    </w:p>
    <w:p w14:paraId="053A3EB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洁净区走廊及其辅房，设计1台医用卫生型净化空调机组。</w:t>
      </w:r>
    </w:p>
    <w:p w14:paraId="1C4AE04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手术室办公区采用风机盘管加新风形式。手术室设置1台新风机组，新风设置深度除湿措施。</w:t>
      </w:r>
    </w:p>
    <w:p w14:paraId="131DF42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4</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每间手术室各自设置独立排风系统，其余区域按要求设置排风系统，具体见后附设备表。每间手术室外设置液晶式压差显示装置1套，显示手术室压差情况。</w:t>
      </w:r>
    </w:p>
    <w:p w14:paraId="5FCB762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6.2.4</w:t>
      </w:r>
      <w:r>
        <w:rPr>
          <w:rFonts w:hint="eastAsia" w:ascii="宋体" w:hAnsi="宋体" w:eastAsia="宋体" w:cs="宋体"/>
          <w:b w:val="0"/>
          <w:color w:val="auto"/>
          <w:spacing w:val="0"/>
          <w:kern w:val="2"/>
          <w:sz w:val="24"/>
          <w:szCs w:val="24"/>
          <w:highlight w:val="none"/>
          <w:lang w:val="zh-CN"/>
        </w:rPr>
        <w:t>四层静脉配置中心：</w:t>
      </w:r>
    </w:p>
    <w:p w14:paraId="29110CD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静脉配置中心配置区按配置药品的要求共设计2台医用卫生型净化空调机组。静脉配置中心其它区域采用风机盘管加新风形式，静脉配置中心核心工作区设置空气消毒器。</w:t>
      </w:r>
    </w:p>
    <w:p w14:paraId="34C45EA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静脉配置中心净化区域新风采用自吸式供给方式。静脉配置中心其它区域设置1台普通新风机组。静脉配置中心区域按要求设置排风系统。</w:t>
      </w:r>
    </w:p>
    <w:p w14:paraId="60BB957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6.3通风设计</w:t>
      </w:r>
    </w:p>
    <w:p w14:paraId="5BE9DBA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6.3.1气流组织设计</w:t>
      </w:r>
    </w:p>
    <w:p w14:paraId="47EEDB1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手术室采用专用手术室净化天花送风，送风天花设于手术台上方，手术室在手术台两侧设置带F7中效过滤器的回风，下边离地面0.1m，上边离地面0.5m，气流组织上顶送双下侧回，保证手术台及周边区域处于洁净气流形成的主流区。</w:t>
      </w:r>
    </w:p>
    <w:p w14:paraId="3D06C89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洁净区走廊及其辅房采用高效送风口送风，区域按要求设置带F7中效过滤器的回风，气流组织为上顶送上（下）回（排）风。</w:t>
      </w:r>
    </w:p>
    <w:p w14:paraId="3CDA47B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其余非净化区域采用风机盘管送风，气流组织为上顶送上顶回风，部分区域设置下排风。</w:t>
      </w:r>
    </w:p>
    <w:p w14:paraId="6E205733">
      <w:pPr>
        <w:ind w:firstLine="480" w:firstLineChars="200"/>
        <w:rPr>
          <w:rFonts w:hint="eastAsia"/>
          <w:highlight w:val="none"/>
          <w:lang w:val="zh-CN"/>
        </w:rPr>
      </w:pPr>
      <w:r>
        <w:rPr>
          <w:rFonts w:hint="eastAsia" w:ascii="宋体" w:hAnsi="宋体" w:eastAsia="宋体" w:cs="宋体"/>
          <w:b w:val="0"/>
          <w:color w:val="auto"/>
          <w:spacing w:val="0"/>
          <w:kern w:val="2"/>
          <w:sz w:val="24"/>
          <w:szCs w:val="24"/>
          <w:highlight w:val="none"/>
          <w:lang w:val="zh-CN"/>
        </w:rPr>
        <w:t>（</w:t>
      </w:r>
      <w:r>
        <w:rPr>
          <w:rFonts w:hint="eastAsia" w:ascii="宋体" w:hAnsi="宋体" w:eastAsia="宋体" w:cs="宋体"/>
          <w:b w:val="0"/>
          <w:color w:val="auto"/>
          <w:spacing w:val="0"/>
          <w:kern w:val="2"/>
          <w:sz w:val="24"/>
          <w:szCs w:val="24"/>
          <w:highlight w:val="none"/>
          <w:lang w:val="en-US" w:eastAsia="zh-CN"/>
        </w:rPr>
        <w:t>4</w:t>
      </w:r>
      <w:r>
        <w:rPr>
          <w:rFonts w:hint="eastAsia" w:ascii="宋体" w:hAnsi="宋体" w:eastAsia="宋体" w:cs="宋体"/>
          <w:b w:val="0"/>
          <w:color w:val="auto"/>
          <w:spacing w:val="0"/>
          <w:kern w:val="2"/>
          <w:sz w:val="24"/>
          <w:szCs w:val="24"/>
          <w:highlight w:val="none"/>
          <w:lang w:val="zh-CN"/>
        </w:rPr>
        <w:t>）</w:t>
      </w:r>
      <w:r>
        <w:rPr>
          <w:rFonts w:hint="eastAsia" w:ascii="宋体" w:hAnsi="宋体" w:eastAsia="宋体" w:cs="宋体"/>
          <w:b w:val="0"/>
          <w:color w:val="auto"/>
          <w:spacing w:val="0"/>
          <w:kern w:val="2"/>
          <w:sz w:val="24"/>
          <w:szCs w:val="24"/>
          <w:highlight w:val="none"/>
          <w:lang w:val="en-US" w:eastAsia="zh-CN"/>
        </w:rPr>
        <w:t>送风面风速均匀性：≤10%偏差，气流垂直度：≤150偏角，过滤器检漏效率：≥99.99%（MPPS法），箱体漏风率：≤1%，密封条耐久性（次）：≥10万次。</w:t>
      </w:r>
      <w:r>
        <w:rPr>
          <w:rFonts w:hint="eastAsia" w:ascii="宋体" w:hAnsi="宋体" w:eastAsia="宋体" w:cs="宋体"/>
          <w:b/>
          <w:bCs/>
          <w:color w:val="auto"/>
          <w:spacing w:val="0"/>
          <w:kern w:val="2"/>
          <w:sz w:val="24"/>
          <w:szCs w:val="24"/>
          <w:highlight w:val="none"/>
          <w:lang w:val="en-US" w:eastAsia="zh-CN"/>
        </w:rPr>
        <w:t>投标文件中提供具有CMA认证的第三方检测机构出具的检测报告扫描件或复印件。</w:t>
      </w:r>
    </w:p>
    <w:p w14:paraId="30A4A8F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6.3.2</w:t>
      </w:r>
      <w:r>
        <w:rPr>
          <w:rFonts w:hint="eastAsia" w:ascii="宋体" w:hAnsi="宋体" w:eastAsia="宋体" w:cs="宋体"/>
          <w:b w:val="0"/>
          <w:color w:val="auto"/>
          <w:spacing w:val="0"/>
          <w:kern w:val="2"/>
          <w:sz w:val="24"/>
          <w:szCs w:val="24"/>
          <w:highlight w:val="none"/>
          <w:lang w:val="zh-CN"/>
        </w:rPr>
        <w:t>净化系统过滤器配置：</w:t>
      </w:r>
    </w:p>
    <w:p w14:paraId="621B963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集中净化新风机组设置初效过滤（G4）、中效过滤（F8）、亚高效过滤（H10）。</w:t>
      </w:r>
    </w:p>
    <w:p w14:paraId="6A4893B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前端设置集中净化新风机组的医用卫生型净化新风机组设置初效过滤（G4）、中效过滤（F8）。</w:t>
      </w:r>
    </w:p>
    <w:p w14:paraId="2E2D535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自吸式医用卫生型净化新风机组设置初效过滤（G4）、中效过滤（F8）。</w:t>
      </w:r>
    </w:p>
    <w:p w14:paraId="4FE5379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4</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净化系统空调末端（专用手术室净化天花、高效送风口等）设置高效过滤（H13）。</w:t>
      </w:r>
    </w:p>
    <w:p w14:paraId="561507E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6.4</w:t>
      </w:r>
      <w:r>
        <w:rPr>
          <w:rFonts w:hint="eastAsia" w:ascii="宋体" w:hAnsi="宋体" w:eastAsia="宋体" w:cs="宋体"/>
          <w:b/>
          <w:bCs/>
          <w:color w:val="auto"/>
          <w:spacing w:val="0"/>
          <w:kern w:val="2"/>
          <w:sz w:val="24"/>
          <w:szCs w:val="24"/>
          <w:highlight w:val="none"/>
          <w:lang w:val="zh-CN"/>
        </w:rPr>
        <w:t xml:space="preserve">空调冷热源设计：    </w:t>
      </w:r>
    </w:p>
    <w:p w14:paraId="561562C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冷热源主机配置：设计区域内空调系统全年冷热源（包含过渡季节）均由屋面设置的四管制风冷热泵机组提供的空调冷热水（冷热源还预留了三层ICU的冷热量）。</w:t>
      </w:r>
    </w:p>
    <w:p w14:paraId="7C5F263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水系统设置：所有空调机组和新风机组采用四管制水系统，风机盘管采用二管制水系统。</w:t>
      </w:r>
    </w:p>
    <w:p w14:paraId="05A77A7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6.5主要技术指标</w:t>
      </w:r>
    </w:p>
    <w:p w14:paraId="04915B2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6.5.1洁净手术间主要技术指标</w:t>
      </w:r>
    </w:p>
    <w:tbl>
      <w:tblPr>
        <w:tblStyle w:val="2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992"/>
        <w:gridCol w:w="702"/>
        <w:gridCol w:w="702"/>
        <w:gridCol w:w="756"/>
        <w:gridCol w:w="846"/>
        <w:gridCol w:w="702"/>
        <w:gridCol w:w="1074"/>
        <w:gridCol w:w="702"/>
        <w:gridCol w:w="759"/>
        <w:gridCol w:w="850"/>
      </w:tblGrid>
      <w:tr w14:paraId="2AC33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111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D0092C6">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snapToGrid w:val="0"/>
                <w:color w:val="000000"/>
                <w:kern w:val="0"/>
                <w:sz w:val="18"/>
                <w:szCs w:val="18"/>
                <w:highlight w:val="none"/>
                <w:u w:val="none"/>
                <w:lang w:val="en-US" w:eastAsia="zh-CN" w:bidi="ar"/>
              </w:rPr>
              <w:t>名称</w:t>
            </w:r>
          </w:p>
        </w:tc>
        <w:tc>
          <w:tcPr>
            <w:tcW w:w="408" w:type="pct"/>
            <w:tcBorders>
              <w:top w:val="single" w:color="000000" w:sz="8" w:space="0"/>
              <w:left w:val="nil"/>
              <w:bottom w:val="single" w:color="000000" w:sz="8" w:space="0"/>
              <w:right w:val="single" w:color="000000" w:sz="8" w:space="0"/>
            </w:tcBorders>
            <w:shd w:val="clear" w:color="auto" w:fill="auto"/>
            <w:vAlign w:val="top"/>
          </w:tcPr>
          <w:p w14:paraId="3F027C2C">
            <w:pPr>
              <w:keepNext w:val="0"/>
              <w:keepLines w:val="0"/>
              <w:widowControl/>
              <w:suppressLineNumbers w:val="0"/>
              <w:jc w:val="center"/>
              <w:textAlignment w:val="top"/>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snapToGrid w:val="0"/>
                <w:color w:val="000000"/>
                <w:kern w:val="0"/>
                <w:sz w:val="18"/>
                <w:szCs w:val="18"/>
                <w:highlight w:val="none"/>
                <w:u w:val="none"/>
                <w:lang w:val="en-US" w:eastAsia="zh-CN" w:bidi="ar"/>
              </w:rPr>
              <w:t>室内压力</w:t>
            </w:r>
          </w:p>
        </w:tc>
        <w:tc>
          <w:tcPr>
            <w:tcW w:w="408" w:type="pct"/>
            <w:tcBorders>
              <w:top w:val="single" w:color="000000" w:sz="8" w:space="0"/>
              <w:left w:val="nil"/>
              <w:bottom w:val="single" w:color="000000" w:sz="8" w:space="0"/>
              <w:right w:val="single" w:color="000000" w:sz="8" w:space="0"/>
            </w:tcBorders>
            <w:shd w:val="clear" w:color="auto" w:fill="auto"/>
            <w:vAlign w:val="top"/>
          </w:tcPr>
          <w:p w14:paraId="446763FD">
            <w:pPr>
              <w:keepNext w:val="0"/>
              <w:keepLines w:val="0"/>
              <w:widowControl/>
              <w:suppressLineNumbers w:val="0"/>
              <w:jc w:val="center"/>
              <w:textAlignment w:val="top"/>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snapToGrid w:val="0"/>
                <w:color w:val="000000"/>
                <w:kern w:val="0"/>
                <w:sz w:val="18"/>
                <w:szCs w:val="18"/>
                <w:highlight w:val="none"/>
                <w:u w:val="none"/>
                <w:lang w:val="en-US" w:eastAsia="zh-CN" w:bidi="ar"/>
              </w:rPr>
              <w:t>最小换气次数(次/h)</w:t>
            </w:r>
          </w:p>
        </w:tc>
        <w:tc>
          <w:tcPr>
            <w:tcW w:w="329" w:type="pct"/>
            <w:tcBorders>
              <w:top w:val="single" w:color="000000" w:sz="8" w:space="0"/>
              <w:left w:val="nil"/>
              <w:bottom w:val="single" w:color="000000" w:sz="8" w:space="0"/>
              <w:right w:val="single" w:color="000000" w:sz="8" w:space="0"/>
            </w:tcBorders>
            <w:shd w:val="clear" w:color="auto" w:fill="auto"/>
            <w:vAlign w:val="top"/>
          </w:tcPr>
          <w:p w14:paraId="591BEFC1">
            <w:pPr>
              <w:keepNext w:val="0"/>
              <w:keepLines w:val="0"/>
              <w:widowControl/>
              <w:suppressLineNumbers w:val="0"/>
              <w:jc w:val="center"/>
              <w:textAlignment w:val="top"/>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snapToGrid w:val="0"/>
                <w:color w:val="000000"/>
                <w:kern w:val="0"/>
                <w:sz w:val="18"/>
                <w:szCs w:val="18"/>
                <w:highlight w:val="none"/>
                <w:u w:val="none"/>
                <w:lang w:val="en-US" w:eastAsia="zh-CN" w:bidi="ar"/>
              </w:rPr>
              <w:t>工作区平均风速</w:t>
            </w:r>
          </w:p>
        </w:tc>
        <w:tc>
          <w:tcPr>
            <w:tcW w:w="487" w:type="pct"/>
            <w:tcBorders>
              <w:top w:val="single" w:color="000000" w:sz="8" w:space="0"/>
              <w:left w:val="nil"/>
              <w:bottom w:val="single" w:color="000000" w:sz="8" w:space="0"/>
              <w:right w:val="single" w:color="000000" w:sz="8" w:space="0"/>
            </w:tcBorders>
            <w:shd w:val="clear" w:color="auto" w:fill="auto"/>
            <w:vAlign w:val="top"/>
          </w:tcPr>
          <w:p w14:paraId="00854355">
            <w:pPr>
              <w:keepNext w:val="0"/>
              <w:keepLines w:val="0"/>
              <w:widowControl/>
              <w:suppressLineNumbers w:val="0"/>
              <w:jc w:val="center"/>
              <w:textAlignment w:val="top"/>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snapToGrid w:val="0"/>
                <w:color w:val="000000"/>
                <w:kern w:val="0"/>
                <w:sz w:val="18"/>
                <w:szCs w:val="18"/>
                <w:highlight w:val="none"/>
                <w:u w:val="none"/>
                <w:lang w:val="en-US" w:eastAsia="zh-CN" w:bidi="ar"/>
              </w:rPr>
              <w:t>温度(℃)</w:t>
            </w:r>
          </w:p>
        </w:tc>
        <w:tc>
          <w:tcPr>
            <w:tcW w:w="408" w:type="pct"/>
            <w:tcBorders>
              <w:top w:val="single" w:color="000000" w:sz="8" w:space="0"/>
              <w:left w:val="nil"/>
              <w:bottom w:val="single" w:color="000000" w:sz="8" w:space="0"/>
              <w:right w:val="single" w:color="000000" w:sz="8" w:space="0"/>
            </w:tcBorders>
            <w:shd w:val="clear" w:color="auto" w:fill="auto"/>
            <w:vAlign w:val="top"/>
          </w:tcPr>
          <w:p w14:paraId="029CA8F4">
            <w:pPr>
              <w:keepNext w:val="0"/>
              <w:keepLines w:val="0"/>
              <w:widowControl/>
              <w:suppressLineNumbers w:val="0"/>
              <w:jc w:val="center"/>
              <w:textAlignment w:val="top"/>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snapToGrid w:val="0"/>
                <w:color w:val="000000"/>
                <w:kern w:val="0"/>
                <w:sz w:val="18"/>
                <w:szCs w:val="18"/>
                <w:highlight w:val="none"/>
                <w:u w:val="none"/>
                <w:lang w:val="en-US" w:eastAsia="zh-CN" w:bidi="ar"/>
              </w:rPr>
              <w:t>相对湿度(%)</w:t>
            </w:r>
          </w:p>
        </w:tc>
        <w:tc>
          <w:tcPr>
            <w:tcW w:w="612" w:type="pct"/>
            <w:tcBorders>
              <w:top w:val="single" w:color="000000" w:sz="8" w:space="0"/>
              <w:left w:val="nil"/>
              <w:bottom w:val="single" w:color="000000" w:sz="8" w:space="0"/>
              <w:right w:val="single" w:color="000000" w:sz="8" w:space="0"/>
            </w:tcBorders>
            <w:shd w:val="clear" w:color="auto" w:fill="auto"/>
            <w:vAlign w:val="top"/>
          </w:tcPr>
          <w:p w14:paraId="7076971E">
            <w:pPr>
              <w:keepNext w:val="0"/>
              <w:keepLines w:val="0"/>
              <w:widowControl/>
              <w:suppressLineNumbers w:val="0"/>
              <w:jc w:val="center"/>
              <w:textAlignment w:val="top"/>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snapToGrid w:val="0"/>
                <w:color w:val="000000"/>
                <w:kern w:val="0"/>
                <w:sz w:val="18"/>
                <w:szCs w:val="18"/>
                <w:highlight w:val="none"/>
                <w:u w:val="none"/>
                <w:lang w:val="en-US" w:eastAsia="zh-CN" w:bidi="ar"/>
              </w:rPr>
              <w:t>最小新风量m³/h.m²或次/h(括号数据)</w:t>
            </w:r>
          </w:p>
        </w:tc>
        <w:tc>
          <w:tcPr>
            <w:tcW w:w="408" w:type="pct"/>
            <w:tcBorders>
              <w:top w:val="single" w:color="000000" w:sz="8" w:space="0"/>
              <w:left w:val="nil"/>
              <w:bottom w:val="single" w:color="000000" w:sz="8" w:space="0"/>
              <w:right w:val="single" w:color="000000" w:sz="8" w:space="0"/>
            </w:tcBorders>
            <w:shd w:val="clear" w:color="auto" w:fill="auto"/>
            <w:vAlign w:val="top"/>
          </w:tcPr>
          <w:p w14:paraId="6EA790F3">
            <w:pPr>
              <w:keepNext w:val="0"/>
              <w:keepLines w:val="0"/>
              <w:widowControl/>
              <w:suppressLineNumbers w:val="0"/>
              <w:jc w:val="center"/>
              <w:textAlignment w:val="top"/>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snapToGrid w:val="0"/>
                <w:color w:val="000000"/>
                <w:kern w:val="0"/>
                <w:sz w:val="18"/>
                <w:szCs w:val="18"/>
                <w:highlight w:val="none"/>
                <w:u w:val="none"/>
                <w:lang w:val="en-US" w:eastAsia="zh-CN" w:bidi="ar"/>
              </w:rPr>
              <w:t>噪声DB（A）</w:t>
            </w:r>
          </w:p>
        </w:tc>
        <w:tc>
          <w:tcPr>
            <w:tcW w:w="408" w:type="pct"/>
            <w:tcBorders>
              <w:top w:val="single" w:color="000000" w:sz="8" w:space="0"/>
              <w:left w:val="nil"/>
              <w:bottom w:val="single" w:color="000000" w:sz="8" w:space="0"/>
              <w:right w:val="single" w:color="000000" w:sz="8" w:space="0"/>
            </w:tcBorders>
            <w:shd w:val="clear" w:color="auto" w:fill="auto"/>
            <w:vAlign w:val="top"/>
          </w:tcPr>
          <w:p w14:paraId="1AAE22BE">
            <w:pPr>
              <w:keepNext w:val="0"/>
              <w:keepLines w:val="0"/>
              <w:widowControl/>
              <w:suppressLineNumbers w:val="0"/>
              <w:jc w:val="center"/>
              <w:textAlignment w:val="top"/>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snapToGrid w:val="0"/>
                <w:color w:val="000000"/>
                <w:kern w:val="0"/>
                <w:sz w:val="18"/>
                <w:szCs w:val="18"/>
                <w:highlight w:val="none"/>
                <w:u w:val="none"/>
                <w:lang w:val="en-US" w:eastAsia="zh-CN" w:bidi="ar"/>
              </w:rPr>
              <w:t>最低照度（LX）</w:t>
            </w:r>
          </w:p>
        </w:tc>
        <w:tc>
          <w:tcPr>
            <w:tcW w:w="408" w:type="pct"/>
            <w:tcBorders>
              <w:top w:val="single" w:color="000000" w:sz="8" w:space="0"/>
              <w:left w:val="nil"/>
              <w:bottom w:val="single" w:color="000000" w:sz="8" w:space="0"/>
              <w:right w:val="single" w:color="000000" w:sz="8" w:space="0"/>
            </w:tcBorders>
            <w:shd w:val="clear" w:color="auto" w:fill="auto"/>
            <w:vAlign w:val="top"/>
          </w:tcPr>
          <w:p w14:paraId="6FA6B73D">
            <w:pPr>
              <w:keepNext w:val="0"/>
              <w:keepLines w:val="0"/>
              <w:widowControl/>
              <w:suppressLineNumbers w:val="0"/>
              <w:jc w:val="center"/>
              <w:textAlignment w:val="top"/>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snapToGrid w:val="0"/>
                <w:color w:val="000000"/>
                <w:kern w:val="0"/>
                <w:sz w:val="18"/>
                <w:szCs w:val="18"/>
                <w:highlight w:val="none"/>
                <w:u w:val="none"/>
                <w:lang w:val="en-US" w:eastAsia="zh-CN" w:bidi="ar"/>
              </w:rPr>
              <w:t>最少术间自净（min）</w:t>
            </w:r>
          </w:p>
        </w:tc>
      </w:tr>
      <w:tr w14:paraId="2F3FA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5" w:hRule="atLeast"/>
        </w:trPr>
        <w:tc>
          <w:tcPr>
            <w:tcW w:w="1117" w:type="pct"/>
            <w:tcBorders>
              <w:top w:val="nil"/>
              <w:left w:val="single" w:color="000000" w:sz="8" w:space="0"/>
              <w:bottom w:val="single" w:color="000000" w:sz="8" w:space="0"/>
              <w:right w:val="single" w:color="000000" w:sz="8" w:space="0"/>
            </w:tcBorders>
            <w:shd w:val="clear" w:color="auto" w:fill="auto"/>
            <w:vAlign w:val="center"/>
          </w:tcPr>
          <w:p w14:paraId="39410E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Ⅰ级洁净手术室和需要无菌操作的特殊用房</w:t>
            </w:r>
          </w:p>
        </w:tc>
        <w:tc>
          <w:tcPr>
            <w:tcW w:w="408" w:type="pct"/>
            <w:tcBorders>
              <w:top w:val="nil"/>
              <w:left w:val="nil"/>
              <w:bottom w:val="single" w:color="000000" w:sz="8" w:space="0"/>
              <w:right w:val="single" w:color="000000" w:sz="8" w:space="0"/>
            </w:tcBorders>
            <w:shd w:val="clear" w:color="auto" w:fill="auto"/>
            <w:vAlign w:val="center"/>
          </w:tcPr>
          <w:p w14:paraId="4F5674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正</w:t>
            </w:r>
          </w:p>
        </w:tc>
        <w:tc>
          <w:tcPr>
            <w:tcW w:w="408" w:type="pct"/>
            <w:tcBorders>
              <w:top w:val="nil"/>
              <w:left w:val="nil"/>
              <w:bottom w:val="single" w:color="000000" w:sz="8" w:space="0"/>
              <w:right w:val="single" w:color="000000" w:sz="8" w:space="0"/>
            </w:tcBorders>
            <w:shd w:val="clear" w:color="auto" w:fill="auto"/>
            <w:vAlign w:val="center"/>
          </w:tcPr>
          <w:p w14:paraId="16BD22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329" w:type="pct"/>
            <w:tcBorders>
              <w:top w:val="nil"/>
              <w:left w:val="nil"/>
              <w:bottom w:val="single" w:color="000000" w:sz="8" w:space="0"/>
              <w:right w:val="single" w:color="000000" w:sz="8" w:space="0"/>
            </w:tcBorders>
            <w:shd w:val="clear" w:color="auto" w:fill="auto"/>
            <w:vAlign w:val="center"/>
          </w:tcPr>
          <w:p w14:paraId="2F880C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0.20～0.25</w:t>
            </w:r>
          </w:p>
        </w:tc>
        <w:tc>
          <w:tcPr>
            <w:tcW w:w="487" w:type="pct"/>
            <w:tcBorders>
              <w:top w:val="nil"/>
              <w:left w:val="nil"/>
              <w:bottom w:val="single" w:color="000000" w:sz="8" w:space="0"/>
              <w:right w:val="single" w:color="000000" w:sz="8" w:space="0"/>
            </w:tcBorders>
            <w:shd w:val="clear" w:color="auto" w:fill="auto"/>
            <w:vAlign w:val="center"/>
          </w:tcPr>
          <w:p w14:paraId="5A6147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21～25</w:t>
            </w:r>
          </w:p>
        </w:tc>
        <w:tc>
          <w:tcPr>
            <w:tcW w:w="408" w:type="pct"/>
            <w:tcBorders>
              <w:top w:val="nil"/>
              <w:left w:val="nil"/>
              <w:bottom w:val="single" w:color="000000" w:sz="8" w:space="0"/>
              <w:right w:val="single" w:color="000000" w:sz="8" w:space="0"/>
            </w:tcBorders>
            <w:shd w:val="clear" w:color="auto" w:fill="auto"/>
            <w:vAlign w:val="center"/>
          </w:tcPr>
          <w:p w14:paraId="05BC2F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30～60</w:t>
            </w:r>
          </w:p>
        </w:tc>
        <w:tc>
          <w:tcPr>
            <w:tcW w:w="612" w:type="pct"/>
            <w:tcBorders>
              <w:top w:val="nil"/>
              <w:left w:val="nil"/>
              <w:bottom w:val="single" w:color="000000" w:sz="8" w:space="0"/>
              <w:right w:val="single" w:color="000000" w:sz="8" w:space="0"/>
            </w:tcBorders>
            <w:shd w:val="clear" w:color="auto" w:fill="auto"/>
            <w:vAlign w:val="center"/>
          </w:tcPr>
          <w:p w14:paraId="789358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15～20</w:t>
            </w:r>
          </w:p>
        </w:tc>
        <w:tc>
          <w:tcPr>
            <w:tcW w:w="408" w:type="pct"/>
            <w:tcBorders>
              <w:top w:val="nil"/>
              <w:left w:val="nil"/>
              <w:bottom w:val="single" w:color="000000" w:sz="8" w:space="0"/>
              <w:right w:val="single" w:color="000000" w:sz="8" w:space="0"/>
            </w:tcBorders>
            <w:shd w:val="clear" w:color="auto" w:fill="auto"/>
            <w:vAlign w:val="center"/>
          </w:tcPr>
          <w:p w14:paraId="45A66A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w:t>
            </w:r>
          </w:p>
        </w:tc>
        <w:tc>
          <w:tcPr>
            <w:tcW w:w="408" w:type="pct"/>
            <w:tcBorders>
              <w:top w:val="nil"/>
              <w:left w:val="nil"/>
              <w:bottom w:val="single" w:color="000000" w:sz="8" w:space="0"/>
              <w:right w:val="single" w:color="000000" w:sz="8" w:space="0"/>
            </w:tcBorders>
            <w:shd w:val="clear" w:color="auto" w:fill="auto"/>
            <w:vAlign w:val="center"/>
          </w:tcPr>
          <w:p w14:paraId="38752C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≥350</w:t>
            </w:r>
          </w:p>
        </w:tc>
        <w:tc>
          <w:tcPr>
            <w:tcW w:w="408" w:type="pct"/>
            <w:tcBorders>
              <w:top w:val="nil"/>
              <w:left w:val="nil"/>
              <w:bottom w:val="single" w:color="000000" w:sz="8" w:space="0"/>
              <w:right w:val="single" w:color="000000" w:sz="8" w:space="0"/>
            </w:tcBorders>
            <w:shd w:val="clear" w:color="auto" w:fill="auto"/>
            <w:vAlign w:val="center"/>
          </w:tcPr>
          <w:p w14:paraId="268E96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r>
      <w:tr w14:paraId="20768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117" w:type="pct"/>
            <w:tcBorders>
              <w:top w:val="nil"/>
              <w:left w:val="single" w:color="000000" w:sz="8" w:space="0"/>
              <w:bottom w:val="single" w:color="000000" w:sz="8" w:space="0"/>
              <w:right w:val="single" w:color="000000" w:sz="8" w:space="0"/>
            </w:tcBorders>
            <w:shd w:val="clear" w:color="auto" w:fill="auto"/>
            <w:vAlign w:val="center"/>
          </w:tcPr>
          <w:p w14:paraId="480173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Ⅱ级洁净手术室</w:t>
            </w:r>
          </w:p>
        </w:tc>
        <w:tc>
          <w:tcPr>
            <w:tcW w:w="408" w:type="pct"/>
            <w:tcBorders>
              <w:top w:val="nil"/>
              <w:left w:val="nil"/>
              <w:bottom w:val="single" w:color="000000" w:sz="8" w:space="0"/>
              <w:right w:val="single" w:color="000000" w:sz="8" w:space="0"/>
            </w:tcBorders>
            <w:shd w:val="clear" w:color="auto" w:fill="auto"/>
            <w:vAlign w:val="center"/>
          </w:tcPr>
          <w:p w14:paraId="76B1D2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正</w:t>
            </w:r>
          </w:p>
        </w:tc>
        <w:tc>
          <w:tcPr>
            <w:tcW w:w="408" w:type="pct"/>
            <w:tcBorders>
              <w:top w:val="nil"/>
              <w:left w:val="nil"/>
              <w:bottom w:val="single" w:color="000000" w:sz="8" w:space="0"/>
              <w:right w:val="single" w:color="000000" w:sz="8" w:space="0"/>
            </w:tcBorders>
            <w:shd w:val="clear" w:color="auto" w:fill="auto"/>
            <w:vAlign w:val="center"/>
          </w:tcPr>
          <w:p w14:paraId="5B9C6B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c>
          <w:tcPr>
            <w:tcW w:w="329" w:type="pct"/>
            <w:tcBorders>
              <w:top w:val="nil"/>
              <w:left w:val="nil"/>
              <w:bottom w:val="single" w:color="000000" w:sz="8" w:space="0"/>
              <w:right w:val="single" w:color="000000" w:sz="8" w:space="0"/>
            </w:tcBorders>
            <w:shd w:val="clear" w:color="auto" w:fill="auto"/>
            <w:vAlign w:val="center"/>
          </w:tcPr>
          <w:p w14:paraId="06CC17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87" w:type="pct"/>
            <w:tcBorders>
              <w:top w:val="nil"/>
              <w:left w:val="nil"/>
              <w:bottom w:val="single" w:color="000000" w:sz="8" w:space="0"/>
              <w:right w:val="single" w:color="000000" w:sz="8" w:space="0"/>
            </w:tcBorders>
            <w:shd w:val="clear" w:color="auto" w:fill="auto"/>
            <w:vAlign w:val="center"/>
          </w:tcPr>
          <w:p w14:paraId="5FAEEC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21～25</w:t>
            </w:r>
          </w:p>
        </w:tc>
        <w:tc>
          <w:tcPr>
            <w:tcW w:w="408" w:type="pct"/>
            <w:tcBorders>
              <w:top w:val="nil"/>
              <w:left w:val="nil"/>
              <w:bottom w:val="single" w:color="000000" w:sz="8" w:space="0"/>
              <w:right w:val="single" w:color="000000" w:sz="8" w:space="0"/>
            </w:tcBorders>
            <w:shd w:val="clear" w:color="auto" w:fill="auto"/>
            <w:vAlign w:val="center"/>
          </w:tcPr>
          <w:p w14:paraId="3A1802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30～60</w:t>
            </w:r>
          </w:p>
        </w:tc>
        <w:tc>
          <w:tcPr>
            <w:tcW w:w="612" w:type="pct"/>
            <w:tcBorders>
              <w:top w:val="nil"/>
              <w:left w:val="nil"/>
              <w:bottom w:val="single" w:color="000000" w:sz="8" w:space="0"/>
              <w:right w:val="single" w:color="000000" w:sz="8" w:space="0"/>
            </w:tcBorders>
            <w:shd w:val="clear" w:color="auto" w:fill="auto"/>
            <w:vAlign w:val="center"/>
          </w:tcPr>
          <w:p w14:paraId="36DEA7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15～20</w:t>
            </w:r>
          </w:p>
        </w:tc>
        <w:tc>
          <w:tcPr>
            <w:tcW w:w="408" w:type="pct"/>
            <w:tcBorders>
              <w:top w:val="nil"/>
              <w:left w:val="nil"/>
              <w:bottom w:val="single" w:color="000000" w:sz="8" w:space="0"/>
              <w:right w:val="single" w:color="000000" w:sz="8" w:space="0"/>
            </w:tcBorders>
            <w:shd w:val="clear" w:color="auto" w:fill="auto"/>
            <w:vAlign w:val="center"/>
          </w:tcPr>
          <w:p w14:paraId="38CF2E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w:t>
            </w:r>
          </w:p>
        </w:tc>
        <w:tc>
          <w:tcPr>
            <w:tcW w:w="408" w:type="pct"/>
            <w:tcBorders>
              <w:top w:val="nil"/>
              <w:left w:val="nil"/>
              <w:bottom w:val="single" w:color="000000" w:sz="8" w:space="0"/>
              <w:right w:val="single" w:color="000000" w:sz="8" w:space="0"/>
            </w:tcBorders>
            <w:shd w:val="clear" w:color="auto" w:fill="auto"/>
            <w:vAlign w:val="center"/>
          </w:tcPr>
          <w:p w14:paraId="779303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≥350</w:t>
            </w:r>
          </w:p>
        </w:tc>
        <w:tc>
          <w:tcPr>
            <w:tcW w:w="408" w:type="pct"/>
            <w:tcBorders>
              <w:top w:val="nil"/>
              <w:left w:val="nil"/>
              <w:bottom w:val="single" w:color="000000" w:sz="8" w:space="0"/>
              <w:right w:val="single" w:color="000000" w:sz="8" w:space="0"/>
            </w:tcBorders>
            <w:shd w:val="clear" w:color="auto" w:fill="auto"/>
            <w:vAlign w:val="center"/>
          </w:tcPr>
          <w:p w14:paraId="0616E5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r>
      <w:tr w14:paraId="02FA1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117" w:type="pct"/>
            <w:tcBorders>
              <w:top w:val="nil"/>
              <w:left w:val="single" w:color="000000" w:sz="8" w:space="0"/>
              <w:bottom w:val="single" w:color="000000" w:sz="8" w:space="0"/>
              <w:right w:val="single" w:color="000000" w:sz="8" w:space="0"/>
            </w:tcBorders>
            <w:shd w:val="clear" w:color="auto" w:fill="auto"/>
            <w:vAlign w:val="center"/>
          </w:tcPr>
          <w:p w14:paraId="7D54B7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Ⅲ级洁净手术室</w:t>
            </w:r>
          </w:p>
        </w:tc>
        <w:tc>
          <w:tcPr>
            <w:tcW w:w="408" w:type="pct"/>
            <w:tcBorders>
              <w:top w:val="nil"/>
              <w:left w:val="nil"/>
              <w:bottom w:val="single" w:color="000000" w:sz="8" w:space="0"/>
              <w:right w:val="single" w:color="000000" w:sz="8" w:space="0"/>
            </w:tcBorders>
            <w:shd w:val="clear" w:color="auto" w:fill="auto"/>
            <w:vAlign w:val="center"/>
          </w:tcPr>
          <w:p w14:paraId="7D3F04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正</w:t>
            </w:r>
          </w:p>
        </w:tc>
        <w:tc>
          <w:tcPr>
            <w:tcW w:w="408" w:type="pct"/>
            <w:tcBorders>
              <w:top w:val="nil"/>
              <w:left w:val="nil"/>
              <w:bottom w:val="single" w:color="000000" w:sz="8" w:space="0"/>
              <w:right w:val="single" w:color="000000" w:sz="8" w:space="0"/>
            </w:tcBorders>
            <w:shd w:val="clear" w:color="auto" w:fill="auto"/>
            <w:vAlign w:val="center"/>
          </w:tcPr>
          <w:p w14:paraId="50AE1A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w:t>
            </w:r>
          </w:p>
        </w:tc>
        <w:tc>
          <w:tcPr>
            <w:tcW w:w="329" w:type="pct"/>
            <w:tcBorders>
              <w:top w:val="nil"/>
              <w:left w:val="nil"/>
              <w:bottom w:val="single" w:color="000000" w:sz="8" w:space="0"/>
              <w:right w:val="single" w:color="000000" w:sz="8" w:space="0"/>
            </w:tcBorders>
            <w:shd w:val="clear" w:color="auto" w:fill="auto"/>
            <w:vAlign w:val="center"/>
          </w:tcPr>
          <w:p w14:paraId="183420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87" w:type="pct"/>
            <w:tcBorders>
              <w:top w:val="nil"/>
              <w:left w:val="nil"/>
              <w:bottom w:val="single" w:color="000000" w:sz="8" w:space="0"/>
              <w:right w:val="single" w:color="000000" w:sz="8" w:space="0"/>
            </w:tcBorders>
            <w:shd w:val="clear" w:color="auto" w:fill="auto"/>
            <w:vAlign w:val="center"/>
          </w:tcPr>
          <w:p w14:paraId="660F7B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21～25</w:t>
            </w:r>
          </w:p>
        </w:tc>
        <w:tc>
          <w:tcPr>
            <w:tcW w:w="408" w:type="pct"/>
            <w:tcBorders>
              <w:top w:val="nil"/>
              <w:left w:val="nil"/>
              <w:bottom w:val="single" w:color="000000" w:sz="8" w:space="0"/>
              <w:right w:val="single" w:color="000000" w:sz="8" w:space="0"/>
            </w:tcBorders>
            <w:shd w:val="clear" w:color="auto" w:fill="auto"/>
            <w:vAlign w:val="center"/>
          </w:tcPr>
          <w:p w14:paraId="2E4A11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30～60</w:t>
            </w:r>
          </w:p>
        </w:tc>
        <w:tc>
          <w:tcPr>
            <w:tcW w:w="612" w:type="pct"/>
            <w:tcBorders>
              <w:top w:val="nil"/>
              <w:left w:val="nil"/>
              <w:bottom w:val="single" w:color="000000" w:sz="8" w:space="0"/>
              <w:right w:val="single" w:color="000000" w:sz="8" w:space="0"/>
            </w:tcBorders>
            <w:shd w:val="clear" w:color="auto" w:fill="auto"/>
            <w:vAlign w:val="center"/>
          </w:tcPr>
          <w:p w14:paraId="160156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15～20</w:t>
            </w:r>
          </w:p>
        </w:tc>
        <w:tc>
          <w:tcPr>
            <w:tcW w:w="408" w:type="pct"/>
            <w:tcBorders>
              <w:top w:val="nil"/>
              <w:left w:val="nil"/>
              <w:bottom w:val="single" w:color="000000" w:sz="8" w:space="0"/>
              <w:right w:val="single" w:color="000000" w:sz="8" w:space="0"/>
            </w:tcBorders>
            <w:shd w:val="clear" w:color="auto" w:fill="auto"/>
            <w:vAlign w:val="center"/>
          </w:tcPr>
          <w:p w14:paraId="60FA56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w:t>
            </w:r>
          </w:p>
        </w:tc>
        <w:tc>
          <w:tcPr>
            <w:tcW w:w="408" w:type="pct"/>
            <w:tcBorders>
              <w:top w:val="nil"/>
              <w:left w:val="nil"/>
              <w:bottom w:val="single" w:color="000000" w:sz="8" w:space="0"/>
              <w:right w:val="single" w:color="000000" w:sz="8" w:space="0"/>
            </w:tcBorders>
            <w:shd w:val="clear" w:color="auto" w:fill="auto"/>
            <w:vAlign w:val="center"/>
          </w:tcPr>
          <w:p w14:paraId="5688B4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≥350</w:t>
            </w:r>
          </w:p>
        </w:tc>
        <w:tc>
          <w:tcPr>
            <w:tcW w:w="408" w:type="pct"/>
            <w:tcBorders>
              <w:top w:val="nil"/>
              <w:left w:val="nil"/>
              <w:bottom w:val="single" w:color="000000" w:sz="8" w:space="0"/>
              <w:right w:val="single" w:color="000000" w:sz="8" w:space="0"/>
            </w:tcBorders>
            <w:shd w:val="clear" w:color="auto" w:fill="auto"/>
            <w:vAlign w:val="center"/>
          </w:tcPr>
          <w:p w14:paraId="34BB14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r>
      <w:tr w14:paraId="6AAD2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1117" w:type="pct"/>
            <w:tcBorders>
              <w:top w:val="nil"/>
              <w:left w:val="single" w:color="000000" w:sz="8" w:space="0"/>
              <w:bottom w:val="single" w:color="000000" w:sz="8" w:space="0"/>
              <w:right w:val="single" w:color="000000" w:sz="8" w:space="0"/>
            </w:tcBorders>
            <w:shd w:val="clear" w:color="auto" w:fill="auto"/>
            <w:vAlign w:val="center"/>
          </w:tcPr>
          <w:p w14:paraId="033E4D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Ⅳ级洁净手术室</w:t>
            </w:r>
          </w:p>
        </w:tc>
        <w:tc>
          <w:tcPr>
            <w:tcW w:w="408" w:type="pct"/>
            <w:tcBorders>
              <w:top w:val="nil"/>
              <w:left w:val="nil"/>
              <w:bottom w:val="single" w:color="000000" w:sz="8" w:space="0"/>
              <w:right w:val="single" w:color="000000" w:sz="8" w:space="0"/>
            </w:tcBorders>
            <w:shd w:val="clear" w:color="auto" w:fill="auto"/>
            <w:vAlign w:val="center"/>
          </w:tcPr>
          <w:p w14:paraId="50B1C2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正</w:t>
            </w:r>
          </w:p>
        </w:tc>
        <w:tc>
          <w:tcPr>
            <w:tcW w:w="408" w:type="pct"/>
            <w:tcBorders>
              <w:top w:val="nil"/>
              <w:left w:val="nil"/>
              <w:bottom w:val="single" w:color="000000" w:sz="8" w:space="0"/>
              <w:right w:val="single" w:color="000000" w:sz="8" w:space="0"/>
            </w:tcBorders>
            <w:shd w:val="clear" w:color="auto" w:fill="auto"/>
            <w:vAlign w:val="center"/>
          </w:tcPr>
          <w:p w14:paraId="5BA415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329" w:type="pct"/>
            <w:tcBorders>
              <w:top w:val="nil"/>
              <w:left w:val="nil"/>
              <w:bottom w:val="single" w:color="000000" w:sz="8" w:space="0"/>
              <w:right w:val="single" w:color="000000" w:sz="8" w:space="0"/>
            </w:tcBorders>
            <w:shd w:val="clear" w:color="auto" w:fill="auto"/>
            <w:vAlign w:val="center"/>
          </w:tcPr>
          <w:p w14:paraId="411076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87" w:type="pct"/>
            <w:tcBorders>
              <w:top w:val="nil"/>
              <w:left w:val="nil"/>
              <w:bottom w:val="single" w:color="000000" w:sz="8" w:space="0"/>
              <w:right w:val="single" w:color="000000" w:sz="8" w:space="0"/>
            </w:tcBorders>
            <w:shd w:val="clear" w:color="auto" w:fill="auto"/>
            <w:vAlign w:val="center"/>
          </w:tcPr>
          <w:p w14:paraId="357EE8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21～25</w:t>
            </w:r>
          </w:p>
        </w:tc>
        <w:tc>
          <w:tcPr>
            <w:tcW w:w="408" w:type="pct"/>
            <w:tcBorders>
              <w:top w:val="nil"/>
              <w:left w:val="nil"/>
              <w:bottom w:val="single" w:color="000000" w:sz="8" w:space="0"/>
              <w:right w:val="single" w:color="000000" w:sz="8" w:space="0"/>
            </w:tcBorders>
            <w:shd w:val="clear" w:color="auto" w:fill="auto"/>
            <w:vAlign w:val="center"/>
          </w:tcPr>
          <w:p w14:paraId="1C9822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30～60</w:t>
            </w:r>
          </w:p>
        </w:tc>
        <w:tc>
          <w:tcPr>
            <w:tcW w:w="612" w:type="pct"/>
            <w:tcBorders>
              <w:top w:val="nil"/>
              <w:left w:val="nil"/>
              <w:bottom w:val="single" w:color="000000" w:sz="8" w:space="0"/>
              <w:right w:val="single" w:color="000000" w:sz="8" w:space="0"/>
            </w:tcBorders>
            <w:shd w:val="clear" w:color="auto" w:fill="auto"/>
            <w:vAlign w:val="center"/>
          </w:tcPr>
          <w:p w14:paraId="37D110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15～20</w:t>
            </w:r>
          </w:p>
        </w:tc>
        <w:tc>
          <w:tcPr>
            <w:tcW w:w="408" w:type="pct"/>
            <w:tcBorders>
              <w:top w:val="nil"/>
              <w:left w:val="nil"/>
              <w:bottom w:val="single" w:color="000000" w:sz="8" w:space="0"/>
              <w:right w:val="single" w:color="000000" w:sz="8" w:space="0"/>
            </w:tcBorders>
            <w:shd w:val="clear" w:color="auto" w:fill="auto"/>
            <w:vAlign w:val="center"/>
          </w:tcPr>
          <w:p w14:paraId="361C39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w:t>
            </w:r>
          </w:p>
        </w:tc>
        <w:tc>
          <w:tcPr>
            <w:tcW w:w="408" w:type="pct"/>
            <w:tcBorders>
              <w:top w:val="nil"/>
              <w:left w:val="nil"/>
              <w:bottom w:val="single" w:color="000000" w:sz="8" w:space="0"/>
              <w:right w:val="single" w:color="000000" w:sz="8" w:space="0"/>
            </w:tcBorders>
            <w:shd w:val="clear" w:color="auto" w:fill="auto"/>
            <w:vAlign w:val="center"/>
          </w:tcPr>
          <w:p w14:paraId="397D6F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≥350</w:t>
            </w:r>
          </w:p>
        </w:tc>
        <w:tc>
          <w:tcPr>
            <w:tcW w:w="408" w:type="pct"/>
            <w:tcBorders>
              <w:top w:val="nil"/>
              <w:left w:val="nil"/>
              <w:bottom w:val="single" w:color="000000" w:sz="8" w:space="0"/>
              <w:right w:val="single" w:color="000000" w:sz="8" w:space="0"/>
            </w:tcBorders>
            <w:shd w:val="clear" w:color="auto" w:fill="auto"/>
            <w:vAlign w:val="center"/>
          </w:tcPr>
          <w:p w14:paraId="57B62E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w:t>
            </w:r>
          </w:p>
        </w:tc>
      </w:tr>
      <w:tr w14:paraId="03C4A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7" w:type="pct"/>
            <w:tcBorders>
              <w:top w:val="nil"/>
              <w:left w:val="single" w:color="000000" w:sz="8" w:space="0"/>
              <w:bottom w:val="single" w:color="000000" w:sz="8" w:space="0"/>
              <w:right w:val="single" w:color="000000" w:sz="8" w:space="0"/>
            </w:tcBorders>
            <w:shd w:val="clear" w:color="auto" w:fill="auto"/>
            <w:vAlign w:val="center"/>
          </w:tcPr>
          <w:p w14:paraId="0BF319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体外循环</w:t>
            </w:r>
          </w:p>
        </w:tc>
        <w:tc>
          <w:tcPr>
            <w:tcW w:w="408" w:type="pct"/>
            <w:tcBorders>
              <w:top w:val="nil"/>
              <w:left w:val="nil"/>
              <w:bottom w:val="single" w:color="000000" w:sz="8" w:space="0"/>
              <w:right w:val="single" w:color="000000" w:sz="8" w:space="0"/>
            </w:tcBorders>
            <w:shd w:val="clear" w:color="auto" w:fill="auto"/>
            <w:vAlign w:val="center"/>
          </w:tcPr>
          <w:p w14:paraId="605ACE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正</w:t>
            </w:r>
          </w:p>
        </w:tc>
        <w:tc>
          <w:tcPr>
            <w:tcW w:w="408" w:type="pct"/>
            <w:tcBorders>
              <w:top w:val="nil"/>
              <w:left w:val="nil"/>
              <w:bottom w:val="single" w:color="000000" w:sz="8" w:space="0"/>
              <w:right w:val="single" w:color="000000" w:sz="8" w:space="0"/>
            </w:tcBorders>
            <w:shd w:val="clear" w:color="auto" w:fill="auto"/>
            <w:vAlign w:val="center"/>
          </w:tcPr>
          <w:p w14:paraId="502B24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329" w:type="pct"/>
            <w:tcBorders>
              <w:top w:val="nil"/>
              <w:left w:val="nil"/>
              <w:bottom w:val="single" w:color="000000" w:sz="8" w:space="0"/>
              <w:right w:val="single" w:color="000000" w:sz="8" w:space="0"/>
            </w:tcBorders>
            <w:shd w:val="clear" w:color="auto" w:fill="auto"/>
            <w:vAlign w:val="center"/>
          </w:tcPr>
          <w:p w14:paraId="4B4F46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87" w:type="pct"/>
            <w:tcBorders>
              <w:top w:val="nil"/>
              <w:left w:val="nil"/>
              <w:bottom w:val="single" w:color="000000" w:sz="8" w:space="0"/>
              <w:right w:val="single" w:color="000000" w:sz="8" w:space="0"/>
            </w:tcBorders>
            <w:shd w:val="clear" w:color="auto" w:fill="auto"/>
            <w:vAlign w:val="center"/>
          </w:tcPr>
          <w:p w14:paraId="39BBFD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21~27</w:t>
            </w:r>
          </w:p>
        </w:tc>
        <w:tc>
          <w:tcPr>
            <w:tcW w:w="408" w:type="pct"/>
            <w:tcBorders>
              <w:top w:val="nil"/>
              <w:left w:val="nil"/>
              <w:bottom w:val="single" w:color="000000" w:sz="8" w:space="0"/>
              <w:right w:val="single" w:color="000000" w:sz="8" w:space="0"/>
            </w:tcBorders>
            <w:shd w:val="clear" w:color="auto" w:fill="auto"/>
            <w:vAlign w:val="center"/>
          </w:tcPr>
          <w:p w14:paraId="7BC1C6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612" w:type="pct"/>
            <w:tcBorders>
              <w:top w:val="nil"/>
              <w:left w:val="nil"/>
              <w:bottom w:val="single" w:color="000000" w:sz="8" w:space="0"/>
              <w:right w:val="single" w:color="000000" w:sz="8" w:space="0"/>
            </w:tcBorders>
            <w:shd w:val="clear" w:color="auto" w:fill="auto"/>
            <w:vAlign w:val="center"/>
          </w:tcPr>
          <w:p w14:paraId="6AAFAD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408" w:type="pct"/>
            <w:tcBorders>
              <w:top w:val="nil"/>
              <w:left w:val="nil"/>
              <w:bottom w:val="single" w:color="000000" w:sz="8" w:space="0"/>
              <w:right w:val="single" w:color="000000" w:sz="8" w:space="0"/>
            </w:tcBorders>
            <w:shd w:val="clear" w:color="auto" w:fill="auto"/>
            <w:vAlign w:val="center"/>
          </w:tcPr>
          <w:p w14:paraId="68E7D5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408" w:type="pct"/>
            <w:tcBorders>
              <w:top w:val="nil"/>
              <w:left w:val="nil"/>
              <w:bottom w:val="single" w:color="000000" w:sz="8" w:space="0"/>
              <w:right w:val="single" w:color="000000" w:sz="8" w:space="0"/>
            </w:tcBorders>
            <w:shd w:val="clear" w:color="auto" w:fill="auto"/>
            <w:vAlign w:val="center"/>
          </w:tcPr>
          <w:p w14:paraId="1685F8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w:t>
            </w:r>
          </w:p>
        </w:tc>
        <w:tc>
          <w:tcPr>
            <w:tcW w:w="408" w:type="pct"/>
            <w:tcBorders>
              <w:top w:val="nil"/>
              <w:left w:val="nil"/>
              <w:bottom w:val="single" w:color="000000" w:sz="8" w:space="0"/>
              <w:right w:val="single" w:color="000000" w:sz="8" w:space="0"/>
            </w:tcBorders>
            <w:shd w:val="clear" w:color="auto" w:fill="auto"/>
            <w:vAlign w:val="center"/>
          </w:tcPr>
          <w:p w14:paraId="53584E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r>
      <w:tr w14:paraId="09B21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7" w:type="pct"/>
            <w:tcBorders>
              <w:top w:val="nil"/>
              <w:left w:val="single" w:color="000000" w:sz="8" w:space="0"/>
              <w:bottom w:val="single" w:color="000000" w:sz="8" w:space="0"/>
              <w:right w:val="single" w:color="000000" w:sz="8" w:space="0"/>
            </w:tcBorders>
            <w:shd w:val="clear" w:color="auto" w:fill="auto"/>
            <w:vAlign w:val="center"/>
          </w:tcPr>
          <w:p w14:paraId="31BA62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无菌敷料室</w:t>
            </w:r>
          </w:p>
        </w:tc>
        <w:tc>
          <w:tcPr>
            <w:tcW w:w="408" w:type="pct"/>
            <w:tcBorders>
              <w:top w:val="nil"/>
              <w:left w:val="nil"/>
              <w:bottom w:val="single" w:color="000000" w:sz="8" w:space="0"/>
              <w:right w:val="single" w:color="000000" w:sz="8" w:space="0"/>
            </w:tcBorders>
            <w:shd w:val="clear" w:color="auto" w:fill="auto"/>
            <w:vAlign w:val="center"/>
          </w:tcPr>
          <w:p w14:paraId="55B2BF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正</w:t>
            </w:r>
          </w:p>
        </w:tc>
        <w:tc>
          <w:tcPr>
            <w:tcW w:w="408" w:type="pct"/>
            <w:tcBorders>
              <w:top w:val="nil"/>
              <w:left w:val="nil"/>
              <w:bottom w:val="single" w:color="000000" w:sz="8" w:space="0"/>
              <w:right w:val="single" w:color="000000" w:sz="8" w:space="0"/>
            </w:tcBorders>
            <w:shd w:val="clear" w:color="auto" w:fill="auto"/>
            <w:vAlign w:val="center"/>
          </w:tcPr>
          <w:p w14:paraId="67427A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329" w:type="pct"/>
            <w:tcBorders>
              <w:top w:val="nil"/>
              <w:left w:val="nil"/>
              <w:bottom w:val="single" w:color="000000" w:sz="8" w:space="0"/>
              <w:right w:val="single" w:color="000000" w:sz="8" w:space="0"/>
            </w:tcBorders>
            <w:shd w:val="clear" w:color="auto" w:fill="auto"/>
            <w:vAlign w:val="center"/>
          </w:tcPr>
          <w:p w14:paraId="3BA1A3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87" w:type="pct"/>
            <w:tcBorders>
              <w:top w:val="nil"/>
              <w:left w:val="nil"/>
              <w:bottom w:val="single" w:color="000000" w:sz="8" w:space="0"/>
              <w:right w:val="single" w:color="000000" w:sz="8" w:space="0"/>
            </w:tcBorders>
            <w:shd w:val="clear" w:color="auto" w:fill="auto"/>
            <w:vAlign w:val="center"/>
          </w:tcPr>
          <w:p w14:paraId="4A3484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w:t>
            </w:r>
          </w:p>
        </w:tc>
        <w:tc>
          <w:tcPr>
            <w:tcW w:w="408" w:type="pct"/>
            <w:tcBorders>
              <w:top w:val="nil"/>
              <w:left w:val="nil"/>
              <w:bottom w:val="single" w:color="000000" w:sz="8" w:space="0"/>
              <w:right w:val="single" w:color="000000" w:sz="8" w:space="0"/>
            </w:tcBorders>
            <w:shd w:val="clear" w:color="auto" w:fill="auto"/>
            <w:vAlign w:val="center"/>
          </w:tcPr>
          <w:p w14:paraId="68C788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612" w:type="pct"/>
            <w:tcBorders>
              <w:top w:val="nil"/>
              <w:left w:val="nil"/>
              <w:bottom w:val="single" w:color="000000" w:sz="8" w:space="0"/>
              <w:right w:val="single" w:color="000000" w:sz="8" w:space="0"/>
            </w:tcBorders>
            <w:shd w:val="clear" w:color="auto" w:fill="auto"/>
            <w:vAlign w:val="center"/>
          </w:tcPr>
          <w:p w14:paraId="251497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408" w:type="pct"/>
            <w:tcBorders>
              <w:top w:val="nil"/>
              <w:left w:val="nil"/>
              <w:bottom w:val="single" w:color="000000" w:sz="8" w:space="0"/>
              <w:right w:val="single" w:color="000000" w:sz="8" w:space="0"/>
            </w:tcBorders>
            <w:shd w:val="clear" w:color="auto" w:fill="auto"/>
            <w:vAlign w:val="center"/>
          </w:tcPr>
          <w:p w14:paraId="07508C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408" w:type="pct"/>
            <w:tcBorders>
              <w:top w:val="nil"/>
              <w:left w:val="nil"/>
              <w:bottom w:val="single" w:color="000000" w:sz="8" w:space="0"/>
              <w:right w:val="single" w:color="000000" w:sz="8" w:space="0"/>
            </w:tcBorders>
            <w:shd w:val="clear" w:color="auto" w:fill="auto"/>
            <w:vAlign w:val="center"/>
          </w:tcPr>
          <w:p w14:paraId="1402BF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w:t>
            </w:r>
          </w:p>
        </w:tc>
        <w:tc>
          <w:tcPr>
            <w:tcW w:w="408" w:type="pct"/>
            <w:tcBorders>
              <w:top w:val="nil"/>
              <w:left w:val="nil"/>
              <w:bottom w:val="single" w:color="000000" w:sz="8" w:space="0"/>
              <w:right w:val="single" w:color="000000" w:sz="8" w:space="0"/>
            </w:tcBorders>
            <w:shd w:val="clear" w:color="auto" w:fill="auto"/>
            <w:vAlign w:val="center"/>
          </w:tcPr>
          <w:p w14:paraId="4A7415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r>
      <w:tr w14:paraId="6918A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1117" w:type="pct"/>
            <w:tcBorders>
              <w:top w:val="nil"/>
              <w:left w:val="single" w:color="000000" w:sz="8" w:space="0"/>
              <w:bottom w:val="single" w:color="000000" w:sz="8" w:space="0"/>
              <w:right w:val="single" w:color="000000" w:sz="8" w:space="0"/>
            </w:tcBorders>
            <w:shd w:val="clear" w:color="auto" w:fill="auto"/>
            <w:vAlign w:val="center"/>
          </w:tcPr>
          <w:p w14:paraId="0A53DC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未拆封器械、无菌药品、一次性物品和精密仪器存放室</w:t>
            </w:r>
          </w:p>
        </w:tc>
        <w:tc>
          <w:tcPr>
            <w:tcW w:w="408" w:type="pct"/>
            <w:tcBorders>
              <w:top w:val="nil"/>
              <w:left w:val="nil"/>
              <w:bottom w:val="single" w:color="000000" w:sz="8" w:space="0"/>
              <w:right w:val="single" w:color="000000" w:sz="8" w:space="0"/>
            </w:tcBorders>
            <w:shd w:val="clear" w:color="auto" w:fill="auto"/>
            <w:vAlign w:val="center"/>
          </w:tcPr>
          <w:p w14:paraId="594178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正</w:t>
            </w:r>
          </w:p>
        </w:tc>
        <w:tc>
          <w:tcPr>
            <w:tcW w:w="408" w:type="pct"/>
            <w:tcBorders>
              <w:top w:val="nil"/>
              <w:left w:val="nil"/>
              <w:bottom w:val="single" w:color="000000" w:sz="8" w:space="0"/>
              <w:right w:val="single" w:color="000000" w:sz="8" w:space="0"/>
            </w:tcBorders>
            <w:shd w:val="clear" w:color="auto" w:fill="auto"/>
            <w:vAlign w:val="center"/>
          </w:tcPr>
          <w:p w14:paraId="0EA8F4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329" w:type="pct"/>
            <w:tcBorders>
              <w:top w:val="nil"/>
              <w:left w:val="nil"/>
              <w:bottom w:val="single" w:color="000000" w:sz="8" w:space="0"/>
              <w:right w:val="single" w:color="000000" w:sz="8" w:space="0"/>
            </w:tcBorders>
            <w:shd w:val="clear" w:color="auto" w:fill="auto"/>
            <w:vAlign w:val="center"/>
          </w:tcPr>
          <w:p w14:paraId="7B3649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87" w:type="pct"/>
            <w:tcBorders>
              <w:top w:val="nil"/>
              <w:left w:val="nil"/>
              <w:bottom w:val="single" w:color="000000" w:sz="8" w:space="0"/>
              <w:right w:val="single" w:color="000000" w:sz="8" w:space="0"/>
            </w:tcBorders>
            <w:shd w:val="clear" w:color="auto" w:fill="auto"/>
            <w:vAlign w:val="center"/>
          </w:tcPr>
          <w:p w14:paraId="4A482B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w:t>
            </w:r>
          </w:p>
        </w:tc>
        <w:tc>
          <w:tcPr>
            <w:tcW w:w="408" w:type="pct"/>
            <w:tcBorders>
              <w:top w:val="nil"/>
              <w:left w:val="nil"/>
              <w:bottom w:val="single" w:color="000000" w:sz="8" w:space="0"/>
              <w:right w:val="single" w:color="000000" w:sz="8" w:space="0"/>
            </w:tcBorders>
            <w:shd w:val="clear" w:color="auto" w:fill="auto"/>
            <w:vAlign w:val="center"/>
          </w:tcPr>
          <w:p w14:paraId="2F7E13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612" w:type="pct"/>
            <w:tcBorders>
              <w:top w:val="nil"/>
              <w:left w:val="nil"/>
              <w:bottom w:val="single" w:color="000000" w:sz="8" w:space="0"/>
              <w:right w:val="single" w:color="000000" w:sz="8" w:space="0"/>
            </w:tcBorders>
            <w:shd w:val="clear" w:color="auto" w:fill="auto"/>
            <w:vAlign w:val="center"/>
          </w:tcPr>
          <w:p w14:paraId="7E4733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408" w:type="pct"/>
            <w:tcBorders>
              <w:top w:val="nil"/>
              <w:left w:val="nil"/>
              <w:bottom w:val="single" w:color="000000" w:sz="8" w:space="0"/>
              <w:right w:val="single" w:color="000000" w:sz="8" w:space="0"/>
            </w:tcBorders>
            <w:shd w:val="clear" w:color="auto" w:fill="auto"/>
            <w:vAlign w:val="center"/>
          </w:tcPr>
          <w:p w14:paraId="139A1E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408" w:type="pct"/>
            <w:tcBorders>
              <w:top w:val="nil"/>
              <w:left w:val="nil"/>
              <w:bottom w:val="single" w:color="000000" w:sz="8" w:space="0"/>
              <w:right w:val="single" w:color="000000" w:sz="8" w:space="0"/>
            </w:tcBorders>
            <w:shd w:val="clear" w:color="auto" w:fill="auto"/>
            <w:vAlign w:val="center"/>
          </w:tcPr>
          <w:p w14:paraId="0CFC8B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w:t>
            </w:r>
          </w:p>
        </w:tc>
        <w:tc>
          <w:tcPr>
            <w:tcW w:w="408" w:type="pct"/>
            <w:tcBorders>
              <w:top w:val="nil"/>
              <w:left w:val="nil"/>
              <w:bottom w:val="single" w:color="000000" w:sz="8" w:space="0"/>
              <w:right w:val="single" w:color="000000" w:sz="8" w:space="0"/>
            </w:tcBorders>
            <w:shd w:val="clear" w:color="auto" w:fill="auto"/>
            <w:vAlign w:val="center"/>
          </w:tcPr>
          <w:p w14:paraId="5239A5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r>
      <w:tr w14:paraId="3791C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7" w:type="pct"/>
            <w:tcBorders>
              <w:top w:val="nil"/>
              <w:left w:val="single" w:color="000000" w:sz="8" w:space="0"/>
              <w:bottom w:val="single" w:color="000000" w:sz="8" w:space="0"/>
              <w:right w:val="single" w:color="000000" w:sz="8" w:space="0"/>
            </w:tcBorders>
            <w:shd w:val="clear" w:color="auto" w:fill="auto"/>
            <w:vAlign w:val="center"/>
          </w:tcPr>
          <w:p w14:paraId="1CE3CB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护士站</w:t>
            </w:r>
          </w:p>
        </w:tc>
        <w:tc>
          <w:tcPr>
            <w:tcW w:w="408" w:type="pct"/>
            <w:tcBorders>
              <w:top w:val="nil"/>
              <w:left w:val="nil"/>
              <w:bottom w:val="single" w:color="000000" w:sz="8" w:space="0"/>
              <w:right w:val="single" w:color="000000" w:sz="8" w:space="0"/>
            </w:tcBorders>
            <w:shd w:val="clear" w:color="auto" w:fill="auto"/>
            <w:vAlign w:val="center"/>
          </w:tcPr>
          <w:p w14:paraId="3CEB2C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正</w:t>
            </w:r>
          </w:p>
        </w:tc>
        <w:tc>
          <w:tcPr>
            <w:tcW w:w="408" w:type="pct"/>
            <w:tcBorders>
              <w:top w:val="nil"/>
              <w:left w:val="nil"/>
              <w:bottom w:val="single" w:color="000000" w:sz="8" w:space="0"/>
              <w:right w:val="single" w:color="000000" w:sz="8" w:space="0"/>
            </w:tcBorders>
            <w:shd w:val="clear" w:color="auto" w:fill="auto"/>
            <w:vAlign w:val="center"/>
          </w:tcPr>
          <w:p w14:paraId="249472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329" w:type="pct"/>
            <w:tcBorders>
              <w:top w:val="nil"/>
              <w:left w:val="nil"/>
              <w:bottom w:val="single" w:color="000000" w:sz="8" w:space="0"/>
              <w:right w:val="single" w:color="000000" w:sz="8" w:space="0"/>
            </w:tcBorders>
            <w:shd w:val="clear" w:color="auto" w:fill="auto"/>
            <w:vAlign w:val="center"/>
          </w:tcPr>
          <w:p w14:paraId="7B70D6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87" w:type="pct"/>
            <w:tcBorders>
              <w:top w:val="nil"/>
              <w:left w:val="nil"/>
              <w:bottom w:val="single" w:color="000000" w:sz="8" w:space="0"/>
              <w:right w:val="single" w:color="000000" w:sz="8" w:space="0"/>
            </w:tcBorders>
            <w:shd w:val="clear" w:color="auto" w:fill="auto"/>
            <w:vAlign w:val="center"/>
          </w:tcPr>
          <w:p w14:paraId="77BD2C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21～27</w:t>
            </w:r>
          </w:p>
        </w:tc>
        <w:tc>
          <w:tcPr>
            <w:tcW w:w="408" w:type="pct"/>
            <w:tcBorders>
              <w:top w:val="nil"/>
              <w:left w:val="nil"/>
              <w:bottom w:val="single" w:color="000000" w:sz="8" w:space="0"/>
              <w:right w:val="single" w:color="000000" w:sz="8" w:space="0"/>
            </w:tcBorders>
            <w:shd w:val="clear" w:color="auto" w:fill="auto"/>
            <w:vAlign w:val="center"/>
          </w:tcPr>
          <w:p w14:paraId="042D93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612" w:type="pct"/>
            <w:tcBorders>
              <w:top w:val="nil"/>
              <w:left w:val="nil"/>
              <w:bottom w:val="single" w:color="000000" w:sz="8" w:space="0"/>
              <w:right w:val="single" w:color="000000" w:sz="8" w:space="0"/>
            </w:tcBorders>
            <w:shd w:val="clear" w:color="auto" w:fill="auto"/>
            <w:vAlign w:val="center"/>
          </w:tcPr>
          <w:p w14:paraId="2DB345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408" w:type="pct"/>
            <w:tcBorders>
              <w:top w:val="nil"/>
              <w:left w:val="nil"/>
              <w:bottom w:val="single" w:color="000000" w:sz="8" w:space="0"/>
              <w:right w:val="single" w:color="000000" w:sz="8" w:space="0"/>
            </w:tcBorders>
            <w:shd w:val="clear" w:color="auto" w:fill="auto"/>
            <w:vAlign w:val="center"/>
          </w:tcPr>
          <w:p w14:paraId="1C0D6D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≤55</w:t>
            </w:r>
          </w:p>
        </w:tc>
        <w:tc>
          <w:tcPr>
            <w:tcW w:w="408" w:type="pct"/>
            <w:tcBorders>
              <w:top w:val="nil"/>
              <w:left w:val="nil"/>
              <w:bottom w:val="single" w:color="000000" w:sz="8" w:space="0"/>
              <w:right w:val="single" w:color="000000" w:sz="8" w:space="0"/>
            </w:tcBorders>
            <w:shd w:val="clear" w:color="auto" w:fill="auto"/>
            <w:vAlign w:val="center"/>
          </w:tcPr>
          <w:p w14:paraId="111C8A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w:t>
            </w:r>
          </w:p>
        </w:tc>
        <w:tc>
          <w:tcPr>
            <w:tcW w:w="408" w:type="pct"/>
            <w:tcBorders>
              <w:top w:val="nil"/>
              <w:left w:val="nil"/>
              <w:bottom w:val="single" w:color="000000" w:sz="8" w:space="0"/>
              <w:right w:val="single" w:color="000000" w:sz="8" w:space="0"/>
            </w:tcBorders>
            <w:shd w:val="clear" w:color="auto" w:fill="auto"/>
            <w:vAlign w:val="center"/>
          </w:tcPr>
          <w:p w14:paraId="2D6408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r>
      <w:tr w14:paraId="67858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7" w:type="pct"/>
            <w:tcBorders>
              <w:top w:val="nil"/>
              <w:left w:val="single" w:color="000000" w:sz="8" w:space="0"/>
              <w:bottom w:val="single" w:color="000000" w:sz="8" w:space="0"/>
              <w:right w:val="single" w:color="000000" w:sz="8" w:space="0"/>
            </w:tcBorders>
            <w:shd w:val="clear" w:color="auto" w:fill="auto"/>
            <w:vAlign w:val="center"/>
          </w:tcPr>
          <w:p w14:paraId="5FBCBB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预麻醉室</w:t>
            </w:r>
          </w:p>
        </w:tc>
        <w:tc>
          <w:tcPr>
            <w:tcW w:w="408" w:type="pct"/>
            <w:tcBorders>
              <w:top w:val="nil"/>
              <w:left w:val="nil"/>
              <w:bottom w:val="single" w:color="000000" w:sz="8" w:space="0"/>
              <w:right w:val="single" w:color="000000" w:sz="8" w:space="0"/>
            </w:tcBorders>
            <w:shd w:val="clear" w:color="auto" w:fill="auto"/>
            <w:vAlign w:val="center"/>
          </w:tcPr>
          <w:p w14:paraId="5A0982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负</w:t>
            </w:r>
          </w:p>
        </w:tc>
        <w:tc>
          <w:tcPr>
            <w:tcW w:w="408" w:type="pct"/>
            <w:tcBorders>
              <w:top w:val="nil"/>
              <w:left w:val="nil"/>
              <w:bottom w:val="single" w:color="000000" w:sz="8" w:space="0"/>
              <w:right w:val="single" w:color="000000" w:sz="8" w:space="0"/>
            </w:tcBorders>
            <w:shd w:val="clear" w:color="auto" w:fill="auto"/>
            <w:vAlign w:val="center"/>
          </w:tcPr>
          <w:p w14:paraId="4B4803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329" w:type="pct"/>
            <w:tcBorders>
              <w:top w:val="nil"/>
              <w:left w:val="nil"/>
              <w:bottom w:val="single" w:color="000000" w:sz="8" w:space="0"/>
              <w:right w:val="single" w:color="000000" w:sz="8" w:space="0"/>
            </w:tcBorders>
            <w:shd w:val="clear" w:color="auto" w:fill="auto"/>
            <w:vAlign w:val="center"/>
          </w:tcPr>
          <w:p w14:paraId="08E3F5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87" w:type="pct"/>
            <w:tcBorders>
              <w:top w:val="nil"/>
              <w:left w:val="nil"/>
              <w:bottom w:val="single" w:color="000000" w:sz="8" w:space="0"/>
              <w:right w:val="single" w:color="000000" w:sz="8" w:space="0"/>
            </w:tcBorders>
            <w:shd w:val="clear" w:color="auto" w:fill="auto"/>
            <w:vAlign w:val="center"/>
          </w:tcPr>
          <w:p w14:paraId="5369CB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23～26</w:t>
            </w:r>
          </w:p>
        </w:tc>
        <w:tc>
          <w:tcPr>
            <w:tcW w:w="408" w:type="pct"/>
            <w:tcBorders>
              <w:top w:val="nil"/>
              <w:left w:val="nil"/>
              <w:bottom w:val="single" w:color="000000" w:sz="8" w:space="0"/>
              <w:right w:val="single" w:color="000000" w:sz="8" w:space="0"/>
            </w:tcBorders>
            <w:shd w:val="clear" w:color="auto" w:fill="auto"/>
            <w:vAlign w:val="center"/>
          </w:tcPr>
          <w:p w14:paraId="0DA031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30～60</w:t>
            </w:r>
          </w:p>
        </w:tc>
        <w:tc>
          <w:tcPr>
            <w:tcW w:w="612" w:type="pct"/>
            <w:tcBorders>
              <w:top w:val="nil"/>
              <w:left w:val="nil"/>
              <w:bottom w:val="single" w:color="000000" w:sz="8" w:space="0"/>
              <w:right w:val="single" w:color="000000" w:sz="8" w:space="0"/>
            </w:tcBorders>
            <w:shd w:val="clear" w:color="auto" w:fill="auto"/>
            <w:vAlign w:val="center"/>
          </w:tcPr>
          <w:p w14:paraId="4924C43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408" w:type="pct"/>
            <w:tcBorders>
              <w:top w:val="nil"/>
              <w:left w:val="nil"/>
              <w:bottom w:val="single" w:color="000000" w:sz="8" w:space="0"/>
              <w:right w:val="single" w:color="000000" w:sz="8" w:space="0"/>
            </w:tcBorders>
            <w:shd w:val="clear" w:color="auto" w:fill="auto"/>
            <w:vAlign w:val="center"/>
          </w:tcPr>
          <w:p w14:paraId="26CEF0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≤55</w:t>
            </w:r>
          </w:p>
        </w:tc>
        <w:tc>
          <w:tcPr>
            <w:tcW w:w="408" w:type="pct"/>
            <w:tcBorders>
              <w:top w:val="nil"/>
              <w:left w:val="nil"/>
              <w:bottom w:val="single" w:color="000000" w:sz="8" w:space="0"/>
              <w:right w:val="single" w:color="000000" w:sz="8" w:space="0"/>
            </w:tcBorders>
            <w:shd w:val="clear" w:color="auto" w:fill="auto"/>
            <w:vAlign w:val="center"/>
          </w:tcPr>
          <w:p w14:paraId="34BEC1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w:t>
            </w:r>
          </w:p>
        </w:tc>
        <w:tc>
          <w:tcPr>
            <w:tcW w:w="408" w:type="pct"/>
            <w:tcBorders>
              <w:top w:val="nil"/>
              <w:left w:val="nil"/>
              <w:bottom w:val="single" w:color="000000" w:sz="8" w:space="0"/>
              <w:right w:val="single" w:color="000000" w:sz="8" w:space="0"/>
            </w:tcBorders>
            <w:shd w:val="clear" w:color="auto" w:fill="auto"/>
            <w:vAlign w:val="center"/>
          </w:tcPr>
          <w:p w14:paraId="5F266C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r>
      <w:tr w14:paraId="3FC6D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7" w:type="pct"/>
            <w:tcBorders>
              <w:top w:val="nil"/>
              <w:left w:val="single" w:color="000000" w:sz="8" w:space="0"/>
              <w:bottom w:val="single" w:color="000000" w:sz="8" w:space="0"/>
              <w:right w:val="single" w:color="000000" w:sz="8" w:space="0"/>
            </w:tcBorders>
            <w:shd w:val="clear" w:color="auto" w:fill="auto"/>
            <w:vAlign w:val="center"/>
          </w:tcPr>
          <w:p w14:paraId="1DC76D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手术室前室</w:t>
            </w:r>
          </w:p>
        </w:tc>
        <w:tc>
          <w:tcPr>
            <w:tcW w:w="408" w:type="pct"/>
            <w:tcBorders>
              <w:top w:val="nil"/>
              <w:left w:val="nil"/>
              <w:bottom w:val="single" w:color="000000" w:sz="8" w:space="0"/>
              <w:right w:val="single" w:color="000000" w:sz="8" w:space="0"/>
            </w:tcBorders>
            <w:shd w:val="clear" w:color="auto" w:fill="auto"/>
            <w:vAlign w:val="center"/>
          </w:tcPr>
          <w:p w14:paraId="1C42A5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正</w:t>
            </w:r>
          </w:p>
        </w:tc>
        <w:tc>
          <w:tcPr>
            <w:tcW w:w="408" w:type="pct"/>
            <w:tcBorders>
              <w:top w:val="nil"/>
              <w:left w:val="nil"/>
              <w:bottom w:val="single" w:color="000000" w:sz="8" w:space="0"/>
              <w:right w:val="single" w:color="000000" w:sz="8" w:space="0"/>
            </w:tcBorders>
            <w:shd w:val="clear" w:color="auto" w:fill="auto"/>
            <w:vAlign w:val="center"/>
          </w:tcPr>
          <w:p w14:paraId="401011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329" w:type="pct"/>
            <w:tcBorders>
              <w:top w:val="nil"/>
              <w:left w:val="nil"/>
              <w:bottom w:val="single" w:color="000000" w:sz="8" w:space="0"/>
              <w:right w:val="single" w:color="000000" w:sz="8" w:space="0"/>
            </w:tcBorders>
            <w:shd w:val="clear" w:color="auto" w:fill="auto"/>
            <w:vAlign w:val="center"/>
          </w:tcPr>
          <w:p w14:paraId="68594A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87" w:type="pct"/>
            <w:tcBorders>
              <w:top w:val="nil"/>
              <w:left w:val="nil"/>
              <w:bottom w:val="single" w:color="000000" w:sz="8" w:space="0"/>
              <w:right w:val="single" w:color="000000" w:sz="8" w:space="0"/>
            </w:tcBorders>
            <w:shd w:val="clear" w:color="auto" w:fill="auto"/>
            <w:vAlign w:val="center"/>
          </w:tcPr>
          <w:p w14:paraId="234112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21～27</w:t>
            </w:r>
          </w:p>
        </w:tc>
        <w:tc>
          <w:tcPr>
            <w:tcW w:w="408" w:type="pct"/>
            <w:tcBorders>
              <w:top w:val="nil"/>
              <w:left w:val="nil"/>
              <w:bottom w:val="single" w:color="000000" w:sz="8" w:space="0"/>
              <w:right w:val="single" w:color="000000" w:sz="8" w:space="0"/>
            </w:tcBorders>
            <w:shd w:val="clear" w:color="auto" w:fill="auto"/>
            <w:vAlign w:val="center"/>
          </w:tcPr>
          <w:p w14:paraId="5F1DF1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612" w:type="pct"/>
            <w:tcBorders>
              <w:top w:val="nil"/>
              <w:left w:val="nil"/>
              <w:bottom w:val="single" w:color="000000" w:sz="8" w:space="0"/>
              <w:right w:val="single" w:color="000000" w:sz="8" w:space="0"/>
            </w:tcBorders>
            <w:shd w:val="clear" w:color="auto" w:fill="auto"/>
            <w:vAlign w:val="center"/>
          </w:tcPr>
          <w:p w14:paraId="10525E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408" w:type="pct"/>
            <w:tcBorders>
              <w:top w:val="nil"/>
              <w:left w:val="nil"/>
              <w:bottom w:val="single" w:color="000000" w:sz="8" w:space="0"/>
              <w:right w:val="single" w:color="000000" w:sz="8" w:space="0"/>
            </w:tcBorders>
            <w:shd w:val="clear" w:color="auto" w:fill="auto"/>
            <w:vAlign w:val="center"/>
          </w:tcPr>
          <w:p w14:paraId="56F825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w:t>
            </w:r>
          </w:p>
        </w:tc>
        <w:tc>
          <w:tcPr>
            <w:tcW w:w="408" w:type="pct"/>
            <w:tcBorders>
              <w:top w:val="nil"/>
              <w:left w:val="nil"/>
              <w:bottom w:val="single" w:color="000000" w:sz="8" w:space="0"/>
              <w:right w:val="single" w:color="000000" w:sz="8" w:space="0"/>
            </w:tcBorders>
            <w:shd w:val="clear" w:color="auto" w:fill="auto"/>
            <w:vAlign w:val="center"/>
          </w:tcPr>
          <w:p w14:paraId="5F7F12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≥200</w:t>
            </w:r>
          </w:p>
        </w:tc>
        <w:tc>
          <w:tcPr>
            <w:tcW w:w="408" w:type="pct"/>
            <w:tcBorders>
              <w:top w:val="nil"/>
              <w:left w:val="nil"/>
              <w:bottom w:val="single" w:color="000000" w:sz="8" w:space="0"/>
              <w:right w:val="single" w:color="000000" w:sz="8" w:space="0"/>
            </w:tcBorders>
            <w:shd w:val="clear" w:color="auto" w:fill="auto"/>
            <w:vAlign w:val="center"/>
          </w:tcPr>
          <w:p w14:paraId="797A62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r>
      <w:tr w14:paraId="2BFEC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7" w:type="pct"/>
            <w:tcBorders>
              <w:top w:val="nil"/>
              <w:left w:val="single" w:color="000000" w:sz="8" w:space="0"/>
              <w:bottom w:val="single" w:color="000000" w:sz="8" w:space="0"/>
              <w:right w:val="single" w:color="000000" w:sz="8" w:space="0"/>
            </w:tcBorders>
            <w:shd w:val="clear" w:color="auto" w:fill="auto"/>
            <w:vAlign w:val="center"/>
          </w:tcPr>
          <w:p w14:paraId="6A5DE8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刷手间</w:t>
            </w:r>
          </w:p>
        </w:tc>
        <w:tc>
          <w:tcPr>
            <w:tcW w:w="408" w:type="pct"/>
            <w:tcBorders>
              <w:top w:val="nil"/>
              <w:left w:val="nil"/>
              <w:bottom w:val="single" w:color="000000" w:sz="8" w:space="0"/>
              <w:right w:val="single" w:color="000000" w:sz="8" w:space="0"/>
            </w:tcBorders>
            <w:shd w:val="clear" w:color="auto" w:fill="auto"/>
            <w:vAlign w:val="center"/>
          </w:tcPr>
          <w:p w14:paraId="3A992A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正</w:t>
            </w:r>
          </w:p>
        </w:tc>
        <w:tc>
          <w:tcPr>
            <w:tcW w:w="408" w:type="pct"/>
            <w:tcBorders>
              <w:top w:val="nil"/>
              <w:left w:val="nil"/>
              <w:bottom w:val="single" w:color="000000" w:sz="8" w:space="0"/>
              <w:right w:val="single" w:color="000000" w:sz="8" w:space="0"/>
            </w:tcBorders>
            <w:shd w:val="clear" w:color="auto" w:fill="auto"/>
            <w:vAlign w:val="center"/>
          </w:tcPr>
          <w:p w14:paraId="2BC5A1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329" w:type="pct"/>
            <w:tcBorders>
              <w:top w:val="nil"/>
              <w:left w:val="nil"/>
              <w:bottom w:val="single" w:color="000000" w:sz="8" w:space="0"/>
              <w:right w:val="single" w:color="000000" w:sz="8" w:space="0"/>
            </w:tcBorders>
            <w:shd w:val="clear" w:color="auto" w:fill="auto"/>
            <w:vAlign w:val="center"/>
          </w:tcPr>
          <w:p w14:paraId="30D274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87" w:type="pct"/>
            <w:tcBorders>
              <w:top w:val="nil"/>
              <w:left w:val="nil"/>
              <w:bottom w:val="single" w:color="000000" w:sz="8" w:space="0"/>
              <w:right w:val="single" w:color="000000" w:sz="8" w:space="0"/>
            </w:tcBorders>
            <w:shd w:val="clear" w:color="auto" w:fill="auto"/>
            <w:vAlign w:val="center"/>
          </w:tcPr>
          <w:p w14:paraId="1CCB55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21～27</w:t>
            </w:r>
          </w:p>
        </w:tc>
        <w:tc>
          <w:tcPr>
            <w:tcW w:w="408" w:type="pct"/>
            <w:tcBorders>
              <w:top w:val="nil"/>
              <w:left w:val="nil"/>
              <w:bottom w:val="single" w:color="000000" w:sz="8" w:space="0"/>
              <w:right w:val="single" w:color="000000" w:sz="8" w:space="0"/>
            </w:tcBorders>
            <w:shd w:val="clear" w:color="auto" w:fill="auto"/>
            <w:vAlign w:val="center"/>
          </w:tcPr>
          <w:p w14:paraId="157528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612" w:type="pct"/>
            <w:tcBorders>
              <w:top w:val="nil"/>
              <w:left w:val="nil"/>
              <w:bottom w:val="single" w:color="000000" w:sz="8" w:space="0"/>
              <w:right w:val="single" w:color="000000" w:sz="8" w:space="0"/>
            </w:tcBorders>
            <w:shd w:val="clear" w:color="auto" w:fill="auto"/>
            <w:vAlign w:val="center"/>
          </w:tcPr>
          <w:p w14:paraId="1F5356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408" w:type="pct"/>
            <w:tcBorders>
              <w:top w:val="nil"/>
              <w:left w:val="nil"/>
              <w:bottom w:val="single" w:color="000000" w:sz="8" w:space="0"/>
              <w:right w:val="single" w:color="000000" w:sz="8" w:space="0"/>
            </w:tcBorders>
            <w:shd w:val="clear" w:color="auto" w:fill="auto"/>
            <w:vAlign w:val="center"/>
          </w:tcPr>
          <w:p w14:paraId="36371C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≤55</w:t>
            </w:r>
          </w:p>
        </w:tc>
        <w:tc>
          <w:tcPr>
            <w:tcW w:w="408" w:type="pct"/>
            <w:tcBorders>
              <w:top w:val="nil"/>
              <w:left w:val="nil"/>
              <w:bottom w:val="single" w:color="000000" w:sz="8" w:space="0"/>
              <w:right w:val="single" w:color="000000" w:sz="8" w:space="0"/>
            </w:tcBorders>
            <w:shd w:val="clear" w:color="auto" w:fill="auto"/>
            <w:vAlign w:val="center"/>
          </w:tcPr>
          <w:p w14:paraId="1989C0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w:t>
            </w:r>
          </w:p>
        </w:tc>
        <w:tc>
          <w:tcPr>
            <w:tcW w:w="408" w:type="pct"/>
            <w:tcBorders>
              <w:top w:val="nil"/>
              <w:left w:val="nil"/>
              <w:bottom w:val="single" w:color="000000" w:sz="8" w:space="0"/>
              <w:right w:val="single" w:color="000000" w:sz="8" w:space="0"/>
            </w:tcBorders>
            <w:shd w:val="clear" w:color="auto" w:fill="auto"/>
            <w:vAlign w:val="center"/>
          </w:tcPr>
          <w:p w14:paraId="578C4A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r>
      <w:tr w14:paraId="7D1C1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7" w:type="pct"/>
            <w:tcBorders>
              <w:top w:val="nil"/>
              <w:left w:val="single" w:color="000000" w:sz="8" w:space="0"/>
              <w:bottom w:val="single" w:color="000000" w:sz="8" w:space="0"/>
              <w:right w:val="single" w:color="000000" w:sz="8" w:space="0"/>
            </w:tcBorders>
            <w:shd w:val="clear" w:color="auto" w:fill="auto"/>
            <w:vAlign w:val="center"/>
          </w:tcPr>
          <w:p w14:paraId="6E922D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洁净区走廊</w:t>
            </w:r>
          </w:p>
        </w:tc>
        <w:tc>
          <w:tcPr>
            <w:tcW w:w="408" w:type="pct"/>
            <w:tcBorders>
              <w:top w:val="nil"/>
              <w:left w:val="nil"/>
              <w:bottom w:val="single" w:color="000000" w:sz="8" w:space="0"/>
              <w:right w:val="single" w:color="000000" w:sz="8" w:space="0"/>
            </w:tcBorders>
            <w:shd w:val="clear" w:color="auto" w:fill="auto"/>
            <w:vAlign w:val="center"/>
          </w:tcPr>
          <w:p w14:paraId="2458D3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正</w:t>
            </w:r>
          </w:p>
        </w:tc>
        <w:tc>
          <w:tcPr>
            <w:tcW w:w="408" w:type="pct"/>
            <w:tcBorders>
              <w:top w:val="nil"/>
              <w:left w:val="nil"/>
              <w:bottom w:val="single" w:color="000000" w:sz="8" w:space="0"/>
              <w:right w:val="single" w:color="000000" w:sz="8" w:space="0"/>
            </w:tcBorders>
            <w:shd w:val="clear" w:color="auto" w:fill="auto"/>
            <w:vAlign w:val="center"/>
          </w:tcPr>
          <w:p w14:paraId="02B841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329" w:type="pct"/>
            <w:tcBorders>
              <w:top w:val="nil"/>
              <w:left w:val="nil"/>
              <w:bottom w:val="single" w:color="000000" w:sz="8" w:space="0"/>
              <w:right w:val="single" w:color="000000" w:sz="8" w:space="0"/>
            </w:tcBorders>
            <w:shd w:val="clear" w:color="auto" w:fill="auto"/>
            <w:vAlign w:val="center"/>
          </w:tcPr>
          <w:p w14:paraId="15D43C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87" w:type="pct"/>
            <w:tcBorders>
              <w:top w:val="nil"/>
              <w:left w:val="nil"/>
              <w:bottom w:val="single" w:color="000000" w:sz="8" w:space="0"/>
              <w:right w:val="single" w:color="000000" w:sz="8" w:space="0"/>
            </w:tcBorders>
            <w:shd w:val="clear" w:color="auto" w:fill="auto"/>
            <w:vAlign w:val="center"/>
          </w:tcPr>
          <w:p w14:paraId="5541AB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21～27</w:t>
            </w:r>
          </w:p>
        </w:tc>
        <w:tc>
          <w:tcPr>
            <w:tcW w:w="408" w:type="pct"/>
            <w:tcBorders>
              <w:top w:val="nil"/>
              <w:left w:val="nil"/>
              <w:bottom w:val="single" w:color="000000" w:sz="8" w:space="0"/>
              <w:right w:val="single" w:color="000000" w:sz="8" w:space="0"/>
            </w:tcBorders>
            <w:shd w:val="clear" w:color="auto" w:fill="auto"/>
            <w:vAlign w:val="center"/>
          </w:tcPr>
          <w:p w14:paraId="130598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612" w:type="pct"/>
            <w:tcBorders>
              <w:top w:val="nil"/>
              <w:left w:val="nil"/>
              <w:bottom w:val="single" w:color="000000" w:sz="8" w:space="0"/>
              <w:right w:val="single" w:color="000000" w:sz="8" w:space="0"/>
            </w:tcBorders>
            <w:shd w:val="clear" w:color="auto" w:fill="auto"/>
            <w:vAlign w:val="center"/>
          </w:tcPr>
          <w:p w14:paraId="03B109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408" w:type="pct"/>
            <w:tcBorders>
              <w:top w:val="nil"/>
              <w:left w:val="nil"/>
              <w:bottom w:val="single" w:color="000000" w:sz="8" w:space="0"/>
              <w:right w:val="single" w:color="000000" w:sz="8" w:space="0"/>
            </w:tcBorders>
            <w:shd w:val="clear" w:color="auto" w:fill="auto"/>
            <w:vAlign w:val="center"/>
          </w:tcPr>
          <w:p w14:paraId="792CD4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w:t>
            </w:r>
          </w:p>
        </w:tc>
        <w:tc>
          <w:tcPr>
            <w:tcW w:w="408" w:type="pct"/>
            <w:tcBorders>
              <w:top w:val="nil"/>
              <w:left w:val="nil"/>
              <w:bottom w:val="single" w:color="000000" w:sz="8" w:space="0"/>
              <w:right w:val="single" w:color="000000" w:sz="8" w:space="0"/>
            </w:tcBorders>
            <w:shd w:val="clear" w:color="auto" w:fill="auto"/>
            <w:vAlign w:val="center"/>
          </w:tcPr>
          <w:p w14:paraId="449629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w:t>
            </w:r>
          </w:p>
        </w:tc>
        <w:tc>
          <w:tcPr>
            <w:tcW w:w="408" w:type="pct"/>
            <w:tcBorders>
              <w:top w:val="nil"/>
              <w:left w:val="nil"/>
              <w:bottom w:val="single" w:color="000000" w:sz="8" w:space="0"/>
              <w:right w:val="single" w:color="000000" w:sz="8" w:space="0"/>
            </w:tcBorders>
            <w:shd w:val="clear" w:color="auto" w:fill="auto"/>
            <w:vAlign w:val="center"/>
          </w:tcPr>
          <w:p w14:paraId="035ECF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r>
      <w:tr w14:paraId="23431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117" w:type="pct"/>
            <w:tcBorders>
              <w:top w:val="nil"/>
              <w:left w:val="single" w:color="000000" w:sz="8" w:space="0"/>
              <w:bottom w:val="single" w:color="000000" w:sz="8" w:space="0"/>
              <w:right w:val="single" w:color="000000" w:sz="8" w:space="0"/>
            </w:tcBorders>
            <w:shd w:val="clear" w:color="auto" w:fill="auto"/>
            <w:vAlign w:val="center"/>
          </w:tcPr>
          <w:p w14:paraId="106B2D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恢复室</w:t>
            </w:r>
          </w:p>
        </w:tc>
        <w:tc>
          <w:tcPr>
            <w:tcW w:w="408" w:type="pct"/>
            <w:tcBorders>
              <w:top w:val="nil"/>
              <w:left w:val="nil"/>
              <w:bottom w:val="single" w:color="000000" w:sz="8" w:space="0"/>
              <w:right w:val="single" w:color="000000" w:sz="8" w:space="0"/>
            </w:tcBorders>
            <w:shd w:val="clear" w:color="auto" w:fill="auto"/>
            <w:vAlign w:val="center"/>
          </w:tcPr>
          <w:p w14:paraId="7E3AAA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正</w:t>
            </w:r>
          </w:p>
        </w:tc>
        <w:tc>
          <w:tcPr>
            <w:tcW w:w="408" w:type="pct"/>
            <w:tcBorders>
              <w:top w:val="nil"/>
              <w:left w:val="nil"/>
              <w:bottom w:val="single" w:color="000000" w:sz="8" w:space="0"/>
              <w:right w:val="single" w:color="000000" w:sz="8" w:space="0"/>
            </w:tcBorders>
            <w:shd w:val="clear" w:color="auto" w:fill="auto"/>
            <w:vAlign w:val="center"/>
          </w:tcPr>
          <w:p w14:paraId="53B918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329" w:type="pct"/>
            <w:tcBorders>
              <w:top w:val="nil"/>
              <w:left w:val="nil"/>
              <w:bottom w:val="single" w:color="000000" w:sz="8" w:space="0"/>
              <w:right w:val="single" w:color="000000" w:sz="8" w:space="0"/>
            </w:tcBorders>
            <w:shd w:val="clear" w:color="auto" w:fill="auto"/>
            <w:vAlign w:val="center"/>
          </w:tcPr>
          <w:p w14:paraId="5D125E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87" w:type="pct"/>
            <w:tcBorders>
              <w:top w:val="nil"/>
              <w:left w:val="nil"/>
              <w:bottom w:val="single" w:color="000000" w:sz="8" w:space="0"/>
              <w:right w:val="single" w:color="000000" w:sz="8" w:space="0"/>
            </w:tcBorders>
            <w:shd w:val="clear" w:color="auto" w:fill="auto"/>
            <w:vAlign w:val="center"/>
          </w:tcPr>
          <w:p w14:paraId="4C8118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22～26</w:t>
            </w:r>
          </w:p>
        </w:tc>
        <w:tc>
          <w:tcPr>
            <w:tcW w:w="408" w:type="pct"/>
            <w:tcBorders>
              <w:top w:val="nil"/>
              <w:left w:val="nil"/>
              <w:bottom w:val="single" w:color="000000" w:sz="8" w:space="0"/>
              <w:right w:val="single" w:color="000000" w:sz="8" w:space="0"/>
            </w:tcBorders>
            <w:shd w:val="clear" w:color="auto" w:fill="auto"/>
            <w:vAlign w:val="center"/>
          </w:tcPr>
          <w:p w14:paraId="0BDD6F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25～60</w:t>
            </w:r>
          </w:p>
        </w:tc>
        <w:tc>
          <w:tcPr>
            <w:tcW w:w="612" w:type="pct"/>
            <w:tcBorders>
              <w:top w:val="nil"/>
              <w:left w:val="nil"/>
              <w:bottom w:val="single" w:color="000000" w:sz="8" w:space="0"/>
              <w:right w:val="single" w:color="000000" w:sz="8" w:space="0"/>
            </w:tcBorders>
            <w:shd w:val="clear" w:color="auto" w:fill="auto"/>
            <w:vAlign w:val="center"/>
          </w:tcPr>
          <w:p w14:paraId="3B6186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408" w:type="pct"/>
            <w:tcBorders>
              <w:top w:val="nil"/>
              <w:left w:val="nil"/>
              <w:bottom w:val="single" w:color="000000" w:sz="8" w:space="0"/>
              <w:right w:val="single" w:color="000000" w:sz="8" w:space="0"/>
            </w:tcBorders>
            <w:shd w:val="clear" w:color="auto" w:fill="auto"/>
            <w:vAlign w:val="center"/>
          </w:tcPr>
          <w:p w14:paraId="1379F8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≤48</w:t>
            </w:r>
          </w:p>
        </w:tc>
        <w:tc>
          <w:tcPr>
            <w:tcW w:w="408" w:type="pct"/>
            <w:tcBorders>
              <w:top w:val="nil"/>
              <w:left w:val="nil"/>
              <w:bottom w:val="single" w:color="000000" w:sz="8" w:space="0"/>
              <w:right w:val="single" w:color="000000" w:sz="8" w:space="0"/>
            </w:tcBorders>
            <w:shd w:val="clear" w:color="auto" w:fill="auto"/>
            <w:vAlign w:val="center"/>
          </w:tcPr>
          <w:p w14:paraId="08FCF2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≥200</w:t>
            </w:r>
          </w:p>
        </w:tc>
        <w:tc>
          <w:tcPr>
            <w:tcW w:w="408" w:type="pct"/>
            <w:tcBorders>
              <w:top w:val="nil"/>
              <w:left w:val="nil"/>
              <w:bottom w:val="single" w:color="000000" w:sz="8" w:space="0"/>
              <w:right w:val="single" w:color="000000" w:sz="8" w:space="0"/>
            </w:tcBorders>
            <w:shd w:val="clear" w:color="auto" w:fill="auto"/>
            <w:vAlign w:val="center"/>
          </w:tcPr>
          <w:p w14:paraId="1381E2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r>
      <w:tr w14:paraId="4D786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1117" w:type="pct"/>
            <w:vMerge w:val="restart"/>
            <w:tcBorders>
              <w:top w:val="nil"/>
              <w:left w:val="single" w:color="000000" w:sz="8" w:space="0"/>
              <w:bottom w:val="single" w:color="000000" w:sz="8" w:space="0"/>
              <w:right w:val="single" w:color="000000" w:sz="8" w:space="0"/>
            </w:tcBorders>
            <w:shd w:val="clear" w:color="auto" w:fill="auto"/>
            <w:vAlign w:val="center"/>
          </w:tcPr>
          <w:p w14:paraId="77CC83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脱包间</w:t>
            </w:r>
          </w:p>
        </w:tc>
        <w:tc>
          <w:tcPr>
            <w:tcW w:w="408" w:type="pct"/>
            <w:tcBorders>
              <w:top w:val="nil"/>
              <w:left w:val="nil"/>
              <w:bottom w:val="single" w:color="000000" w:sz="8" w:space="0"/>
              <w:right w:val="single" w:color="000000" w:sz="8" w:space="0"/>
            </w:tcBorders>
            <w:shd w:val="clear" w:color="auto" w:fill="auto"/>
            <w:vAlign w:val="center"/>
          </w:tcPr>
          <w:p w14:paraId="3CBBB3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外间脱包负</w:t>
            </w:r>
          </w:p>
        </w:tc>
        <w:tc>
          <w:tcPr>
            <w:tcW w:w="408" w:type="pct"/>
            <w:tcBorders>
              <w:top w:val="nil"/>
              <w:left w:val="nil"/>
              <w:bottom w:val="single" w:color="000000" w:sz="8" w:space="0"/>
              <w:right w:val="single" w:color="000000" w:sz="8" w:space="0"/>
            </w:tcBorders>
            <w:shd w:val="clear" w:color="auto" w:fill="auto"/>
            <w:vAlign w:val="center"/>
          </w:tcPr>
          <w:p w14:paraId="186977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329" w:type="pct"/>
            <w:tcBorders>
              <w:top w:val="nil"/>
              <w:left w:val="nil"/>
              <w:bottom w:val="single" w:color="000000" w:sz="8" w:space="0"/>
              <w:right w:val="single" w:color="000000" w:sz="8" w:space="0"/>
            </w:tcBorders>
            <w:shd w:val="clear" w:color="auto" w:fill="auto"/>
            <w:vAlign w:val="center"/>
          </w:tcPr>
          <w:p w14:paraId="60CFD7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87" w:type="pct"/>
            <w:tcBorders>
              <w:top w:val="nil"/>
              <w:left w:val="nil"/>
              <w:bottom w:val="single" w:color="000000" w:sz="8" w:space="0"/>
              <w:right w:val="single" w:color="000000" w:sz="8" w:space="0"/>
            </w:tcBorders>
            <w:shd w:val="clear" w:color="auto" w:fill="auto"/>
            <w:vAlign w:val="center"/>
          </w:tcPr>
          <w:p w14:paraId="42929E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08" w:type="pct"/>
            <w:tcBorders>
              <w:top w:val="nil"/>
              <w:left w:val="nil"/>
              <w:bottom w:val="single" w:color="000000" w:sz="8" w:space="0"/>
              <w:right w:val="single" w:color="000000" w:sz="8" w:space="0"/>
            </w:tcBorders>
            <w:shd w:val="clear" w:color="auto" w:fill="auto"/>
            <w:vAlign w:val="center"/>
          </w:tcPr>
          <w:p w14:paraId="1D00D9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612" w:type="pct"/>
            <w:tcBorders>
              <w:top w:val="nil"/>
              <w:left w:val="nil"/>
              <w:bottom w:val="single" w:color="000000" w:sz="8" w:space="0"/>
              <w:right w:val="single" w:color="000000" w:sz="8" w:space="0"/>
            </w:tcBorders>
            <w:shd w:val="clear" w:color="auto" w:fill="auto"/>
            <w:vAlign w:val="center"/>
          </w:tcPr>
          <w:p w14:paraId="5776C4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08" w:type="pct"/>
            <w:tcBorders>
              <w:top w:val="nil"/>
              <w:left w:val="nil"/>
              <w:bottom w:val="single" w:color="000000" w:sz="8" w:space="0"/>
              <w:right w:val="single" w:color="000000" w:sz="8" w:space="0"/>
            </w:tcBorders>
            <w:shd w:val="clear" w:color="auto" w:fill="auto"/>
            <w:vAlign w:val="center"/>
          </w:tcPr>
          <w:p w14:paraId="388CC6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08" w:type="pct"/>
            <w:tcBorders>
              <w:top w:val="nil"/>
              <w:left w:val="nil"/>
              <w:bottom w:val="single" w:color="000000" w:sz="8" w:space="0"/>
              <w:right w:val="single" w:color="000000" w:sz="8" w:space="0"/>
            </w:tcBorders>
            <w:shd w:val="clear" w:color="auto" w:fill="auto"/>
            <w:vAlign w:val="center"/>
          </w:tcPr>
          <w:p w14:paraId="1B5BF5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08" w:type="pct"/>
            <w:tcBorders>
              <w:top w:val="nil"/>
              <w:left w:val="nil"/>
              <w:bottom w:val="single" w:color="000000" w:sz="8" w:space="0"/>
              <w:right w:val="single" w:color="000000" w:sz="8" w:space="0"/>
            </w:tcBorders>
            <w:shd w:val="clear" w:color="auto" w:fill="auto"/>
            <w:vAlign w:val="center"/>
          </w:tcPr>
          <w:p w14:paraId="63E243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r>
      <w:tr w14:paraId="488E3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17" w:type="pct"/>
            <w:vMerge w:val="continue"/>
            <w:tcBorders>
              <w:top w:val="nil"/>
              <w:left w:val="single" w:color="000000" w:sz="8" w:space="0"/>
              <w:bottom w:val="single" w:color="000000" w:sz="8" w:space="0"/>
              <w:right w:val="single" w:color="000000" w:sz="8" w:space="0"/>
            </w:tcBorders>
            <w:shd w:val="clear" w:color="auto" w:fill="auto"/>
            <w:vAlign w:val="center"/>
          </w:tcPr>
          <w:p w14:paraId="0EDC382E">
            <w:pPr>
              <w:jc w:val="center"/>
              <w:rPr>
                <w:rFonts w:hint="eastAsia" w:ascii="宋体" w:hAnsi="宋体" w:eastAsia="宋体" w:cs="宋体"/>
                <w:i w:val="0"/>
                <w:iCs w:val="0"/>
                <w:color w:val="000000"/>
                <w:sz w:val="18"/>
                <w:szCs w:val="18"/>
                <w:highlight w:val="none"/>
                <w:u w:val="none"/>
              </w:rPr>
            </w:pPr>
          </w:p>
        </w:tc>
        <w:tc>
          <w:tcPr>
            <w:tcW w:w="408" w:type="pct"/>
            <w:tcBorders>
              <w:top w:val="nil"/>
              <w:left w:val="nil"/>
              <w:bottom w:val="single" w:color="000000" w:sz="8" w:space="0"/>
              <w:right w:val="single" w:color="000000" w:sz="8" w:space="0"/>
            </w:tcBorders>
            <w:shd w:val="clear" w:color="auto" w:fill="auto"/>
            <w:vAlign w:val="center"/>
          </w:tcPr>
          <w:p w14:paraId="0C2D8D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内间脱包正</w:t>
            </w:r>
          </w:p>
        </w:tc>
        <w:tc>
          <w:tcPr>
            <w:tcW w:w="408" w:type="pct"/>
            <w:tcBorders>
              <w:top w:val="nil"/>
              <w:left w:val="nil"/>
              <w:bottom w:val="single" w:color="000000" w:sz="8" w:space="0"/>
              <w:right w:val="single" w:color="000000" w:sz="8" w:space="0"/>
            </w:tcBorders>
            <w:shd w:val="clear" w:color="auto" w:fill="auto"/>
            <w:vAlign w:val="center"/>
          </w:tcPr>
          <w:p w14:paraId="62BDB9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329" w:type="pct"/>
            <w:tcBorders>
              <w:top w:val="nil"/>
              <w:left w:val="nil"/>
              <w:bottom w:val="single" w:color="000000" w:sz="8" w:space="0"/>
              <w:right w:val="single" w:color="000000" w:sz="8" w:space="0"/>
            </w:tcBorders>
            <w:shd w:val="clear" w:color="auto" w:fill="auto"/>
            <w:vAlign w:val="center"/>
          </w:tcPr>
          <w:p w14:paraId="5A13DF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87" w:type="pct"/>
            <w:tcBorders>
              <w:top w:val="nil"/>
              <w:left w:val="nil"/>
              <w:bottom w:val="single" w:color="000000" w:sz="8" w:space="0"/>
              <w:right w:val="single" w:color="000000" w:sz="8" w:space="0"/>
            </w:tcBorders>
            <w:shd w:val="clear" w:color="auto" w:fill="auto"/>
            <w:vAlign w:val="center"/>
          </w:tcPr>
          <w:p w14:paraId="109737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08" w:type="pct"/>
            <w:tcBorders>
              <w:top w:val="nil"/>
              <w:left w:val="nil"/>
              <w:bottom w:val="single" w:color="000000" w:sz="8" w:space="0"/>
              <w:right w:val="single" w:color="000000" w:sz="8" w:space="0"/>
            </w:tcBorders>
            <w:shd w:val="clear" w:color="auto" w:fill="auto"/>
            <w:vAlign w:val="center"/>
          </w:tcPr>
          <w:p w14:paraId="0700B9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612" w:type="pct"/>
            <w:tcBorders>
              <w:top w:val="nil"/>
              <w:left w:val="nil"/>
              <w:bottom w:val="single" w:color="000000" w:sz="8" w:space="0"/>
              <w:right w:val="single" w:color="000000" w:sz="8" w:space="0"/>
            </w:tcBorders>
            <w:shd w:val="clear" w:color="auto" w:fill="auto"/>
            <w:vAlign w:val="center"/>
          </w:tcPr>
          <w:p w14:paraId="386B84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08" w:type="pct"/>
            <w:tcBorders>
              <w:top w:val="nil"/>
              <w:left w:val="nil"/>
              <w:bottom w:val="single" w:color="000000" w:sz="8" w:space="0"/>
              <w:right w:val="single" w:color="000000" w:sz="8" w:space="0"/>
            </w:tcBorders>
            <w:shd w:val="clear" w:color="auto" w:fill="auto"/>
            <w:vAlign w:val="center"/>
          </w:tcPr>
          <w:p w14:paraId="457620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08" w:type="pct"/>
            <w:tcBorders>
              <w:top w:val="nil"/>
              <w:left w:val="nil"/>
              <w:bottom w:val="single" w:color="000000" w:sz="8" w:space="0"/>
              <w:right w:val="single" w:color="000000" w:sz="8" w:space="0"/>
            </w:tcBorders>
            <w:shd w:val="clear" w:color="auto" w:fill="auto"/>
            <w:vAlign w:val="center"/>
          </w:tcPr>
          <w:p w14:paraId="5D50CF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408" w:type="pct"/>
            <w:tcBorders>
              <w:top w:val="nil"/>
              <w:left w:val="nil"/>
              <w:bottom w:val="single" w:color="000000" w:sz="8" w:space="0"/>
              <w:right w:val="single" w:color="000000" w:sz="8" w:space="0"/>
            </w:tcBorders>
            <w:shd w:val="clear" w:color="auto" w:fill="auto"/>
            <w:vAlign w:val="center"/>
          </w:tcPr>
          <w:p w14:paraId="0ED070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r>
    </w:tbl>
    <w:p w14:paraId="49303E7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p>
    <w:p w14:paraId="4C86B01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6.5.2供应室主要技术指标</w:t>
      </w: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9"/>
        <w:gridCol w:w="1009"/>
        <w:gridCol w:w="1010"/>
        <w:gridCol w:w="1010"/>
        <w:gridCol w:w="1010"/>
        <w:gridCol w:w="1010"/>
        <w:gridCol w:w="1012"/>
        <w:gridCol w:w="1010"/>
        <w:gridCol w:w="1010"/>
      </w:tblGrid>
      <w:tr w14:paraId="691AB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55"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4160D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名称</w:t>
            </w:r>
          </w:p>
        </w:tc>
        <w:tc>
          <w:tcPr>
            <w:tcW w:w="555" w:type="pct"/>
            <w:vMerge w:val="restart"/>
            <w:tcBorders>
              <w:top w:val="single" w:color="000000" w:sz="8" w:space="0"/>
              <w:left w:val="nil"/>
              <w:bottom w:val="single" w:color="000000" w:sz="8" w:space="0"/>
              <w:right w:val="single" w:color="000000" w:sz="8" w:space="0"/>
            </w:tcBorders>
            <w:shd w:val="clear" w:color="auto" w:fill="auto"/>
            <w:vAlign w:val="center"/>
          </w:tcPr>
          <w:p w14:paraId="4B2417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最小静压(pa)</w:t>
            </w:r>
          </w:p>
        </w:tc>
        <w:tc>
          <w:tcPr>
            <w:tcW w:w="555" w:type="pct"/>
            <w:tcBorders>
              <w:top w:val="single" w:color="000000" w:sz="8" w:space="0"/>
              <w:left w:val="nil"/>
              <w:bottom w:val="nil"/>
              <w:right w:val="single" w:color="000000" w:sz="8" w:space="0"/>
            </w:tcBorders>
            <w:shd w:val="clear" w:color="auto" w:fill="auto"/>
            <w:vAlign w:val="center"/>
          </w:tcPr>
          <w:p w14:paraId="24C4EF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换气次数</w:t>
            </w:r>
          </w:p>
        </w:tc>
        <w:tc>
          <w:tcPr>
            <w:tcW w:w="555" w:type="pct"/>
            <w:vMerge w:val="restart"/>
            <w:tcBorders>
              <w:top w:val="single" w:color="000000" w:sz="8" w:space="0"/>
              <w:left w:val="nil"/>
              <w:bottom w:val="single" w:color="000000" w:sz="8" w:space="0"/>
              <w:right w:val="single" w:color="000000" w:sz="8" w:space="0"/>
            </w:tcBorders>
            <w:shd w:val="clear" w:color="auto" w:fill="auto"/>
            <w:vAlign w:val="center"/>
          </w:tcPr>
          <w:p w14:paraId="3A4DFB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温度(℃)</w:t>
            </w:r>
          </w:p>
        </w:tc>
        <w:tc>
          <w:tcPr>
            <w:tcW w:w="555" w:type="pct"/>
            <w:tcBorders>
              <w:top w:val="single" w:color="000000" w:sz="8" w:space="0"/>
              <w:left w:val="nil"/>
              <w:bottom w:val="nil"/>
              <w:right w:val="single" w:color="000000" w:sz="8" w:space="0"/>
            </w:tcBorders>
            <w:shd w:val="clear" w:color="auto" w:fill="auto"/>
            <w:vAlign w:val="center"/>
          </w:tcPr>
          <w:p w14:paraId="732ABD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相对</w:t>
            </w:r>
          </w:p>
        </w:tc>
        <w:tc>
          <w:tcPr>
            <w:tcW w:w="1111" w:type="pct"/>
            <w:gridSpan w:val="2"/>
            <w:vMerge w:val="restart"/>
            <w:tcBorders>
              <w:top w:val="single" w:color="000000" w:sz="8" w:space="0"/>
              <w:left w:val="nil"/>
              <w:bottom w:val="single" w:color="000000" w:sz="8" w:space="0"/>
              <w:right w:val="single" w:color="000000" w:sz="8" w:space="0"/>
            </w:tcBorders>
            <w:shd w:val="clear" w:color="auto" w:fill="auto"/>
            <w:vAlign w:val="center"/>
          </w:tcPr>
          <w:p w14:paraId="5BC4E3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最小新风量</w:t>
            </w:r>
          </w:p>
        </w:tc>
        <w:tc>
          <w:tcPr>
            <w:tcW w:w="555" w:type="pct"/>
            <w:vMerge w:val="restart"/>
            <w:tcBorders>
              <w:top w:val="single" w:color="000000" w:sz="8" w:space="0"/>
              <w:left w:val="nil"/>
              <w:bottom w:val="single" w:color="000000" w:sz="8" w:space="0"/>
              <w:right w:val="single" w:color="000000" w:sz="8" w:space="0"/>
            </w:tcBorders>
            <w:shd w:val="clear" w:color="auto" w:fill="auto"/>
            <w:vAlign w:val="center"/>
          </w:tcPr>
          <w:p w14:paraId="735542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噪声dB(A)</w:t>
            </w:r>
          </w:p>
        </w:tc>
        <w:tc>
          <w:tcPr>
            <w:tcW w:w="555" w:type="pct"/>
            <w:vMerge w:val="restart"/>
            <w:tcBorders>
              <w:top w:val="single" w:color="000000" w:sz="8" w:space="0"/>
              <w:left w:val="nil"/>
              <w:bottom w:val="single" w:color="000000" w:sz="8" w:space="0"/>
              <w:right w:val="single" w:color="000000" w:sz="8" w:space="0"/>
            </w:tcBorders>
            <w:shd w:val="clear" w:color="auto" w:fill="auto"/>
            <w:vAlign w:val="center"/>
          </w:tcPr>
          <w:p w14:paraId="4CAFFE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最少自净（min）</w:t>
            </w:r>
          </w:p>
        </w:tc>
      </w:tr>
      <w:tr w14:paraId="5BF1B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5"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A532F7">
            <w:pPr>
              <w:jc w:val="center"/>
              <w:rPr>
                <w:rFonts w:hint="eastAsia" w:ascii="宋体" w:hAnsi="宋体" w:eastAsia="宋体" w:cs="宋体"/>
                <w:i w:val="0"/>
                <w:iCs w:val="0"/>
                <w:color w:val="000000"/>
                <w:sz w:val="18"/>
                <w:szCs w:val="18"/>
                <w:highlight w:val="none"/>
                <w:u w:val="none"/>
              </w:rPr>
            </w:pPr>
          </w:p>
        </w:tc>
        <w:tc>
          <w:tcPr>
            <w:tcW w:w="555" w:type="pct"/>
            <w:vMerge w:val="continue"/>
            <w:tcBorders>
              <w:top w:val="single" w:color="000000" w:sz="8" w:space="0"/>
              <w:left w:val="nil"/>
              <w:bottom w:val="single" w:color="000000" w:sz="8" w:space="0"/>
              <w:right w:val="single" w:color="000000" w:sz="8" w:space="0"/>
            </w:tcBorders>
            <w:shd w:val="clear" w:color="auto" w:fill="auto"/>
            <w:vAlign w:val="center"/>
          </w:tcPr>
          <w:p w14:paraId="4FCE9E7C">
            <w:pPr>
              <w:jc w:val="center"/>
              <w:rPr>
                <w:rFonts w:hint="eastAsia" w:ascii="宋体" w:hAnsi="宋体" w:eastAsia="宋体" w:cs="宋体"/>
                <w:i w:val="0"/>
                <w:iCs w:val="0"/>
                <w:color w:val="000000"/>
                <w:sz w:val="18"/>
                <w:szCs w:val="18"/>
                <w:highlight w:val="none"/>
                <w:u w:val="none"/>
              </w:rPr>
            </w:pPr>
          </w:p>
        </w:tc>
        <w:tc>
          <w:tcPr>
            <w:tcW w:w="555" w:type="pct"/>
            <w:tcBorders>
              <w:top w:val="nil"/>
              <w:left w:val="nil"/>
              <w:bottom w:val="nil"/>
              <w:right w:val="single" w:color="000000" w:sz="8" w:space="0"/>
            </w:tcBorders>
            <w:shd w:val="clear" w:color="auto" w:fill="auto"/>
            <w:vAlign w:val="center"/>
          </w:tcPr>
          <w:p w14:paraId="2DA0A1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(次／h)</w:t>
            </w:r>
          </w:p>
        </w:tc>
        <w:tc>
          <w:tcPr>
            <w:tcW w:w="555" w:type="pct"/>
            <w:vMerge w:val="continue"/>
            <w:tcBorders>
              <w:top w:val="single" w:color="000000" w:sz="8" w:space="0"/>
              <w:left w:val="nil"/>
              <w:bottom w:val="single" w:color="000000" w:sz="8" w:space="0"/>
              <w:right w:val="single" w:color="000000" w:sz="8" w:space="0"/>
            </w:tcBorders>
            <w:shd w:val="clear" w:color="auto" w:fill="auto"/>
            <w:vAlign w:val="center"/>
          </w:tcPr>
          <w:p w14:paraId="01022673">
            <w:pPr>
              <w:jc w:val="center"/>
              <w:rPr>
                <w:rFonts w:hint="eastAsia" w:ascii="宋体" w:hAnsi="宋体" w:eastAsia="宋体" w:cs="宋体"/>
                <w:i w:val="0"/>
                <w:iCs w:val="0"/>
                <w:color w:val="000000"/>
                <w:sz w:val="18"/>
                <w:szCs w:val="18"/>
                <w:highlight w:val="none"/>
                <w:u w:val="none"/>
              </w:rPr>
            </w:pPr>
          </w:p>
        </w:tc>
        <w:tc>
          <w:tcPr>
            <w:tcW w:w="555" w:type="pct"/>
            <w:tcBorders>
              <w:top w:val="nil"/>
              <w:left w:val="nil"/>
              <w:bottom w:val="nil"/>
              <w:right w:val="single" w:color="000000" w:sz="8" w:space="0"/>
            </w:tcBorders>
            <w:shd w:val="clear" w:color="auto" w:fill="auto"/>
            <w:vAlign w:val="center"/>
          </w:tcPr>
          <w:p w14:paraId="0E92FA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湿度</w:t>
            </w:r>
          </w:p>
        </w:tc>
        <w:tc>
          <w:tcPr>
            <w:tcW w:w="1111" w:type="pct"/>
            <w:gridSpan w:val="2"/>
            <w:vMerge w:val="continue"/>
            <w:tcBorders>
              <w:top w:val="single" w:color="000000" w:sz="8" w:space="0"/>
              <w:left w:val="nil"/>
              <w:bottom w:val="single" w:color="000000" w:sz="8" w:space="0"/>
              <w:right w:val="single" w:color="000000" w:sz="8" w:space="0"/>
            </w:tcBorders>
            <w:shd w:val="clear" w:color="auto" w:fill="auto"/>
            <w:vAlign w:val="center"/>
          </w:tcPr>
          <w:p w14:paraId="717D5494">
            <w:pPr>
              <w:jc w:val="center"/>
              <w:rPr>
                <w:rFonts w:hint="eastAsia" w:ascii="宋体" w:hAnsi="宋体" w:eastAsia="宋体" w:cs="宋体"/>
                <w:i w:val="0"/>
                <w:iCs w:val="0"/>
                <w:color w:val="000000"/>
                <w:sz w:val="18"/>
                <w:szCs w:val="18"/>
                <w:highlight w:val="none"/>
                <w:u w:val="none"/>
              </w:rPr>
            </w:pPr>
          </w:p>
        </w:tc>
        <w:tc>
          <w:tcPr>
            <w:tcW w:w="555" w:type="pct"/>
            <w:vMerge w:val="continue"/>
            <w:tcBorders>
              <w:top w:val="single" w:color="000000" w:sz="8" w:space="0"/>
              <w:left w:val="nil"/>
              <w:bottom w:val="single" w:color="000000" w:sz="8" w:space="0"/>
              <w:right w:val="single" w:color="000000" w:sz="8" w:space="0"/>
            </w:tcBorders>
            <w:shd w:val="clear" w:color="auto" w:fill="auto"/>
            <w:vAlign w:val="center"/>
          </w:tcPr>
          <w:p w14:paraId="745DECA6">
            <w:pPr>
              <w:jc w:val="center"/>
              <w:rPr>
                <w:rFonts w:hint="eastAsia" w:ascii="宋体" w:hAnsi="宋体" w:eastAsia="宋体" w:cs="宋体"/>
                <w:i w:val="0"/>
                <w:iCs w:val="0"/>
                <w:color w:val="000000"/>
                <w:sz w:val="18"/>
                <w:szCs w:val="18"/>
                <w:highlight w:val="none"/>
                <w:u w:val="none"/>
              </w:rPr>
            </w:pPr>
          </w:p>
        </w:tc>
        <w:tc>
          <w:tcPr>
            <w:tcW w:w="555" w:type="pct"/>
            <w:vMerge w:val="continue"/>
            <w:tcBorders>
              <w:top w:val="single" w:color="000000" w:sz="8" w:space="0"/>
              <w:left w:val="nil"/>
              <w:bottom w:val="single" w:color="000000" w:sz="8" w:space="0"/>
              <w:right w:val="single" w:color="000000" w:sz="8" w:space="0"/>
            </w:tcBorders>
            <w:shd w:val="clear" w:color="auto" w:fill="auto"/>
            <w:vAlign w:val="center"/>
          </w:tcPr>
          <w:p w14:paraId="0674ECF2">
            <w:pPr>
              <w:jc w:val="center"/>
              <w:rPr>
                <w:rFonts w:hint="eastAsia" w:ascii="宋体" w:hAnsi="宋体" w:eastAsia="宋体" w:cs="宋体"/>
                <w:i w:val="0"/>
                <w:iCs w:val="0"/>
                <w:color w:val="000000"/>
                <w:sz w:val="18"/>
                <w:szCs w:val="18"/>
                <w:highlight w:val="none"/>
                <w:u w:val="none"/>
              </w:rPr>
            </w:pPr>
          </w:p>
        </w:tc>
      </w:tr>
      <w:tr w14:paraId="02C1D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555"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03B309E">
            <w:pPr>
              <w:jc w:val="center"/>
              <w:rPr>
                <w:rFonts w:hint="eastAsia" w:ascii="宋体" w:hAnsi="宋体" w:eastAsia="宋体" w:cs="宋体"/>
                <w:i w:val="0"/>
                <w:iCs w:val="0"/>
                <w:color w:val="000000"/>
                <w:sz w:val="18"/>
                <w:szCs w:val="18"/>
                <w:highlight w:val="none"/>
                <w:u w:val="none"/>
              </w:rPr>
            </w:pPr>
          </w:p>
        </w:tc>
        <w:tc>
          <w:tcPr>
            <w:tcW w:w="555" w:type="pct"/>
            <w:tcBorders>
              <w:top w:val="nil"/>
              <w:left w:val="nil"/>
              <w:bottom w:val="single" w:color="000000" w:sz="8" w:space="0"/>
              <w:right w:val="single" w:color="000000" w:sz="8" w:space="0"/>
            </w:tcBorders>
            <w:shd w:val="clear" w:color="auto" w:fill="auto"/>
            <w:vAlign w:val="center"/>
          </w:tcPr>
          <w:p w14:paraId="5FEAE5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对相邻低级洁净室</w:t>
            </w:r>
          </w:p>
        </w:tc>
        <w:tc>
          <w:tcPr>
            <w:tcW w:w="555" w:type="pct"/>
            <w:tcBorders>
              <w:top w:val="nil"/>
              <w:left w:val="nil"/>
              <w:bottom w:val="single" w:color="000000" w:sz="8" w:space="0"/>
              <w:right w:val="single" w:color="000000" w:sz="8" w:space="0"/>
            </w:tcBorders>
            <w:shd w:val="clear" w:color="auto" w:fill="auto"/>
            <w:noWrap/>
            <w:vAlign w:val="center"/>
          </w:tcPr>
          <w:p w14:paraId="1401DF4F">
            <w:pPr>
              <w:rPr>
                <w:rFonts w:hint="eastAsia" w:ascii="宋体" w:hAnsi="宋体" w:eastAsia="宋体" w:cs="宋体"/>
                <w:i w:val="0"/>
                <w:iCs w:val="0"/>
                <w:color w:val="000000"/>
                <w:sz w:val="18"/>
                <w:szCs w:val="18"/>
                <w:highlight w:val="none"/>
                <w:u w:val="none"/>
              </w:rPr>
            </w:pPr>
          </w:p>
        </w:tc>
        <w:tc>
          <w:tcPr>
            <w:tcW w:w="555" w:type="pct"/>
            <w:vMerge w:val="continue"/>
            <w:tcBorders>
              <w:top w:val="single" w:color="000000" w:sz="8" w:space="0"/>
              <w:left w:val="nil"/>
              <w:bottom w:val="single" w:color="000000" w:sz="8" w:space="0"/>
              <w:right w:val="single" w:color="000000" w:sz="8" w:space="0"/>
            </w:tcBorders>
            <w:shd w:val="clear" w:color="auto" w:fill="auto"/>
            <w:vAlign w:val="center"/>
          </w:tcPr>
          <w:p w14:paraId="19738E73">
            <w:pPr>
              <w:jc w:val="center"/>
              <w:rPr>
                <w:rFonts w:hint="eastAsia" w:ascii="宋体" w:hAnsi="宋体" w:eastAsia="宋体" w:cs="宋体"/>
                <w:i w:val="0"/>
                <w:iCs w:val="0"/>
                <w:color w:val="000000"/>
                <w:sz w:val="18"/>
                <w:szCs w:val="18"/>
                <w:highlight w:val="none"/>
                <w:u w:val="none"/>
              </w:rPr>
            </w:pPr>
          </w:p>
        </w:tc>
        <w:tc>
          <w:tcPr>
            <w:tcW w:w="555" w:type="pct"/>
            <w:tcBorders>
              <w:top w:val="nil"/>
              <w:left w:val="nil"/>
              <w:bottom w:val="single" w:color="000000" w:sz="8" w:space="0"/>
              <w:right w:val="single" w:color="000000" w:sz="8" w:space="0"/>
            </w:tcBorders>
            <w:shd w:val="clear" w:color="auto" w:fill="auto"/>
            <w:vAlign w:val="center"/>
          </w:tcPr>
          <w:p w14:paraId="666FF7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(％RH)</w:t>
            </w:r>
          </w:p>
        </w:tc>
        <w:tc>
          <w:tcPr>
            <w:tcW w:w="555" w:type="pct"/>
            <w:tcBorders>
              <w:top w:val="nil"/>
              <w:left w:val="nil"/>
              <w:bottom w:val="single" w:color="000000" w:sz="8" w:space="0"/>
              <w:right w:val="single" w:color="000000" w:sz="8" w:space="0"/>
            </w:tcBorders>
            <w:shd w:val="clear" w:color="auto" w:fill="auto"/>
            <w:vAlign w:val="center"/>
          </w:tcPr>
          <w:p w14:paraId="765E40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M3／h人</w:t>
            </w:r>
          </w:p>
        </w:tc>
        <w:tc>
          <w:tcPr>
            <w:tcW w:w="555" w:type="pct"/>
            <w:tcBorders>
              <w:top w:val="nil"/>
              <w:left w:val="nil"/>
              <w:bottom w:val="single" w:color="000000" w:sz="8" w:space="0"/>
              <w:right w:val="single" w:color="000000" w:sz="8" w:space="0"/>
            </w:tcBorders>
            <w:shd w:val="clear" w:color="auto" w:fill="auto"/>
            <w:vAlign w:val="center"/>
          </w:tcPr>
          <w:p w14:paraId="32B9CB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次／h</w:t>
            </w:r>
          </w:p>
        </w:tc>
        <w:tc>
          <w:tcPr>
            <w:tcW w:w="555" w:type="pct"/>
            <w:vMerge w:val="continue"/>
            <w:tcBorders>
              <w:top w:val="single" w:color="000000" w:sz="8" w:space="0"/>
              <w:left w:val="nil"/>
              <w:bottom w:val="single" w:color="000000" w:sz="8" w:space="0"/>
              <w:right w:val="single" w:color="000000" w:sz="8" w:space="0"/>
            </w:tcBorders>
            <w:shd w:val="clear" w:color="auto" w:fill="auto"/>
            <w:vAlign w:val="center"/>
          </w:tcPr>
          <w:p w14:paraId="635CD141">
            <w:pPr>
              <w:jc w:val="center"/>
              <w:rPr>
                <w:rFonts w:hint="eastAsia" w:ascii="宋体" w:hAnsi="宋体" w:eastAsia="宋体" w:cs="宋体"/>
                <w:i w:val="0"/>
                <w:iCs w:val="0"/>
                <w:color w:val="000000"/>
                <w:sz w:val="18"/>
                <w:szCs w:val="18"/>
                <w:highlight w:val="none"/>
                <w:u w:val="none"/>
              </w:rPr>
            </w:pPr>
          </w:p>
        </w:tc>
        <w:tc>
          <w:tcPr>
            <w:tcW w:w="555" w:type="pct"/>
            <w:vMerge w:val="continue"/>
            <w:tcBorders>
              <w:top w:val="single" w:color="000000" w:sz="8" w:space="0"/>
              <w:left w:val="nil"/>
              <w:bottom w:val="single" w:color="000000" w:sz="8" w:space="0"/>
              <w:right w:val="single" w:color="000000" w:sz="8" w:space="0"/>
            </w:tcBorders>
            <w:shd w:val="clear" w:color="auto" w:fill="auto"/>
            <w:vAlign w:val="center"/>
          </w:tcPr>
          <w:p w14:paraId="4DB5C880">
            <w:pPr>
              <w:jc w:val="center"/>
              <w:rPr>
                <w:rFonts w:hint="eastAsia" w:ascii="宋体" w:hAnsi="宋体" w:eastAsia="宋体" w:cs="宋体"/>
                <w:i w:val="0"/>
                <w:iCs w:val="0"/>
                <w:color w:val="000000"/>
                <w:sz w:val="18"/>
                <w:szCs w:val="18"/>
                <w:highlight w:val="none"/>
                <w:u w:val="none"/>
              </w:rPr>
            </w:pPr>
          </w:p>
        </w:tc>
      </w:tr>
      <w:tr w14:paraId="36A17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55" w:type="pct"/>
            <w:tcBorders>
              <w:top w:val="nil"/>
              <w:left w:val="single" w:color="000000" w:sz="8" w:space="0"/>
              <w:bottom w:val="single" w:color="000000" w:sz="8" w:space="0"/>
              <w:right w:val="single" w:color="000000" w:sz="8" w:space="0"/>
            </w:tcBorders>
            <w:shd w:val="clear" w:color="auto" w:fill="auto"/>
            <w:vAlign w:val="center"/>
          </w:tcPr>
          <w:p w14:paraId="7D21EC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去污区</w:t>
            </w:r>
          </w:p>
        </w:tc>
        <w:tc>
          <w:tcPr>
            <w:tcW w:w="555" w:type="pct"/>
            <w:tcBorders>
              <w:top w:val="nil"/>
              <w:left w:val="nil"/>
              <w:bottom w:val="single" w:color="000000" w:sz="8" w:space="0"/>
              <w:right w:val="single" w:color="000000" w:sz="8" w:space="0"/>
            </w:tcBorders>
            <w:shd w:val="clear" w:color="auto" w:fill="auto"/>
            <w:vAlign w:val="center"/>
          </w:tcPr>
          <w:p w14:paraId="4993D6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555" w:type="pct"/>
            <w:tcBorders>
              <w:top w:val="nil"/>
              <w:left w:val="nil"/>
              <w:bottom w:val="single" w:color="000000" w:sz="8" w:space="0"/>
              <w:right w:val="single" w:color="000000" w:sz="8" w:space="0"/>
            </w:tcBorders>
            <w:shd w:val="clear" w:color="auto" w:fill="auto"/>
            <w:vAlign w:val="center"/>
          </w:tcPr>
          <w:p w14:paraId="00F42F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555" w:type="pct"/>
            <w:tcBorders>
              <w:top w:val="nil"/>
              <w:left w:val="nil"/>
              <w:bottom w:val="single" w:color="000000" w:sz="8" w:space="0"/>
              <w:right w:val="single" w:color="000000" w:sz="8" w:space="0"/>
            </w:tcBorders>
            <w:shd w:val="clear" w:color="auto" w:fill="auto"/>
            <w:vAlign w:val="center"/>
          </w:tcPr>
          <w:p w14:paraId="2EA30B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16～21</w:t>
            </w:r>
          </w:p>
        </w:tc>
        <w:tc>
          <w:tcPr>
            <w:tcW w:w="555" w:type="pct"/>
            <w:tcBorders>
              <w:top w:val="nil"/>
              <w:left w:val="nil"/>
              <w:bottom w:val="single" w:color="000000" w:sz="8" w:space="0"/>
              <w:right w:val="single" w:color="000000" w:sz="8" w:space="0"/>
            </w:tcBorders>
            <w:shd w:val="clear" w:color="auto" w:fill="auto"/>
            <w:vAlign w:val="center"/>
          </w:tcPr>
          <w:p w14:paraId="3092F9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30～60</w:t>
            </w:r>
          </w:p>
        </w:tc>
        <w:tc>
          <w:tcPr>
            <w:tcW w:w="555" w:type="pct"/>
            <w:tcBorders>
              <w:top w:val="nil"/>
              <w:left w:val="nil"/>
              <w:bottom w:val="single" w:color="000000" w:sz="8" w:space="0"/>
              <w:right w:val="single" w:color="000000" w:sz="8" w:space="0"/>
            </w:tcBorders>
            <w:shd w:val="clear" w:color="auto" w:fill="auto"/>
            <w:vAlign w:val="center"/>
          </w:tcPr>
          <w:p w14:paraId="51A2F5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555" w:type="pct"/>
            <w:tcBorders>
              <w:top w:val="nil"/>
              <w:left w:val="nil"/>
              <w:bottom w:val="single" w:color="000000" w:sz="8" w:space="0"/>
              <w:right w:val="single" w:color="000000" w:sz="8" w:space="0"/>
            </w:tcBorders>
            <w:shd w:val="clear" w:color="auto" w:fill="auto"/>
            <w:vAlign w:val="center"/>
          </w:tcPr>
          <w:p w14:paraId="650095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555" w:type="pct"/>
            <w:tcBorders>
              <w:top w:val="nil"/>
              <w:left w:val="nil"/>
              <w:bottom w:val="single" w:color="000000" w:sz="8" w:space="0"/>
              <w:right w:val="single" w:color="000000" w:sz="8" w:space="0"/>
            </w:tcBorders>
            <w:shd w:val="clear" w:color="auto" w:fill="auto"/>
            <w:vAlign w:val="center"/>
          </w:tcPr>
          <w:p w14:paraId="77C2F1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≤55</w:t>
            </w:r>
          </w:p>
        </w:tc>
        <w:tc>
          <w:tcPr>
            <w:tcW w:w="555" w:type="pct"/>
            <w:tcBorders>
              <w:top w:val="nil"/>
              <w:left w:val="nil"/>
              <w:bottom w:val="single" w:color="000000" w:sz="8" w:space="0"/>
              <w:right w:val="single" w:color="000000" w:sz="8" w:space="0"/>
            </w:tcBorders>
            <w:shd w:val="clear" w:color="auto" w:fill="auto"/>
            <w:vAlign w:val="center"/>
          </w:tcPr>
          <w:p w14:paraId="5933BE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r>
      <w:tr w14:paraId="3BF81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555" w:type="pct"/>
            <w:tcBorders>
              <w:top w:val="nil"/>
              <w:left w:val="single" w:color="000000" w:sz="8" w:space="0"/>
              <w:bottom w:val="single" w:color="000000" w:sz="8" w:space="0"/>
              <w:right w:val="single" w:color="000000" w:sz="8" w:space="0"/>
            </w:tcBorders>
            <w:shd w:val="clear" w:color="auto" w:fill="auto"/>
            <w:vAlign w:val="center"/>
          </w:tcPr>
          <w:p w14:paraId="763D17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检查包装灭菌区</w:t>
            </w:r>
          </w:p>
        </w:tc>
        <w:tc>
          <w:tcPr>
            <w:tcW w:w="555" w:type="pct"/>
            <w:tcBorders>
              <w:top w:val="nil"/>
              <w:left w:val="nil"/>
              <w:bottom w:val="single" w:color="000000" w:sz="8" w:space="0"/>
              <w:right w:val="single" w:color="000000" w:sz="8" w:space="0"/>
            </w:tcBorders>
            <w:shd w:val="clear" w:color="auto" w:fill="auto"/>
            <w:vAlign w:val="center"/>
          </w:tcPr>
          <w:p w14:paraId="110351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0~+5</w:t>
            </w:r>
          </w:p>
        </w:tc>
        <w:tc>
          <w:tcPr>
            <w:tcW w:w="555" w:type="pct"/>
            <w:tcBorders>
              <w:top w:val="nil"/>
              <w:left w:val="nil"/>
              <w:bottom w:val="single" w:color="000000" w:sz="8" w:space="0"/>
              <w:right w:val="single" w:color="000000" w:sz="8" w:space="0"/>
            </w:tcBorders>
            <w:shd w:val="clear" w:color="auto" w:fill="auto"/>
            <w:vAlign w:val="center"/>
          </w:tcPr>
          <w:p w14:paraId="6E184E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555" w:type="pct"/>
            <w:tcBorders>
              <w:top w:val="nil"/>
              <w:left w:val="nil"/>
              <w:bottom w:val="single" w:color="000000" w:sz="8" w:space="0"/>
              <w:right w:val="single" w:color="000000" w:sz="8" w:space="0"/>
            </w:tcBorders>
            <w:shd w:val="clear" w:color="auto" w:fill="auto"/>
            <w:vAlign w:val="center"/>
          </w:tcPr>
          <w:p w14:paraId="1984D6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20～23</w:t>
            </w:r>
          </w:p>
        </w:tc>
        <w:tc>
          <w:tcPr>
            <w:tcW w:w="555" w:type="pct"/>
            <w:tcBorders>
              <w:top w:val="nil"/>
              <w:left w:val="nil"/>
              <w:bottom w:val="single" w:color="000000" w:sz="8" w:space="0"/>
              <w:right w:val="single" w:color="000000" w:sz="8" w:space="0"/>
            </w:tcBorders>
            <w:shd w:val="clear" w:color="auto" w:fill="auto"/>
            <w:vAlign w:val="center"/>
          </w:tcPr>
          <w:p w14:paraId="4FCBCC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30～60</w:t>
            </w:r>
          </w:p>
        </w:tc>
        <w:tc>
          <w:tcPr>
            <w:tcW w:w="555" w:type="pct"/>
            <w:tcBorders>
              <w:top w:val="nil"/>
              <w:left w:val="nil"/>
              <w:bottom w:val="single" w:color="000000" w:sz="8" w:space="0"/>
              <w:right w:val="single" w:color="000000" w:sz="8" w:space="0"/>
            </w:tcBorders>
            <w:shd w:val="clear" w:color="auto" w:fill="auto"/>
            <w:vAlign w:val="center"/>
          </w:tcPr>
          <w:p w14:paraId="6236B7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555" w:type="pct"/>
            <w:tcBorders>
              <w:top w:val="nil"/>
              <w:left w:val="nil"/>
              <w:bottom w:val="single" w:color="000000" w:sz="8" w:space="0"/>
              <w:right w:val="single" w:color="000000" w:sz="8" w:space="0"/>
            </w:tcBorders>
            <w:shd w:val="clear" w:color="auto" w:fill="auto"/>
            <w:vAlign w:val="center"/>
          </w:tcPr>
          <w:p w14:paraId="6447F6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555" w:type="pct"/>
            <w:tcBorders>
              <w:top w:val="nil"/>
              <w:left w:val="nil"/>
              <w:bottom w:val="single" w:color="000000" w:sz="8" w:space="0"/>
              <w:right w:val="single" w:color="000000" w:sz="8" w:space="0"/>
            </w:tcBorders>
            <w:shd w:val="clear" w:color="auto" w:fill="auto"/>
            <w:vAlign w:val="center"/>
          </w:tcPr>
          <w:p w14:paraId="4DDD99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≤55</w:t>
            </w:r>
          </w:p>
        </w:tc>
        <w:tc>
          <w:tcPr>
            <w:tcW w:w="555" w:type="pct"/>
            <w:tcBorders>
              <w:top w:val="nil"/>
              <w:left w:val="nil"/>
              <w:bottom w:val="single" w:color="000000" w:sz="8" w:space="0"/>
              <w:right w:val="single" w:color="000000" w:sz="8" w:space="0"/>
            </w:tcBorders>
            <w:shd w:val="clear" w:color="auto" w:fill="auto"/>
            <w:vAlign w:val="center"/>
          </w:tcPr>
          <w:p w14:paraId="00685D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r>
      <w:tr w14:paraId="5680E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555" w:type="pct"/>
            <w:tcBorders>
              <w:top w:val="nil"/>
              <w:left w:val="single" w:color="000000" w:sz="8" w:space="0"/>
              <w:bottom w:val="single" w:color="000000" w:sz="8" w:space="0"/>
              <w:right w:val="single" w:color="000000" w:sz="8" w:space="0"/>
            </w:tcBorders>
            <w:shd w:val="clear" w:color="auto" w:fill="auto"/>
            <w:vAlign w:val="center"/>
          </w:tcPr>
          <w:p w14:paraId="09AB77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无菌物品存放区</w:t>
            </w:r>
          </w:p>
        </w:tc>
        <w:tc>
          <w:tcPr>
            <w:tcW w:w="555" w:type="pct"/>
            <w:tcBorders>
              <w:top w:val="nil"/>
              <w:left w:val="nil"/>
              <w:bottom w:val="single" w:color="000000" w:sz="8" w:space="0"/>
              <w:right w:val="single" w:color="000000" w:sz="8" w:space="0"/>
            </w:tcBorders>
            <w:shd w:val="clear" w:color="auto" w:fill="auto"/>
            <w:vAlign w:val="center"/>
          </w:tcPr>
          <w:p w14:paraId="7C3C18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555" w:type="pct"/>
            <w:tcBorders>
              <w:top w:val="nil"/>
              <w:left w:val="nil"/>
              <w:bottom w:val="single" w:color="000000" w:sz="8" w:space="0"/>
              <w:right w:val="single" w:color="000000" w:sz="8" w:space="0"/>
            </w:tcBorders>
            <w:shd w:val="clear" w:color="auto" w:fill="auto"/>
            <w:vAlign w:val="center"/>
          </w:tcPr>
          <w:p w14:paraId="1C91F8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4~10</w:t>
            </w:r>
          </w:p>
        </w:tc>
        <w:tc>
          <w:tcPr>
            <w:tcW w:w="555" w:type="pct"/>
            <w:tcBorders>
              <w:top w:val="nil"/>
              <w:left w:val="nil"/>
              <w:bottom w:val="single" w:color="000000" w:sz="8" w:space="0"/>
              <w:right w:val="single" w:color="000000" w:sz="8" w:space="0"/>
            </w:tcBorders>
            <w:shd w:val="clear" w:color="auto" w:fill="auto"/>
            <w:vAlign w:val="center"/>
          </w:tcPr>
          <w:p w14:paraId="6C33EC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低于24</w:t>
            </w:r>
          </w:p>
        </w:tc>
        <w:tc>
          <w:tcPr>
            <w:tcW w:w="555" w:type="pct"/>
            <w:tcBorders>
              <w:top w:val="nil"/>
              <w:left w:val="nil"/>
              <w:bottom w:val="single" w:color="000000" w:sz="8" w:space="0"/>
              <w:right w:val="single" w:color="000000" w:sz="8" w:space="0"/>
            </w:tcBorders>
            <w:shd w:val="clear" w:color="auto" w:fill="auto"/>
            <w:vAlign w:val="center"/>
          </w:tcPr>
          <w:p w14:paraId="14A38A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低于70</w:t>
            </w:r>
          </w:p>
        </w:tc>
        <w:tc>
          <w:tcPr>
            <w:tcW w:w="555" w:type="pct"/>
            <w:tcBorders>
              <w:top w:val="nil"/>
              <w:left w:val="nil"/>
              <w:bottom w:val="single" w:color="000000" w:sz="8" w:space="0"/>
              <w:right w:val="single" w:color="000000" w:sz="8" w:space="0"/>
            </w:tcBorders>
            <w:shd w:val="clear" w:color="auto" w:fill="auto"/>
            <w:vAlign w:val="center"/>
          </w:tcPr>
          <w:p w14:paraId="2B93D9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555" w:type="pct"/>
            <w:tcBorders>
              <w:top w:val="nil"/>
              <w:left w:val="nil"/>
              <w:bottom w:val="single" w:color="000000" w:sz="8" w:space="0"/>
              <w:right w:val="single" w:color="000000" w:sz="8" w:space="0"/>
            </w:tcBorders>
            <w:shd w:val="clear" w:color="auto" w:fill="auto"/>
            <w:vAlign w:val="center"/>
          </w:tcPr>
          <w:p w14:paraId="58D6E8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555" w:type="pct"/>
            <w:tcBorders>
              <w:top w:val="nil"/>
              <w:left w:val="nil"/>
              <w:bottom w:val="single" w:color="000000" w:sz="8" w:space="0"/>
              <w:right w:val="single" w:color="000000" w:sz="8" w:space="0"/>
            </w:tcBorders>
            <w:shd w:val="clear" w:color="auto" w:fill="auto"/>
            <w:vAlign w:val="center"/>
          </w:tcPr>
          <w:p w14:paraId="19A44D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555" w:type="pct"/>
            <w:tcBorders>
              <w:top w:val="nil"/>
              <w:left w:val="nil"/>
              <w:bottom w:val="single" w:color="000000" w:sz="8" w:space="0"/>
              <w:right w:val="single" w:color="000000" w:sz="8" w:space="0"/>
            </w:tcBorders>
            <w:shd w:val="clear" w:color="auto" w:fill="auto"/>
            <w:vAlign w:val="center"/>
          </w:tcPr>
          <w:p w14:paraId="72DEDB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r>
    </w:tbl>
    <w:p w14:paraId="1B2A09D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6.5.3静配中心主要技术指标</w:t>
      </w:r>
    </w:p>
    <w:tbl>
      <w:tblPr>
        <w:tblStyle w:val="2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35"/>
        <w:gridCol w:w="1135"/>
        <w:gridCol w:w="1136"/>
        <w:gridCol w:w="1136"/>
        <w:gridCol w:w="1136"/>
        <w:gridCol w:w="1136"/>
        <w:gridCol w:w="1136"/>
        <w:gridCol w:w="1136"/>
      </w:tblGrid>
      <w:tr w14:paraId="4423E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625"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191AF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名称</w:t>
            </w:r>
          </w:p>
        </w:tc>
        <w:tc>
          <w:tcPr>
            <w:tcW w:w="625" w:type="pct"/>
            <w:vMerge w:val="restart"/>
            <w:tcBorders>
              <w:top w:val="single" w:color="000000" w:sz="8" w:space="0"/>
              <w:left w:val="nil"/>
              <w:bottom w:val="single" w:color="000000" w:sz="8" w:space="0"/>
              <w:right w:val="single" w:color="000000" w:sz="8" w:space="0"/>
            </w:tcBorders>
            <w:shd w:val="clear" w:color="auto" w:fill="auto"/>
            <w:vAlign w:val="center"/>
          </w:tcPr>
          <w:p w14:paraId="2F7CFB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净化级别</w:t>
            </w:r>
          </w:p>
        </w:tc>
        <w:tc>
          <w:tcPr>
            <w:tcW w:w="625" w:type="pct"/>
            <w:vMerge w:val="restart"/>
            <w:tcBorders>
              <w:top w:val="single" w:color="000000" w:sz="8" w:space="0"/>
              <w:left w:val="nil"/>
              <w:bottom w:val="single" w:color="000000" w:sz="8" w:space="0"/>
              <w:right w:val="single" w:color="000000" w:sz="8" w:space="0"/>
            </w:tcBorders>
            <w:shd w:val="clear" w:color="auto" w:fill="auto"/>
            <w:vAlign w:val="center"/>
          </w:tcPr>
          <w:p w14:paraId="4FBB42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温度(℃)</w:t>
            </w:r>
          </w:p>
        </w:tc>
        <w:tc>
          <w:tcPr>
            <w:tcW w:w="625" w:type="pct"/>
            <w:tcBorders>
              <w:top w:val="single" w:color="000000" w:sz="8" w:space="0"/>
              <w:left w:val="nil"/>
              <w:bottom w:val="nil"/>
              <w:right w:val="single" w:color="000000" w:sz="8" w:space="0"/>
            </w:tcBorders>
            <w:shd w:val="clear" w:color="auto" w:fill="auto"/>
            <w:vAlign w:val="center"/>
          </w:tcPr>
          <w:p w14:paraId="5C648C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相对</w:t>
            </w:r>
          </w:p>
        </w:tc>
        <w:tc>
          <w:tcPr>
            <w:tcW w:w="1250" w:type="pct"/>
            <w:gridSpan w:val="2"/>
            <w:vMerge w:val="restart"/>
            <w:tcBorders>
              <w:top w:val="single" w:color="000000" w:sz="8" w:space="0"/>
              <w:left w:val="nil"/>
              <w:bottom w:val="single" w:color="000000" w:sz="8" w:space="0"/>
              <w:right w:val="single" w:color="000000" w:sz="8" w:space="0"/>
            </w:tcBorders>
            <w:shd w:val="clear" w:color="auto" w:fill="auto"/>
            <w:vAlign w:val="center"/>
          </w:tcPr>
          <w:p w14:paraId="0935BF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最小新风量</w:t>
            </w:r>
          </w:p>
        </w:tc>
        <w:tc>
          <w:tcPr>
            <w:tcW w:w="625" w:type="pct"/>
            <w:vMerge w:val="restart"/>
            <w:tcBorders>
              <w:top w:val="single" w:color="000000" w:sz="8" w:space="0"/>
              <w:left w:val="nil"/>
              <w:bottom w:val="single" w:color="000000" w:sz="8" w:space="0"/>
              <w:right w:val="single" w:color="000000" w:sz="8" w:space="0"/>
            </w:tcBorders>
            <w:shd w:val="clear" w:color="auto" w:fill="auto"/>
            <w:vAlign w:val="center"/>
          </w:tcPr>
          <w:p w14:paraId="19050E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噪声dB(A)</w:t>
            </w:r>
          </w:p>
        </w:tc>
        <w:tc>
          <w:tcPr>
            <w:tcW w:w="625" w:type="pct"/>
            <w:vMerge w:val="restart"/>
            <w:tcBorders>
              <w:top w:val="single" w:color="000000" w:sz="8" w:space="0"/>
              <w:left w:val="nil"/>
              <w:bottom w:val="single" w:color="000000" w:sz="8" w:space="0"/>
              <w:right w:val="single" w:color="000000" w:sz="8" w:space="0"/>
            </w:tcBorders>
            <w:shd w:val="clear" w:color="auto" w:fill="auto"/>
            <w:vAlign w:val="center"/>
          </w:tcPr>
          <w:p w14:paraId="350203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换气次数</w:t>
            </w:r>
          </w:p>
        </w:tc>
      </w:tr>
      <w:tr w14:paraId="64E58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25"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E0B461">
            <w:pPr>
              <w:jc w:val="center"/>
              <w:rPr>
                <w:rFonts w:hint="eastAsia" w:ascii="宋体" w:hAnsi="宋体" w:eastAsia="宋体" w:cs="宋体"/>
                <w:i w:val="0"/>
                <w:iCs w:val="0"/>
                <w:color w:val="000000"/>
                <w:sz w:val="18"/>
                <w:szCs w:val="18"/>
                <w:highlight w:val="none"/>
                <w:u w:val="none"/>
              </w:rPr>
            </w:pPr>
          </w:p>
        </w:tc>
        <w:tc>
          <w:tcPr>
            <w:tcW w:w="625" w:type="pct"/>
            <w:vMerge w:val="continue"/>
            <w:tcBorders>
              <w:top w:val="single" w:color="000000" w:sz="8" w:space="0"/>
              <w:left w:val="nil"/>
              <w:bottom w:val="single" w:color="000000" w:sz="8" w:space="0"/>
              <w:right w:val="single" w:color="000000" w:sz="8" w:space="0"/>
            </w:tcBorders>
            <w:shd w:val="clear" w:color="auto" w:fill="auto"/>
            <w:vAlign w:val="center"/>
          </w:tcPr>
          <w:p w14:paraId="0672B0DA">
            <w:pPr>
              <w:jc w:val="center"/>
              <w:rPr>
                <w:rFonts w:hint="eastAsia" w:ascii="宋体" w:hAnsi="宋体" w:eastAsia="宋体" w:cs="宋体"/>
                <w:i w:val="0"/>
                <w:iCs w:val="0"/>
                <w:color w:val="000000"/>
                <w:sz w:val="18"/>
                <w:szCs w:val="18"/>
                <w:highlight w:val="none"/>
                <w:u w:val="none"/>
              </w:rPr>
            </w:pPr>
          </w:p>
        </w:tc>
        <w:tc>
          <w:tcPr>
            <w:tcW w:w="625" w:type="pct"/>
            <w:vMerge w:val="continue"/>
            <w:tcBorders>
              <w:top w:val="single" w:color="000000" w:sz="8" w:space="0"/>
              <w:left w:val="nil"/>
              <w:bottom w:val="single" w:color="000000" w:sz="8" w:space="0"/>
              <w:right w:val="single" w:color="000000" w:sz="8" w:space="0"/>
            </w:tcBorders>
            <w:shd w:val="clear" w:color="auto" w:fill="auto"/>
            <w:vAlign w:val="center"/>
          </w:tcPr>
          <w:p w14:paraId="72D4C93D">
            <w:pPr>
              <w:jc w:val="center"/>
              <w:rPr>
                <w:rFonts w:hint="eastAsia" w:ascii="宋体" w:hAnsi="宋体" w:eastAsia="宋体" w:cs="宋体"/>
                <w:i w:val="0"/>
                <w:iCs w:val="0"/>
                <w:color w:val="000000"/>
                <w:sz w:val="18"/>
                <w:szCs w:val="18"/>
                <w:highlight w:val="none"/>
                <w:u w:val="none"/>
              </w:rPr>
            </w:pPr>
          </w:p>
        </w:tc>
        <w:tc>
          <w:tcPr>
            <w:tcW w:w="625" w:type="pct"/>
            <w:tcBorders>
              <w:top w:val="nil"/>
              <w:left w:val="nil"/>
              <w:bottom w:val="nil"/>
              <w:right w:val="single" w:color="000000" w:sz="8" w:space="0"/>
            </w:tcBorders>
            <w:shd w:val="clear" w:color="auto" w:fill="auto"/>
            <w:vAlign w:val="center"/>
          </w:tcPr>
          <w:p w14:paraId="7E69E5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湿度</w:t>
            </w:r>
          </w:p>
        </w:tc>
        <w:tc>
          <w:tcPr>
            <w:tcW w:w="1250" w:type="pct"/>
            <w:gridSpan w:val="2"/>
            <w:vMerge w:val="continue"/>
            <w:tcBorders>
              <w:top w:val="single" w:color="000000" w:sz="8" w:space="0"/>
              <w:left w:val="nil"/>
              <w:bottom w:val="single" w:color="000000" w:sz="8" w:space="0"/>
              <w:right w:val="single" w:color="000000" w:sz="8" w:space="0"/>
            </w:tcBorders>
            <w:shd w:val="clear" w:color="auto" w:fill="auto"/>
            <w:vAlign w:val="center"/>
          </w:tcPr>
          <w:p w14:paraId="2484E892">
            <w:pPr>
              <w:jc w:val="center"/>
              <w:rPr>
                <w:rFonts w:hint="eastAsia" w:ascii="宋体" w:hAnsi="宋体" w:eastAsia="宋体" w:cs="宋体"/>
                <w:i w:val="0"/>
                <w:iCs w:val="0"/>
                <w:color w:val="000000"/>
                <w:sz w:val="18"/>
                <w:szCs w:val="18"/>
                <w:highlight w:val="none"/>
                <w:u w:val="none"/>
              </w:rPr>
            </w:pPr>
          </w:p>
        </w:tc>
        <w:tc>
          <w:tcPr>
            <w:tcW w:w="625" w:type="pct"/>
            <w:vMerge w:val="continue"/>
            <w:tcBorders>
              <w:top w:val="single" w:color="000000" w:sz="8" w:space="0"/>
              <w:left w:val="nil"/>
              <w:bottom w:val="single" w:color="000000" w:sz="8" w:space="0"/>
              <w:right w:val="single" w:color="000000" w:sz="8" w:space="0"/>
            </w:tcBorders>
            <w:shd w:val="clear" w:color="auto" w:fill="auto"/>
            <w:vAlign w:val="center"/>
          </w:tcPr>
          <w:p w14:paraId="7879437B">
            <w:pPr>
              <w:jc w:val="center"/>
              <w:rPr>
                <w:rFonts w:hint="eastAsia" w:ascii="宋体" w:hAnsi="宋体" w:eastAsia="宋体" w:cs="宋体"/>
                <w:i w:val="0"/>
                <w:iCs w:val="0"/>
                <w:color w:val="000000"/>
                <w:sz w:val="18"/>
                <w:szCs w:val="18"/>
                <w:highlight w:val="none"/>
                <w:u w:val="none"/>
              </w:rPr>
            </w:pPr>
          </w:p>
        </w:tc>
        <w:tc>
          <w:tcPr>
            <w:tcW w:w="625" w:type="pct"/>
            <w:vMerge w:val="continue"/>
            <w:tcBorders>
              <w:top w:val="single" w:color="000000" w:sz="8" w:space="0"/>
              <w:left w:val="nil"/>
              <w:bottom w:val="single" w:color="000000" w:sz="8" w:space="0"/>
              <w:right w:val="single" w:color="000000" w:sz="8" w:space="0"/>
            </w:tcBorders>
            <w:shd w:val="clear" w:color="auto" w:fill="auto"/>
            <w:vAlign w:val="center"/>
          </w:tcPr>
          <w:p w14:paraId="5520C60C">
            <w:pPr>
              <w:jc w:val="center"/>
              <w:rPr>
                <w:rFonts w:hint="eastAsia" w:ascii="宋体" w:hAnsi="宋体" w:eastAsia="宋体" w:cs="宋体"/>
                <w:i w:val="0"/>
                <w:iCs w:val="0"/>
                <w:color w:val="000000"/>
                <w:sz w:val="18"/>
                <w:szCs w:val="18"/>
                <w:highlight w:val="none"/>
                <w:u w:val="none"/>
              </w:rPr>
            </w:pPr>
          </w:p>
        </w:tc>
      </w:tr>
      <w:tr w14:paraId="354C1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25"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1CC509">
            <w:pPr>
              <w:jc w:val="center"/>
              <w:rPr>
                <w:rFonts w:hint="eastAsia" w:ascii="宋体" w:hAnsi="宋体" w:eastAsia="宋体" w:cs="宋体"/>
                <w:i w:val="0"/>
                <w:iCs w:val="0"/>
                <w:color w:val="000000"/>
                <w:sz w:val="18"/>
                <w:szCs w:val="18"/>
                <w:highlight w:val="none"/>
                <w:u w:val="none"/>
              </w:rPr>
            </w:pPr>
          </w:p>
        </w:tc>
        <w:tc>
          <w:tcPr>
            <w:tcW w:w="625" w:type="pct"/>
            <w:vMerge w:val="continue"/>
            <w:tcBorders>
              <w:top w:val="single" w:color="000000" w:sz="8" w:space="0"/>
              <w:left w:val="nil"/>
              <w:bottom w:val="single" w:color="000000" w:sz="8" w:space="0"/>
              <w:right w:val="single" w:color="000000" w:sz="8" w:space="0"/>
            </w:tcBorders>
            <w:shd w:val="clear" w:color="auto" w:fill="auto"/>
            <w:vAlign w:val="center"/>
          </w:tcPr>
          <w:p w14:paraId="2E7F7010">
            <w:pPr>
              <w:jc w:val="center"/>
              <w:rPr>
                <w:rFonts w:hint="eastAsia" w:ascii="宋体" w:hAnsi="宋体" w:eastAsia="宋体" w:cs="宋体"/>
                <w:i w:val="0"/>
                <w:iCs w:val="0"/>
                <w:color w:val="000000"/>
                <w:sz w:val="18"/>
                <w:szCs w:val="18"/>
                <w:highlight w:val="none"/>
                <w:u w:val="none"/>
              </w:rPr>
            </w:pPr>
          </w:p>
        </w:tc>
        <w:tc>
          <w:tcPr>
            <w:tcW w:w="625" w:type="pct"/>
            <w:vMerge w:val="continue"/>
            <w:tcBorders>
              <w:top w:val="single" w:color="000000" w:sz="8" w:space="0"/>
              <w:left w:val="nil"/>
              <w:bottom w:val="single" w:color="000000" w:sz="8" w:space="0"/>
              <w:right w:val="single" w:color="000000" w:sz="8" w:space="0"/>
            </w:tcBorders>
            <w:shd w:val="clear" w:color="auto" w:fill="auto"/>
            <w:vAlign w:val="center"/>
          </w:tcPr>
          <w:p w14:paraId="73F79EE8">
            <w:pPr>
              <w:jc w:val="center"/>
              <w:rPr>
                <w:rFonts w:hint="eastAsia" w:ascii="宋体" w:hAnsi="宋体" w:eastAsia="宋体" w:cs="宋体"/>
                <w:i w:val="0"/>
                <w:iCs w:val="0"/>
                <w:color w:val="000000"/>
                <w:sz w:val="18"/>
                <w:szCs w:val="18"/>
                <w:highlight w:val="none"/>
                <w:u w:val="none"/>
              </w:rPr>
            </w:pPr>
          </w:p>
        </w:tc>
        <w:tc>
          <w:tcPr>
            <w:tcW w:w="625" w:type="pct"/>
            <w:tcBorders>
              <w:top w:val="nil"/>
              <w:left w:val="nil"/>
              <w:bottom w:val="single" w:color="000000" w:sz="8" w:space="0"/>
              <w:right w:val="single" w:color="000000" w:sz="8" w:space="0"/>
            </w:tcBorders>
            <w:shd w:val="clear" w:color="auto" w:fill="auto"/>
            <w:vAlign w:val="center"/>
          </w:tcPr>
          <w:p w14:paraId="61FCB0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(%RH)</w:t>
            </w:r>
          </w:p>
        </w:tc>
        <w:tc>
          <w:tcPr>
            <w:tcW w:w="625" w:type="pct"/>
            <w:tcBorders>
              <w:top w:val="nil"/>
              <w:left w:val="nil"/>
              <w:bottom w:val="single" w:color="000000" w:sz="8" w:space="0"/>
              <w:right w:val="single" w:color="000000" w:sz="8" w:space="0"/>
            </w:tcBorders>
            <w:shd w:val="clear" w:color="auto" w:fill="auto"/>
            <w:vAlign w:val="center"/>
          </w:tcPr>
          <w:p w14:paraId="4034C2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M3／h人</w:t>
            </w:r>
          </w:p>
        </w:tc>
        <w:tc>
          <w:tcPr>
            <w:tcW w:w="625" w:type="pct"/>
            <w:tcBorders>
              <w:top w:val="nil"/>
              <w:left w:val="nil"/>
              <w:bottom w:val="single" w:color="000000" w:sz="8" w:space="0"/>
              <w:right w:val="single" w:color="000000" w:sz="8" w:space="0"/>
            </w:tcBorders>
            <w:shd w:val="clear" w:color="auto" w:fill="auto"/>
            <w:vAlign w:val="center"/>
          </w:tcPr>
          <w:p w14:paraId="50AEFD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次／h</w:t>
            </w:r>
          </w:p>
        </w:tc>
        <w:tc>
          <w:tcPr>
            <w:tcW w:w="625" w:type="pct"/>
            <w:vMerge w:val="continue"/>
            <w:tcBorders>
              <w:top w:val="single" w:color="000000" w:sz="8" w:space="0"/>
              <w:left w:val="nil"/>
              <w:bottom w:val="single" w:color="000000" w:sz="8" w:space="0"/>
              <w:right w:val="single" w:color="000000" w:sz="8" w:space="0"/>
            </w:tcBorders>
            <w:shd w:val="clear" w:color="auto" w:fill="auto"/>
            <w:vAlign w:val="center"/>
          </w:tcPr>
          <w:p w14:paraId="41A00555">
            <w:pPr>
              <w:jc w:val="center"/>
              <w:rPr>
                <w:rFonts w:hint="eastAsia" w:ascii="宋体" w:hAnsi="宋体" w:eastAsia="宋体" w:cs="宋体"/>
                <w:i w:val="0"/>
                <w:iCs w:val="0"/>
                <w:color w:val="000000"/>
                <w:sz w:val="18"/>
                <w:szCs w:val="18"/>
                <w:highlight w:val="none"/>
                <w:u w:val="none"/>
              </w:rPr>
            </w:pPr>
          </w:p>
        </w:tc>
        <w:tc>
          <w:tcPr>
            <w:tcW w:w="625" w:type="pct"/>
            <w:vMerge w:val="continue"/>
            <w:tcBorders>
              <w:top w:val="single" w:color="000000" w:sz="8" w:space="0"/>
              <w:left w:val="nil"/>
              <w:bottom w:val="single" w:color="000000" w:sz="8" w:space="0"/>
              <w:right w:val="single" w:color="000000" w:sz="8" w:space="0"/>
            </w:tcBorders>
            <w:shd w:val="clear" w:color="auto" w:fill="auto"/>
            <w:vAlign w:val="center"/>
          </w:tcPr>
          <w:p w14:paraId="6A6B0D98">
            <w:pPr>
              <w:jc w:val="center"/>
              <w:rPr>
                <w:rFonts w:hint="eastAsia" w:ascii="宋体" w:hAnsi="宋体" w:eastAsia="宋体" w:cs="宋体"/>
                <w:i w:val="0"/>
                <w:iCs w:val="0"/>
                <w:color w:val="000000"/>
                <w:sz w:val="18"/>
                <w:szCs w:val="18"/>
                <w:highlight w:val="none"/>
                <w:u w:val="none"/>
              </w:rPr>
            </w:pPr>
          </w:p>
        </w:tc>
      </w:tr>
      <w:tr w14:paraId="686BB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5" w:hRule="atLeast"/>
        </w:trPr>
        <w:tc>
          <w:tcPr>
            <w:tcW w:w="625" w:type="pct"/>
            <w:tcBorders>
              <w:top w:val="nil"/>
              <w:left w:val="single" w:color="000000" w:sz="8" w:space="0"/>
              <w:bottom w:val="single" w:color="000000" w:sz="8" w:space="0"/>
              <w:right w:val="single" w:color="000000" w:sz="8" w:space="0"/>
            </w:tcBorders>
            <w:shd w:val="clear" w:color="auto" w:fill="auto"/>
            <w:vAlign w:val="center"/>
          </w:tcPr>
          <w:p w14:paraId="421428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普通药物(输液)及肠外营养液</w:t>
            </w:r>
          </w:p>
        </w:tc>
        <w:tc>
          <w:tcPr>
            <w:tcW w:w="625" w:type="pct"/>
            <w:tcBorders>
              <w:top w:val="nil"/>
              <w:left w:val="nil"/>
              <w:bottom w:val="single" w:color="000000" w:sz="8" w:space="0"/>
              <w:right w:val="single" w:color="000000" w:sz="8" w:space="0"/>
            </w:tcBorders>
            <w:shd w:val="clear" w:color="auto" w:fill="auto"/>
            <w:vAlign w:val="center"/>
          </w:tcPr>
          <w:p w14:paraId="25ED1B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万级/C级</w:t>
            </w:r>
          </w:p>
        </w:tc>
        <w:tc>
          <w:tcPr>
            <w:tcW w:w="625" w:type="pct"/>
            <w:tcBorders>
              <w:top w:val="nil"/>
              <w:left w:val="nil"/>
              <w:bottom w:val="single" w:color="000000" w:sz="8" w:space="0"/>
              <w:right w:val="single" w:color="000000" w:sz="8" w:space="0"/>
            </w:tcBorders>
            <w:shd w:val="clear" w:color="auto" w:fill="auto"/>
            <w:vAlign w:val="center"/>
          </w:tcPr>
          <w:p w14:paraId="6D44ED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18～26</w:t>
            </w:r>
          </w:p>
        </w:tc>
        <w:tc>
          <w:tcPr>
            <w:tcW w:w="625" w:type="pct"/>
            <w:tcBorders>
              <w:top w:val="nil"/>
              <w:left w:val="nil"/>
              <w:bottom w:val="single" w:color="000000" w:sz="8" w:space="0"/>
              <w:right w:val="single" w:color="000000" w:sz="8" w:space="0"/>
            </w:tcBorders>
            <w:shd w:val="clear" w:color="auto" w:fill="auto"/>
            <w:vAlign w:val="center"/>
          </w:tcPr>
          <w:p w14:paraId="5A2916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40～75</w:t>
            </w:r>
          </w:p>
        </w:tc>
        <w:tc>
          <w:tcPr>
            <w:tcW w:w="625" w:type="pct"/>
            <w:tcBorders>
              <w:top w:val="nil"/>
              <w:left w:val="nil"/>
              <w:bottom w:val="single" w:color="000000" w:sz="8" w:space="0"/>
              <w:right w:val="single" w:color="000000" w:sz="8" w:space="0"/>
            </w:tcBorders>
            <w:shd w:val="clear" w:color="auto" w:fill="auto"/>
            <w:vAlign w:val="center"/>
          </w:tcPr>
          <w:p w14:paraId="3C3B2AF7">
            <w:pPr>
              <w:jc w:val="center"/>
              <w:rPr>
                <w:rFonts w:hint="eastAsia" w:ascii="宋体" w:hAnsi="宋体" w:eastAsia="宋体" w:cs="宋体"/>
                <w:i w:val="0"/>
                <w:iCs w:val="0"/>
                <w:color w:val="000000"/>
                <w:sz w:val="18"/>
                <w:szCs w:val="18"/>
                <w:highlight w:val="none"/>
                <w:u w:val="none"/>
              </w:rPr>
            </w:pPr>
          </w:p>
        </w:tc>
        <w:tc>
          <w:tcPr>
            <w:tcW w:w="625" w:type="pct"/>
            <w:tcBorders>
              <w:top w:val="nil"/>
              <w:left w:val="nil"/>
              <w:bottom w:val="single" w:color="000000" w:sz="8" w:space="0"/>
              <w:right w:val="single" w:color="000000" w:sz="8" w:space="0"/>
            </w:tcBorders>
            <w:shd w:val="clear" w:color="auto" w:fill="auto"/>
            <w:vAlign w:val="center"/>
          </w:tcPr>
          <w:p w14:paraId="57DFE498">
            <w:pPr>
              <w:keepNext w:val="0"/>
              <w:keepLines w:val="0"/>
              <w:widowControl/>
              <w:suppressLineNumbers w:val="0"/>
              <w:ind w:firstLineChars="200"/>
              <w:jc w:val="both"/>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625" w:type="pct"/>
            <w:tcBorders>
              <w:top w:val="nil"/>
              <w:left w:val="nil"/>
              <w:bottom w:val="single" w:color="000000" w:sz="8" w:space="0"/>
              <w:right w:val="single" w:color="000000" w:sz="8" w:space="0"/>
            </w:tcBorders>
            <w:shd w:val="clear" w:color="auto" w:fill="auto"/>
            <w:vAlign w:val="center"/>
          </w:tcPr>
          <w:p w14:paraId="4F3E83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625" w:type="pct"/>
            <w:tcBorders>
              <w:top w:val="nil"/>
              <w:left w:val="nil"/>
              <w:bottom w:val="single" w:color="000000" w:sz="8" w:space="0"/>
              <w:right w:val="single" w:color="000000" w:sz="8" w:space="0"/>
            </w:tcBorders>
            <w:shd w:val="clear" w:color="auto" w:fill="auto"/>
            <w:vAlign w:val="center"/>
          </w:tcPr>
          <w:p w14:paraId="3FC9B7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w:t>
            </w:r>
          </w:p>
        </w:tc>
      </w:tr>
      <w:tr w14:paraId="75A4A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625" w:type="pct"/>
            <w:tcBorders>
              <w:top w:val="nil"/>
              <w:left w:val="single" w:color="000000" w:sz="8" w:space="0"/>
              <w:bottom w:val="single" w:color="000000" w:sz="8" w:space="0"/>
              <w:right w:val="single" w:color="000000" w:sz="8" w:space="0"/>
            </w:tcBorders>
            <w:shd w:val="clear" w:color="auto" w:fill="auto"/>
            <w:vAlign w:val="center"/>
          </w:tcPr>
          <w:p w14:paraId="6DF0A4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抗生素、肿瘤药物配置间</w:t>
            </w:r>
          </w:p>
        </w:tc>
        <w:tc>
          <w:tcPr>
            <w:tcW w:w="625" w:type="pct"/>
            <w:tcBorders>
              <w:top w:val="nil"/>
              <w:left w:val="nil"/>
              <w:bottom w:val="single" w:color="000000" w:sz="8" w:space="0"/>
              <w:right w:val="single" w:color="000000" w:sz="8" w:space="0"/>
            </w:tcBorders>
            <w:shd w:val="clear" w:color="auto" w:fill="auto"/>
            <w:vAlign w:val="center"/>
          </w:tcPr>
          <w:p w14:paraId="346A14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万级/C级</w:t>
            </w:r>
          </w:p>
        </w:tc>
        <w:tc>
          <w:tcPr>
            <w:tcW w:w="625" w:type="pct"/>
            <w:tcBorders>
              <w:top w:val="nil"/>
              <w:left w:val="nil"/>
              <w:bottom w:val="single" w:color="000000" w:sz="8" w:space="0"/>
              <w:right w:val="single" w:color="000000" w:sz="8" w:space="0"/>
            </w:tcBorders>
            <w:shd w:val="clear" w:color="auto" w:fill="auto"/>
            <w:vAlign w:val="center"/>
          </w:tcPr>
          <w:p w14:paraId="038E56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18～26</w:t>
            </w:r>
          </w:p>
        </w:tc>
        <w:tc>
          <w:tcPr>
            <w:tcW w:w="625" w:type="pct"/>
            <w:tcBorders>
              <w:top w:val="nil"/>
              <w:left w:val="nil"/>
              <w:bottom w:val="single" w:color="000000" w:sz="8" w:space="0"/>
              <w:right w:val="single" w:color="000000" w:sz="8" w:space="0"/>
            </w:tcBorders>
            <w:shd w:val="clear" w:color="auto" w:fill="auto"/>
            <w:vAlign w:val="center"/>
          </w:tcPr>
          <w:p w14:paraId="6A7826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40～75</w:t>
            </w:r>
          </w:p>
        </w:tc>
        <w:tc>
          <w:tcPr>
            <w:tcW w:w="625" w:type="pct"/>
            <w:tcBorders>
              <w:top w:val="nil"/>
              <w:left w:val="nil"/>
              <w:bottom w:val="single" w:color="000000" w:sz="8" w:space="0"/>
              <w:right w:val="single" w:color="000000" w:sz="8" w:space="0"/>
            </w:tcBorders>
            <w:shd w:val="clear" w:color="auto" w:fill="auto"/>
            <w:vAlign w:val="center"/>
          </w:tcPr>
          <w:p w14:paraId="4E7050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625" w:type="pct"/>
            <w:tcBorders>
              <w:top w:val="nil"/>
              <w:left w:val="nil"/>
              <w:bottom w:val="single" w:color="000000" w:sz="8" w:space="0"/>
              <w:right w:val="single" w:color="000000" w:sz="8" w:space="0"/>
            </w:tcBorders>
            <w:shd w:val="clear" w:color="auto" w:fill="auto"/>
            <w:vAlign w:val="center"/>
          </w:tcPr>
          <w:p w14:paraId="5C802C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625" w:type="pct"/>
            <w:tcBorders>
              <w:top w:val="nil"/>
              <w:left w:val="nil"/>
              <w:bottom w:val="single" w:color="000000" w:sz="8" w:space="0"/>
              <w:right w:val="single" w:color="000000" w:sz="8" w:space="0"/>
            </w:tcBorders>
            <w:shd w:val="clear" w:color="auto" w:fill="auto"/>
            <w:vAlign w:val="center"/>
          </w:tcPr>
          <w:p w14:paraId="6F78D7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625" w:type="pct"/>
            <w:tcBorders>
              <w:top w:val="nil"/>
              <w:left w:val="nil"/>
              <w:bottom w:val="single" w:color="000000" w:sz="8" w:space="0"/>
              <w:right w:val="single" w:color="000000" w:sz="8" w:space="0"/>
            </w:tcBorders>
            <w:shd w:val="clear" w:color="auto" w:fill="auto"/>
            <w:vAlign w:val="center"/>
          </w:tcPr>
          <w:p w14:paraId="35AFBA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w:t>
            </w:r>
          </w:p>
        </w:tc>
      </w:tr>
      <w:tr w14:paraId="168A4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25" w:type="pct"/>
            <w:tcBorders>
              <w:top w:val="nil"/>
              <w:left w:val="single" w:color="000000" w:sz="8" w:space="0"/>
              <w:bottom w:val="single" w:color="000000" w:sz="8" w:space="0"/>
              <w:right w:val="single" w:color="000000" w:sz="8" w:space="0"/>
            </w:tcBorders>
            <w:shd w:val="clear" w:color="auto" w:fill="auto"/>
            <w:vAlign w:val="center"/>
          </w:tcPr>
          <w:p w14:paraId="56D38E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二更</w:t>
            </w:r>
          </w:p>
        </w:tc>
        <w:tc>
          <w:tcPr>
            <w:tcW w:w="625" w:type="pct"/>
            <w:tcBorders>
              <w:top w:val="nil"/>
              <w:left w:val="nil"/>
              <w:bottom w:val="single" w:color="000000" w:sz="8" w:space="0"/>
              <w:right w:val="single" w:color="000000" w:sz="8" w:space="0"/>
            </w:tcBorders>
            <w:shd w:val="clear" w:color="auto" w:fill="auto"/>
            <w:vAlign w:val="center"/>
          </w:tcPr>
          <w:p w14:paraId="266EDD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万级/C级</w:t>
            </w:r>
          </w:p>
        </w:tc>
        <w:tc>
          <w:tcPr>
            <w:tcW w:w="625" w:type="pct"/>
            <w:tcBorders>
              <w:top w:val="nil"/>
              <w:left w:val="nil"/>
              <w:bottom w:val="single" w:color="000000" w:sz="8" w:space="0"/>
              <w:right w:val="single" w:color="000000" w:sz="8" w:space="0"/>
            </w:tcBorders>
            <w:shd w:val="clear" w:color="auto" w:fill="auto"/>
            <w:vAlign w:val="center"/>
          </w:tcPr>
          <w:p w14:paraId="3B7EA4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18～26</w:t>
            </w:r>
          </w:p>
        </w:tc>
        <w:tc>
          <w:tcPr>
            <w:tcW w:w="625" w:type="pct"/>
            <w:tcBorders>
              <w:top w:val="nil"/>
              <w:left w:val="nil"/>
              <w:bottom w:val="single" w:color="000000" w:sz="8" w:space="0"/>
              <w:right w:val="single" w:color="000000" w:sz="8" w:space="0"/>
            </w:tcBorders>
            <w:shd w:val="clear" w:color="auto" w:fill="auto"/>
            <w:vAlign w:val="center"/>
          </w:tcPr>
          <w:p w14:paraId="4E2E26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40～75</w:t>
            </w:r>
          </w:p>
        </w:tc>
        <w:tc>
          <w:tcPr>
            <w:tcW w:w="625" w:type="pct"/>
            <w:tcBorders>
              <w:top w:val="nil"/>
              <w:left w:val="nil"/>
              <w:bottom w:val="single" w:color="000000" w:sz="8" w:space="0"/>
              <w:right w:val="single" w:color="000000" w:sz="8" w:space="0"/>
            </w:tcBorders>
            <w:shd w:val="clear" w:color="auto" w:fill="auto"/>
            <w:vAlign w:val="center"/>
          </w:tcPr>
          <w:p w14:paraId="0C54FD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t>
            </w:r>
          </w:p>
        </w:tc>
        <w:tc>
          <w:tcPr>
            <w:tcW w:w="625" w:type="pct"/>
            <w:tcBorders>
              <w:top w:val="nil"/>
              <w:left w:val="nil"/>
              <w:bottom w:val="single" w:color="000000" w:sz="8" w:space="0"/>
              <w:right w:val="single" w:color="000000" w:sz="8" w:space="0"/>
            </w:tcBorders>
            <w:shd w:val="clear" w:color="auto" w:fill="auto"/>
            <w:vAlign w:val="center"/>
          </w:tcPr>
          <w:p w14:paraId="3EF3F3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625" w:type="pct"/>
            <w:tcBorders>
              <w:top w:val="nil"/>
              <w:left w:val="nil"/>
              <w:bottom w:val="single" w:color="000000" w:sz="8" w:space="0"/>
              <w:right w:val="single" w:color="000000" w:sz="8" w:space="0"/>
            </w:tcBorders>
            <w:shd w:val="clear" w:color="auto" w:fill="auto"/>
            <w:vAlign w:val="center"/>
          </w:tcPr>
          <w:p w14:paraId="34D547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625" w:type="pct"/>
            <w:tcBorders>
              <w:top w:val="nil"/>
              <w:left w:val="nil"/>
              <w:bottom w:val="single" w:color="000000" w:sz="8" w:space="0"/>
              <w:right w:val="single" w:color="000000" w:sz="8" w:space="0"/>
            </w:tcBorders>
            <w:shd w:val="clear" w:color="auto" w:fill="auto"/>
            <w:vAlign w:val="center"/>
          </w:tcPr>
          <w:p w14:paraId="0A0BDF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w:t>
            </w:r>
          </w:p>
        </w:tc>
      </w:tr>
      <w:tr w14:paraId="75B2E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25" w:type="pct"/>
            <w:vMerge w:val="restart"/>
            <w:tcBorders>
              <w:top w:val="nil"/>
              <w:left w:val="single" w:color="000000" w:sz="8" w:space="0"/>
              <w:bottom w:val="single" w:color="000000" w:sz="8" w:space="0"/>
              <w:right w:val="single" w:color="000000" w:sz="8" w:space="0"/>
            </w:tcBorders>
            <w:shd w:val="clear" w:color="auto" w:fill="auto"/>
            <w:vAlign w:val="center"/>
          </w:tcPr>
          <w:p w14:paraId="070B08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一更、洗衣洁具间</w:t>
            </w:r>
          </w:p>
        </w:tc>
        <w:tc>
          <w:tcPr>
            <w:tcW w:w="625" w:type="pct"/>
            <w:vMerge w:val="restart"/>
            <w:tcBorders>
              <w:top w:val="nil"/>
              <w:left w:val="nil"/>
              <w:bottom w:val="single" w:color="000000" w:sz="8" w:space="0"/>
              <w:right w:val="single" w:color="000000" w:sz="8" w:space="0"/>
            </w:tcBorders>
            <w:shd w:val="clear" w:color="auto" w:fill="auto"/>
            <w:vAlign w:val="center"/>
          </w:tcPr>
          <w:p w14:paraId="4B7F28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十万级/D级</w:t>
            </w:r>
          </w:p>
        </w:tc>
        <w:tc>
          <w:tcPr>
            <w:tcW w:w="625" w:type="pct"/>
            <w:vMerge w:val="restart"/>
            <w:tcBorders>
              <w:top w:val="nil"/>
              <w:left w:val="nil"/>
              <w:bottom w:val="single" w:color="000000" w:sz="8" w:space="0"/>
              <w:right w:val="single" w:color="000000" w:sz="8" w:space="0"/>
            </w:tcBorders>
            <w:shd w:val="clear" w:color="auto" w:fill="auto"/>
            <w:vAlign w:val="center"/>
          </w:tcPr>
          <w:p w14:paraId="5C4C0D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18～26</w:t>
            </w:r>
          </w:p>
        </w:tc>
        <w:tc>
          <w:tcPr>
            <w:tcW w:w="625" w:type="pct"/>
            <w:vMerge w:val="restart"/>
            <w:tcBorders>
              <w:top w:val="nil"/>
              <w:left w:val="nil"/>
              <w:bottom w:val="single" w:color="000000" w:sz="8" w:space="0"/>
              <w:right w:val="single" w:color="000000" w:sz="8" w:space="0"/>
            </w:tcBorders>
            <w:shd w:val="clear" w:color="auto" w:fill="auto"/>
            <w:vAlign w:val="center"/>
          </w:tcPr>
          <w:p w14:paraId="457E71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40～75</w:t>
            </w:r>
          </w:p>
        </w:tc>
        <w:tc>
          <w:tcPr>
            <w:tcW w:w="625" w:type="pct"/>
            <w:vMerge w:val="restart"/>
            <w:tcBorders>
              <w:top w:val="nil"/>
              <w:left w:val="nil"/>
              <w:bottom w:val="single" w:color="000000" w:sz="8" w:space="0"/>
              <w:right w:val="single" w:color="000000" w:sz="8" w:space="0"/>
            </w:tcBorders>
            <w:shd w:val="clear" w:color="auto" w:fill="auto"/>
            <w:vAlign w:val="center"/>
          </w:tcPr>
          <w:p w14:paraId="785096ED">
            <w:pPr>
              <w:jc w:val="center"/>
              <w:rPr>
                <w:rFonts w:hint="eastAsia" w:ascii="宋体" w:hAnsi="宋体" w:eastAsia="宋体" w:cs="宋体"/>
                <w:i w:val="0"/>
                <w:iCs w:val="0"/>
                <w:color w:val="000000"/>
                <w:sz w:val="18"/>
                <w:szCs w:val="18"/>
                <w:highlight w:val="none"/>
                <w:u w:val="none"/>
              </w:rPr>
            </w:pPr>
          </w:p>
        </w:tc>
        <w:tc>
          <w:tcPr>
            <w:tcW w:w="625" w:type="pct"/>
            <w:vMerge w:val="restart"/>
            <w:tcBorders>
              <w:top w:val="nil"/>
              <w:left w:val="nil"/>
              <w:bottom w:val="single" w:color="000000" w:sz="8" w:space="0"/>
              <w:right w:val="single" w:color="000000" w:sz="8" w:space="0"/>
            </w:tcBorders>
            <w:shd w:val="clear" w:color="auto" w:fill="auto"/>
            <w:vAlign w:val="center"/>
          </w:tcPr>
          <w:p w14:paraId="5E73A8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625" w:type="pct"/>
            <w:vMerge w:val="restart"/>
            <w:tcBorders>
              <w:top w:val="nil"/>
              <w:left w:val="nil"/>
              <w:bottom w:val="single" w:color="000000" w:sz="8" w:space="0"/>
              <w:right w:val="single" w:color="000000" w:sz="8" w:space="0"/>
            </w:tcBorders>
            <w:shd w:val="clear" w:color="auto" w:fill="auto"/>
            <w:vAlign w:val="center"/>
          </w:tcPr>
          <w:p w14:paraId="6D974B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625" w:type="pct"/>
            <w:vMerge w:val="restart"/>
            <w:tcBorders>
              <w:top w:val="nil"/>
              <w:left w:val="nil"/>
              <w:bottom w:val="single" w:color="000000" w:sz="8" w:space="0"/>
              <w:right w:val="single" w:color="000000" w:sz="8" w:space="0"/>
            </w:tcBorders>
            <w:shd w:val="clear" w:color="auto" w:fill="auto"/>
            <w:vAlign w:val="center"/>
          </w:tcPr>
          <w:p w14:paraId="5DCA24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r>
      <w:tr w14:paraId="2557E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25" w:type="pct"/>
            <w:vMerge w:val="continue"/>
            <w:tcBorders>
              <w:top w:val="nil"/>
              <w:left w:val="single" w:color="000000" w:sz="8" w:space="0"/>
              <w:bottom w:val="single" w:color="000000" w:sz="8" w:space="0"/>
              <w:right w:val="single" w:color="000000" w:sz="8" w:space="0"/>
            </w:tcBorders>
            <w:shd w:val="clear" w:color="auto" w:fill="auto"/>
            <w:vAlign w:val="center"/>
          </w:tcPr>
          <w:p w14:paraId="4AADE2F7">
            <w:pPr>
              <w:jc w:val="left"/>
              <w:rPr>
                <w:rFonts w:hint="eastAsia" w:ascii="宋体" w:hAnsi="宋体" w:eastAsia="宋体" w:cs="宋体"/>
                <w:i w:val="0"/>
                <w:iCs w:val="0"/>
                <w:color w:val="000000"/>
                <w:sz w:val="18"/>
                <w:szCs w:val="18"/>
                <w:highlight w:val="none"/>
                <w:u w:val="none"/>
              </w:rPr>
            </w:pPr>
          </w:p>
        </w:tc>
        <w:tc>
          <w:tcPr>
            <w:tcW w:w="625" w:type="pct"/>
            <w:vMerge w:val="continue"/>
            <w:tcBorders>
              <w:top w:val="nil"/>
              <w:left w:val="nil"/>
              <w:bottom w:val="single" w:color="000000" w:sz="8" w:space="0"/>
              <w:right w:val="single" w:color="000000" w:sz="8" w:space="0"/>
            </w:tcBorders>
            <w:shd w:val="clear" w:color="auto" w:fill="auto"/>
            <w:vAlign w:val="center"/>
          </w:tcPr>
          <w:p w14:paraId="4A9AC724">
            <w:pPr>
              <w:jc w:val="center"/>
              <w:rPr>
                <w:rFonts w:hint="eastAsia" w:ascii="宋体" w:hAnsi="宋体" w:eastAsia="宋体" w:cs="宋体"/>
                <w:i w:val="0"/>
                <w:iCs w:val="0"/>
                <w:color w:val="000000"/>
                <w:sz w:val="18"/>
                <w:szCs w:val="18"/>
                <w:highlight w:val="none"/>
                <w:u w:val="none"/>
              </w:rPr>
            </w:pPr>
          </w:p>
        </w:tc>
        <w:tc>
          <w:tcPr>
            <w:tcW w:w="625" w:type="pct"/>
            <w:vMerge w:val="continue"/>
            <w:tcBorders>
              <w:top w:val="nil"/>
              <w:left w:val="nil"/>
              <w:bottom w:val="single" w:color="000000" w:sz="8" w:space="0"/>
              <w:right w:val="single" w:color="000000" w:sz="8" w:space="0"/>
            </w:tcBorders>
            <w:shd w:val="clear" w:color="auto" w:fill="auto"/>
            <w:vAlign w:val="center"/>
          </w:tcPr>
          <w:p w14:paraId="621D8A05">
            <w:pPr>
              <w:jc w:val="center"/>
              <w:rPr>
                <w:rFonts w:hint="eastAsia" w:ascii="宋体" w:hAnsi="宋体" w:eastAsia="宋体" w:cs="宋体"/>
                <w:i w:val="0"/>
                <w:iCs w:val="0"/>
                <w:color w:val="000000"/>
                <w:sz w:val="18"/>
                <w:szCs w:val="18"/>
                <w:highlight w:val="none"/>
                <w:u w:val="none"/>
              </w:rPr>
            </w:pPr>
          </w:p>
        </w:tc>
        <w:tc>
          <w:tcPr>
            <w:tcW w:w="625" w:type="pct"/>
            <w:vMerge w:val="continue"/>
            <w:tcBorders>
              <w:top w:val="nil"/>
              <w:left w:val="nil"/>
              <w:bottom w:val="single" w:color="000000" w:sz="8" w:space="0"/>
              <w:right w:val="single" w:color="000000" w:sz="8" w:space="0"/>
            </w:tcBorders>
            <w:shd w:val="clear" w:color="auto" w:fill="auto"/>
            <w:vAlign w:val="center"/>
          </w:tcPr>
          <w:p w14:paraId="2A69D5E4">
            <w:pPr>
              <w:jc w:val="center"/>
              <w:rPr>
                <w:rFonts w:hint="eastAsia" w:ascii="宋体" w:hAnsi="宋体" w:eastAsia="宋体" w:cs="宋体"/>
                <w:i w:val="0"/>
                <w:iCs w:val="0"/>
                <w:color w:val="000000"/>
                <w:sz w:val="18"/>
                <w:szCs w:val="18"/>
                <w:highlight w:val="none"/>
                <w:u w:val="none"/>
              </w:rPr>
            </w:pPr>
          </w:p>
        </w:tc>
        <w:tc>
          <w:tcPr>
            <w:tcW w:w="625" w:type="pct"/>
            <w:vMerge w:val="continue"/>
            <w:tcBorders>
              <w:top w:val="nil"/>
              <w:left w:val="nil"/>
              <w:bottom w:val="single" w:color="000000" w:sz="8" w:space="0"/>
              <w:right w:val="single" w:color="000000" w:sz="8" w:space="0"/>
            </w:tcBorders>
            <w:shd w:val="clear" w:color="auto" w:fill="auto"/>
            <w:vAlign w:val="center"/>
          </w:tcPr>
          <w:p w14:paraId="7E1C7B96">
            <w:pPr>
              <w:jc w:val="center"/>
              <w:rPr>
                <w:rFonts w:hint="eastAsia" w:ascii="宋体" w:hAnsi="宋体" w:eastAsia="宋体" w:cs="宋体"/>
                <w:i w:val="0"/>
                <w:iCs w:val="0"/>
                <w:color w:val="000000"/>
                <w:sz w:val="18"/>
                <w:szCs w:val="18"/>
                <w:highlight w:val="none"/>
                <w:u w:val="none"/>
              </w:rPr>
            </w:pPr>
          </w:p>
        </w:tc>
        <w:tc>
          <w:tcPr>
            <w:tcW w:w="625" w:type="pct"/>
            <w:vMerge w:val="continue"/>
            <w:tcBorders>
              <w:top w:val="nil"/>
              <w:left w:val="nil"/>
              <w:bottom w:val="single" w:color="000000" w:sz="8" w:space="0"/>
              <w:right w:val="single" w:color="000000" w:sz="8" w:space="0"/>
            </w:tcBorders>
            <w:shd w:val="clear" w:color="auto" w:fill="auto"/>
            <w:vAlign w:val="center"/>
          </w:tcPr>
          <w:p w14:paraId="05E673B3">
            <w:pPr>
              <w:jc w:val="center"/>
              <w:rPr>
                <w:rFonts w:hint="eastAsia" w:ascii="宋体" w:hAnsi="宋体" w:eastAsia="宋体" w:cs="宋体"/>
                <w:i w:val="0"/>
                <w:iCs w:val="0"/>
                <w:color w:val="000000"/>
                <w:sz w:val="18"/>
                <w:szCs w:val="18"/>
                <w:highlight w:val="none"/>
                <w:u w:val="none"/>
              </w:rPr>
            </w:pPr>
          </w:p>
        </w:tc>
        <w:tc>
          <w:tcPr>
            <w:tcW w:w="625" w:type="pct"/>
            <w:vMerge w:val="continue"/>
            <w:tcBorders>
              <w:top w:val="nil"/>
              <w:left w:val="nil"/>
              <w:bottom w:val="single" w:color="000000" w:sz="8" w:space="0"/>
              <w:right w:val="single" w:color="000000" w:sz="8" w:space="0"/>
            </w:tcBorders>
            <w:shd w:val="clear" w:color="auto" w:fill="auto"/>
            <w:vAlign w:val="center"/>
          </w:tcPr>
          <w:p w14:paraId="694A6901">
            <w:pPr>
              <w:jc w:val="center"/>
              <w:rPr>
                <w:rFonts w:hint="eastAsia" w:ascii="宋体" w:hAnsi="宋体" w:eastAsia="宋体" w:cs="宋体"/>
                <w:i w:val="0"/>
                <w:iCs w:val="0"/>
                <w:color w:val="000000"/>
                <w:sz w:val="18"/>
                <w:szCs w:val="18"/>
                <w:highlight w:val="none"/>
                <w:u w:val="none"/>
              </w:rPr>
            </w:pPr>
          </w:p>
        </w:tc>
        <w:tc>
          <w:tcPr>
            <w:tcW w:w="625" w:type="pct"/>
            <w:vMerge w:val="continue"/>
            <w:tcBorders>
              <w:top w:val="nil"/>
              <w:left w:val="nil"/>
              <w:bottom w:val="single" w:color="000000" w:sz="8" w:space="0"/>
              <w:right w:val="single" w:color="000000" w:sz="8" w:space="0"/>
            </w:tcBorders>
            <w:shd w:val="clear" w:color="auto" w:fill="auto"/>
            <w:vAlign w:val="center"/>
          </w:tcPr>
          <w:p w14:paraId="45A28246">
            <w:pPr>
              <w:jc w:val="center"/>
              <w:rPr>
                <w:rFonts w:hint="eastAsia" w:ascii="宋体" w:hAnsi="宋体" w:eastAsia="宋体" w:cs="宋体"/>
                <w:i w:val="0"/>
                <w:iCs w:val="0"/>
                <w:color w:val="000000"/>
                <w:sz w:val="18"/>
                <w:szCs w:val="18"/>
                <w:highlight w:val="none"/>
                <w:u w:val="none"/>
              </w:rPr>
            </w:pPr>
          </w:p>
        </w:tc>
      </w:tr>
    </w:tbl>
    <w:p w14:paraId="595E6312">
      <w:pPr>
        <w:pStyle w:val="23"/>
        <w:keepNext w:val="0"/>
        <w:keepLines w:val="0"/>
        <w:widowControl/>
        <w:suppressLineNumbers w:val="0"/>
        <w:shd w:val="clear"/>
        <w:spacing w:before="0" w:beforeAutospacing="0" w:after="0" w:afterAutospacing="0"/>
        <w:ind w:left="0" w:right="0" w:firstLine="0"/>
        <w:rPr>
          <w:rFonts w:hint="eastAsia" w:ascii="宋体" w:hAnsi="宋体" w:eastAsia="宋体" w:cs="宋体"/>
          <w:color w:val="auto"/>
          <w:sz w:val="24"/>
          <w:szCs w:val="24"/>
          <w:highlight w:val="none"/>
        </w:rPr>
      </w:pPr>
    </w:p>
    <w:p w14:paraId="5F0DE24E">
      <w:pPr>
        <w:pStyle w:val="23"/>
        <w:keepNext w:val="0"/>
        <w:keepLines w:val="0"/>
        <w:widowControl/>
        <w:suppressLineNumbers w:val="0"/>
        <w:shd w:val="clear"/>
        <w:spacing w:before="0" w:beforeAutospacing="0" w:after="0" w:afterAutospacing="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注:1、普通药物(输液)及肠外营养液洁净区空调系统压差梯度:</w:t>
      </w:r>
    </w:p>
    <w:p w14:paraId="3722BE21">
      <w:pPr>
        <w:pStyle w:val="23"/>
        <w:keepNext w:val="0"/>
        <w:keepLines w:val="0"/>
        <w:widowControl/>
        <w:suppressLineNumbers w:val="0"/>
        <w:shd w:val="clear"/>
        <w:spacing w:before="0" w:beforeAutospacing="0" w:after="0" w:afterAutospacing="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非洁净控制区&lt;一更&lt;二更&lt;普通药物(输液)及肠外营养液调配间;(10Pa≥相邻区域压差≥ 5Pa,一更与非洁净控制区之间压差为 10-15Pa) </w:t>
      </w:r>
    </w:p>
    <w:p w14:paraId="73C86729">
      <w:pPr>
        <w:pStyle w:val="23"/>
        <w:keepNext w:val="0"/>
        <w:keepLines w:val="0"/>
        <w:widowControl/>
        <w:suppressLineNumbers w:val="0"/>
        <w:shd w:val="clear"/>
        <w:spacing w:before="0" w:beforeAutospacing="0" w:after="0" w:afterAutospacing="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2、抗生素类及危害药物类(输液)洁净区空调系统压差梯度:</w:t>
      </w:r>
    </w:p>
    <w:p w14:paraId="1015DD1C">
      <w:pPr>
        <w:pStyle w:val="23"/>
        <w:keepNext w:val="0"/>
        <w:keepLines w:val="0"/>
        <w:widowControl/>
        <w:suppressLineNumbers w:val="0"/>
        <w:shd w:val="clear"/>
        <w:spacing w:before="0" w:beforeAutospacing="0" w:after="0" w:afterAutospacing="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非洁净控制区&lt;一更&lt;二更&gt;抗生素类及危害药物类(输液)调配间(10Pa≥相邻区域压差≥ 5Pa,一更与非洁净控制区之间压差为 10-15Pa) </w:t>
      </w:r>
    </w:p>
    <w:p w14:paraId="0C38B38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p>
    <w:p w14:paraId="701344E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6.5.4净化空调自动化控制系统设计要求:</w:t>
      </w:r>
    </w:p>
    <w:p w14:paraId="47908BD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本设计共分8个控制柜控制，每台机组各由一个控制柜控制，排风机组由相应主机的控制。</w:t>
      </w:r>
    </w:p>
    <w:p w14:paraId="114C9C5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控制系统采用的微电脑DDC/PLC控制器，三通调节阀及执行机构，压差开关，风道式温湿度传感器，远程温度设置装置均选用优质品牌产品。</w:t>
      </w:r>
    </w:p>
    <w:p w14:paraId="4EBDB19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每一台净化空调机组均配三通调节阀，温湿度探头，温湿度探头采集信号传递给DDC/PLC，DDC/PLC再通过所设定的温度来控制三通调节阀的开启度。</w:t>
      </w:r>
    </w:p>
    <w:p w14:paraId="27FF59E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4</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新风机与空调机组实现连锁控制，即系统内只要有一台主空气循环机组打开，新风机必须先打开，只有主空气循环机全部关闭后，新风机才能关闭。</w:t>
      </w:r>
    </w:p>
    <w:p w14:paraId="235CAAB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5</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排风机与空调机组实现连锁控制，即主空气循环机组打开，其对应的排风机就开始工作，当主空气循环机关闭时排风机也关闭。</w:t>
      </w:r>
    </w:p>
    <w:p w14:paraId="04D4C3A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6</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在远控板上设有风机运行开关，冬夏程序转换开关，电源指示灯，运行指示灯，故障报警灯，该故障报警灯对系统风机出现的故障时报警。</w:t>
      </w:r>
    </w:p>
    <w:p w14:paraId="73FBFD6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新风机组及医用净化空气处理机组的防冻措施：冬季当通过机组盘管的水温小于5摄氏度时，启动防冻程序，增加水阀开度，如果温度继续下降，关闭新风密闭阀及风机，电动水阀保持不低于30%的开度。</w:t>
      </w:r>
    </w:p>
    <w:p w14:paraId="7F7B321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8</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电预热器采用分级调节，根据实际情况，分3档（1:2:4）控制，且带热保护开关。所有机组采用变频控制，变频器在额定工况时的输出频率：46-54Hz。</w:t>
      </w:r>
    </w:p>
    <w:p w14:paraId="6081F26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9</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自控由厂家二次深化设计。</w:t>
      </w:r>
    </w:p>
    <w:p w14:paraId="328D48C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6.5.5冷热源系统：</w:t>
      </w:r>
    </w:p>
    <w:p w14:paraId="645AC90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冷热源参数：</w:t>
      </w:r>
    </w:p>
    <w:p w14:paraId="187B566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冷媒：进水温度7℃，出水温度12℃，工作压力0.3MPa。</w:t>
      </w:r>
    </w:p>
    <w:p w14:paraId="51399CD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热媒：进水温度60℃/45℃，出水温度50℃/40℃，工作压力0.3MPa。</w:t>
      </w:r>
    </w:p>
    <w:p w14:paraId="1153DD0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加湿用水：工作压力0.2MPa。</w:t>
      </w:r>
    </w:p>
    <w:p w14:paraId="4087A7A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氟系统媒介：R410a或R134a。</w:t>
      </w:r>
    </w:p>
    <w:p w14:paraId="2A3CE15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冷热量等参数：设计区域内夏季空调冷负荷为651KW，冬季热量为415KW，夏季再热量126KW，过渡季节冷量330KW，冬季加湿量128kg/h。</w:t>
      </w:r>
    </w:p>
    <w:p w14:paraId="3B6D6D1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预留三层ICU冷负荷：196KW，热负荷：104KW；合计总冷负荷：847KW，总热负荷：519KW。</w:t>
      </w:r>
    </w:p>
    <w:p w14:paraId="752C09FA">
      <w:pPr>
        <w:ind w:firstLine="0" w:firstLineChars="0"/>
        <w:rPr>
          <w:rFonts w:hint="default" w:eastAsia="宋体"/>
          <w:highlight w:val="none"/>
          <w:lang w:val="en-US" w:eastAsia="zh-CN"/>
        </w:rPr>
      </w:pPr>
    </w:p>
    <w:p w14:paraId="50D7D895">
      <w:pPr>
        <w:pStyle w:val="4"/>
        <w:pageBreakBefore w:val="0"/>
        <w:shd w:val="clear"/>
        <w:tabs>
          <w:tab w:val="left" w:pos="3018"/>
          <w:tab w:val="clear" w:pos="643"/>
          <w:tab w:val="clear" w:pos="2651"/>
        </w:tabs>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lang w:val="zh-CN" w:eastAsia="zh-CN"/>
        </w:rPr>
        <w:t>、</w:t>
      </w:r>
      <w:r>
        <w:rPr>
          <w:rFonts w:hint="eastAsia" w:ascii="宋体" w:hAnsi="宋体" w:eastAsia="宋体" w:cs="宋体"/>
          <w:color w:val="auto"/>
          <w:spacing w:val="0"/>
          <w:sz w:val="24"/>
          <w:szCs w:val="24"/>
          <w:highlight w:val="none"/>
          <w:lang w:val="zh-CN"/>
        </w:rPr>
        <w:t>强电</w:t>
      </w:r>
      <w:r>
        <w:rPr>
          <w:rFonts w:hint="eastAsia" w:ascii="宋体" w:hAnsi="宋体" w:eastAsia="宋体" w:cs="宋体"/>
          <w:color w:val="auto"/>
          <w:spacing w:val="0"/>
          <w:sz w:val="24"/>
          <w:szCs w:val="24"/>
          <w:highlight w:val="none"/>
          <w:lang w:val="en-US" w:eastAsia="zh-CN"/>
        </w:rPr>
        <w:t>技术要求</w:t>
      </w:r>
      <w:r>
        <w:rPr>
          <w:rFonts w:hint="eastAsia" w:ascii="宋体" w:hAnsi="宋体" w:eastAsia="宋体" w:cs="宋体"/>
          <w:b w:val="0"/>
          <w:color w:val="auto"/>
          <w:spacing w:val="0"/>
          <w:kern w:val="2"/>
          <w:sz w:val="24"/>
          <w:szCs w:val="24"/>
          <w:highlight w:val="none"/>
          <w:lang w:val="zh-CN"/>
        </w:rPr>
        <w:t>：</w:t>
      </w:r>
      <w:r>
        <w:rPr>
          <w:rFonts w:hint="eastAsia" w:ascii="宋体" w:hAnsi="宋体" w:eastAsia="宋体" w:cs="宋体"/>
          <w:b w:val="0"/>
          <w:color w:val="auto"/>
          <w:spacing w:val="0"/>
          <w:kern w:val="2"/>
          <w:sz w:val="24"/>
          <w:szCs w:val="24"/>
          <w:highlight w:val="none"/>
          <w:lang w:val="zh-CN"/>
        </w:rPr>
        <w:tab/>
      </w:r>
    </w:p>
    <w:p w14:paraId="081D321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7.1</w:t>
      </w:r>
      <w:r>
        <w:rPr>
          <w:rFonts w:hint="eastAsia" w:ascii="宋体" w:hAnsi="宋体" w:eastAsia="宋体" w:cs="宋体"/>
          <w:b w:val="0"/>
          <w:color w:val="auto"/>
          <w:spacing w:val="0"/>
          <w:kern w:val="2"/>
          <w:sz w:val="24"/>
          <w:szCs w:val="24"/>
          <w:highlight w:val="none"/>
          <w:lang w:val="zh-CN"/>
        </w:rPr>
        <w:t>设计范围：二层供应室、三层手术室、四层静脉配置中心。具体范围详见图纸及工程量清单。</w:t>
      </w:r>
    </w:p>
    <w:p w14:paraId="07BBDB0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7.2</w:t>
      </w:r>
      <w:r>
        <w:rPr>
          <w:rFonts w:hint="eastAsia" w:ascii="宋体" w:hAnsi="宋体" w:eastAsia="宋体" w:cs="宋体"/>
          <w:b/>
          <w:bCs/>
          <w:color w:val="auto"/>
          <w:spacing w:val="0"/>
          <w:kern w:val="2"/>
          <w:sz w:val="24"/>
          <w:szCs w:val="24"/>
          <w:highlight w:val="none"/>
          <w:lang w:val="zh-CN"/>
        </w:rPr>
        <w:t>供电电源：</w:t>
      </w:r>
    </w:p>
    <w:p w14:paraId="70DFB17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2.1 负荷分类及电源要求：</w:t>
      </w:r>
    </w:p>
    <w:p w14:paraId="773DBCA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特级负荷：手术室及复苏室涉及患者生命安全的设备及照明用电。</w:t>
      </w:r>
    </w:p>
    <w:p w14:paraId="3A5CDB5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一级负荷：手术室设备内除一级负荷中特别重要负荷的其它用电设备。</w:t>
      </w:r>
    </w:p>
    <w:p w14:paraId="1BB7097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二级负荷：中心供应、静配中心和空气净化机组设备配电。</w:t>
      </w:r>
    </w:p>
    <w:p w14:paraId="2255DC8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三级负荷：本次设计除一、二级以外的其他负荷。</w:t>
      </w:r>
    </w:p>
    <w:p w14:paraId="0F6E9FB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2.2 各区域电源引自低压配电室或楼层总箱。本设计采用TN-S三相五线制供电，采用共用接地方式，辅以等电位措施，以便提高可靠性和安全性。</w:t>
      </w:r>
    </w:p>
    <w:p w14:paraId="58182D1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2.3 对于一级负荷中特别重要负荷：除采用双重电源供电外，由柴油发电机房引入线路作为备用电源，正常市电供电电源停电或故障时，备用电源的供电容量应保证一级负荷中特别重要的负荷用电，并宜保证一级负荷的用电。</w:t>
      </w:r>
    </w:p>
    <w:p w14:paraId="4949436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2.4 要求中断供电时间小于或等于0.5s的一级负荷中特别重要的负荷，另设在线式集中电源装置(UPS)作为应急电源，带旁边切换功能不间断，UPS电池采用锂电池。</w:t>
      </w:r>
    </w:p>
    <w:p w14:paraId="086451D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7.</w:t>
      </w:r>
      <w:r>
        <w:rPr>
          <w:rFonts w:hint="eastAsia" w:ascii="宋体" w:hAnsi="宋体" w:eastAsia="宋体" w:cs="宋体"/>
          <w:b/>
          <w:bCs/>
          <w:color w:val="auto"/>
          <w:spacing w:val="0"/>
          <w:kern w:val="2"/>
          <w:sz w:val="24"/>
          <w:szCs w:val="24"/>
          <w:highlight w:val="none"/>
          <w:lang w:val="zh-CN"/>
        </w:rPr>
        <w:t>3低压配电系统：</w:t>
      </w:r>
    </w:p>
    <w:p w14:paraId="07884ED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3.1 低压配电系统主要采用放射式供电方式，一般照明及动力采用树干与分区树干式相结合的供电方式；一级负荷的两路电源在末端配电箱处或用电设备处自动切换；二级负荷的两路电源在配变电所或楼层总配电箱处切换。</w:t>
      </w:r>
    </w:p>
    <w:p w14:paraId="52FABB9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shd w:val="clear" w:fill="FFFF00"/>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3.2 本项目在手术室、</w:t>
      </w:r>
      <w:r>
        <w:rPr>
          <w:rFonts w:hint="eastAsia" w:ascii="宋体" w:hAnsi="宋体" w:eastAsia="宋体" w:cs="宋体"/>
          <w:b w:val="0"/>
          <w:color w:val="auto"/>
          <w:spacing w:val="0"/>
          <w:kern w:val="2"/>
          <w:sz w:val="24"/>
          <w:szCs w:val="24"/>
          <w:highlight w:val="none"/>
          <w:lang w:val="zh-CN" w:eastAsia="zh"/>
        </w:rPr>
        <w:t>麻醉复苏</w:t>
      </w:r>
      <w:r>
        <w:rPr>
          <w:rFonts w:hint="eastAsia" w:ascii="宋体" w:hAnsi="宋体" w:eastAsia="宋体" w:cs="宋体"/>
          <w:b w:val="0"/>
          <w:color w:val="auto"/>
          <w:spacing w:val="0"/>
          <w:kern w:val="2"/>
          <w:sz w:val="24"/>
          <w:szCs w:val="24"/>
          <w:highlight w:val="none"/>
          <w:lang w:val="zh-CN"/>
        </w:rPr>
        <w:t>等2类医疗场所医疗插座、吊塔电源，设有医用的隔离变压器、绝缘监视仪、外接报警和显示仪、电流互感器、仪器专用电源组成的医用IT系统。该系统集绝缘监视、变压器温度监视于一体，降低了接触电压和对地漏电流，使人身触电危险降低到最低程度。</w:t>
      </w:r>
    </w:p>
    <w:p w14:paraId="0957E01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7.</w:t>
      </w:r>
      <w:r>
        <w:rPr>
          <w:rFonts w:hint="eastAsia" w:ascii="宋体" w:hAnsi="宋体" w:eastAsia="宋体" w:cs="宋体"/>
          <w:b/>
          <w:bCs/>
          <w:color w:val="auto"/>
          <w:spacing w:val="0"/>
          <w:kern w:val="2"/>
          <w:sz w:val="24"/>
          <w:szCs w:val="24"/>
          <w:highlight w:val="none"/>
          <w:lang w:val="zh-CN"/>
        </w:rPr>
        <w:t>4照明系统：</w:t>
      </w:r>
    </w:p>
    <w:p w14:paraId="4DCA31D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4.1 照明与插座由不同的支路供电，照明回路电源均为单相三线。</w:t>
      </w:r>
    </w:p>
    <w:p w14:paraId="2E97147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4.2 灯具选择及安装：卫生间采用LED防水筒灯，其他场所灯具主要采用LED光源，光通量大于4200lm，色温3300K~5300K。净化区应为专用密闭灯，手术室灯需布置在送风口之外。手术室两头的照明灯具至少各有3盏灯具应有应急照明电源。</w:t>
      </w:r>
    </w:p>
    <w:p w14:paraId="3B34B65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4.3 手术室外门上方应设"手术中"工作指示灯。有防辐射要求的手术室及其他房间的外门上方还应设置"辐射中"安全警示标志灯。所有手术室灯"手术中"及"辐射中"灯的控制要求："辐射中"灯与放射性设备连锁控制，"手术中"灯与无影灯连锁控制。</w:t>
      </w:r>
    </w:p>
    <w:p w14:paraId="2B16F8F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eastAsia="zh"/>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4.4照度标准:本项目照明设计遵照《建筑照明设计标准》GB</w:t>
      </w:r>
      <w:r>
        <w:rPr>
          <w:rFonts w:hint="eastAsia" w:ascii="宋体" w:hAnsi="宋体" w:eastAsia="宋体" w:cs="宋体"/>
          <w:b w:val="0"/>
          <w:color w:val="auto"/>
          <w:spacing w:val="0"/>
          <w:kern w:val="2"/>
          <w:sz w:val="24"/>
          <w:szCs w:val="24"/>
          <w:highlight w:val="none"/>
          <w:lang w:val="zh-CN" w:eastAsia="zh"/>
        </w:rPr>
        <w:t>t</w:t>
      </w:r>
      <w:r>
        <w:rPr>
          <w:rFonts w:hint="eastAsia" w:ascii="宋体" w:hAnsi="宋体" w:eastAsia="宋体" w:cs="宋体"/>
          <w:b w:val="0"/>
          <w:color w:val="auto"/>
          <w:spacing w:val="0"/>
          <w:kern w:val="2"/>
          <w:sz w:val="24"/>
          <w:szCs w:val="24"/>
          <w:highlight w:val="none"/>
          <w:lang w:val="zh-CN"/>
        </w:rPr>
        <w:t>50034-20</w:t>
      </w:r>
      <w:r>
        <w:rPr>
          <w:rFonts w:hint="eastAsia" w:ascii="宋体" w:hAnsi="宋体" w:eastAsia="宋体" w:cs="宋体"/>
          <w:b w:val="0"/>
          <w:color w:val="auto"/>
          <w:spacing w:val="0"/>
          <w:kern w:val="2"/>
          <w:sz w:val="24"/>
          <w:szCs w:val="24"/>
          <w:highlight w:val="none"/>
          <w:lang w:val="zh-CN" w:eastAsia="zh"/>
        </w:rPr>
        <w:t>24</w:t>
      </w:r>
      <w:r>
        <w:rPr>
          <w:rFonts w:hint="eastAsia" w:ascii="宋体" w:hAnsi="宋体" w:eastAsia="宋体" w:cs="宋体"/>
          <w:b w:val="0"/>
          <w:color w:val="auto"/>
          <w:spacing w:val="0"/>
          <w:kern w:val="2"/>
          <w:sz w:val="24"/>
          <w:szCs w:val="24"/>
          <w:highlight w:val="none"/>
          <w:lang w:val="zh-CN"/>
        </w:rPr>
        <w:t>所对应的照度标准、照明均匀度、统一眩光值、光色、能效指标等相关值的综合要求。同时依据《医院洁净手术部建筑技术规范》GB50333-2013、《医疗建筑电气设计规范》JGJ312-2013，对净化区主要房间、场所照明功率密度和对应照度值应满足设计要求。</w:t>
      </w:r>
      <w:r>
        <w:rPr>
          <w:rFonts w:hint="eastAsia" w:ascii="宋体" w:hAnsi="宋体" w:eastAsia="宋体" w:cs="宋体"/>
          <w:b w:val="0"/>
          <w:color w:val="auto"/>
          <w:spacing w:val="0"/>
          <w:kern w:val="2"/>
          <w:sz w:val="24"/>
          <w:szCs w:val="24"/>
          <w:highlight w:val="none"/>
          <w:lang w:val="zh-CN" w:eastAsia="zh"/>
        </w:rPr>
        <w:t>照明功率密度</w:t>
      </w:r>
      <w:r>
        <w:rPr>
          <w:rFonts w:hint="eastAsia" w:ascii="宋体" w:hAnsi="宋体" w:eastAsia="宋体" w:cs="宋体"/>
          <w:b w:val="0"/>
          <w:color w:val="auto"/>
          <w:spacing w:val="0"/>
          <w:kern w:val="2"/>
          <w:sz w:val="24"/>
          <w:szCs w:val="24"/>
          <w:highlight w:val="none"/>
          <w:lang w:val="zh-CN"/>
        </w:rPr>
        <w:t>(简称LPD)遵照《</w:t>
      </w:r>
      <w:r>
        <w:rPr>
          <w:rFonts w:hint="eastAsia" w:ascii="宋体" w:hAnsi="宋体" w:eastAsia="宋体" w:cs="宋体"/>
          <w:b w:val="0"/>
          <w:color w:val="auto"/>
          <w:spacing w:val="0"/>
          <w:kern w:val="2"/>
          <w:sz w:val="24"/>
          <w:szCs w:val="24"/>
          <w:highlight w:val="none"/>
          <w:lang w:val="zh-CN" w:eastAsia="zh"/>
        </w:rPr>
        <w:t>建筑节能与可再生能源利用通用规范</w:t>
      </w:r>
      <w:r>
        <w:rPr>
          <w:rFonts w:hint="eastAsia" w:ascii="宋体" w:hAnsi="宋体" w:eastAsia="宋体" w:cs="宋体"/>
          <w:b w:val="0"/>
          <w:color w:val="auto"/>
          <w:spacing w:val="0"/>
          <w:kern w:val="2"/>
          <w:sz w:val="24"/>
          <w:szCs w:val="24"/>
          <w:highlight w:val="none"/>
          <w:lang w:val="zh-CN"/>
        </w:rPr>
        <w:t>》</w:t>
      </w:r>
      <w:r>
        <w:rPr>
          <w:rFonts w:hint="eastAsia" w:ascii="宋体" w:hAnsi="宋体" w:eastAsia="宋体" w:cs="宋体"/>
          <w:b w:val="0"/>
          <w:color w:val="auto"/>
          <w:spacing w:val="0"/>
          <w:kern w:val="2"/>
          <w:sz w:val="24"/>
          <w:szCs w:val="24"/>
          <w:highlight w:val="none"/>
          <w:lang w:val="zh-CN" w:eastAsia="zh"/>
        </w:rPr>
        <w:t>GB 55015-2021 要求。</w:t>
      </w:r>
    </w:p>
    <w:p w14:paraId="5EE0244C">
      <w:pPr>
        <w:pageBreakBefore w:val="0"/>
        <w:shd w:val="clear"/>
        <w:kinsoku/>
        <w:wordWrap/>
        <w:overflowPunct/>
        <w:topLinePunct w:val="0"/>
        <w:autoSpaceDE/>
        <w:autoSpaceDN/>
        <w:bidi w:val="0"/>
        <w:snapToGrid w:val="0"/>
        <w:spacing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7.</w:t>
      </w:r>
      <w:r>
        <w:rPr>
          <w:rFonts w:hint="eastAsia" w:ascii="宋体" w:hAnsi="宋体" w:eastAsia="宋体" w:cs="宋体"/>
          <w:b/>
          <w:bCs/>
          <w:color w:val="auto"/>
          <w:spacing w:val="0"/>
          <w:kern w:val="2"/>
          <w:sz w:val="24"/>
          <w:szCs w:val="24"/>
          <w:highlight w:val="none"/>
          <w:lang w:val="zh-CN"/>
        </w:rPr>
        <w:t>5三进三出UPS技术要求</w:t>
      </w:r>
    </w:p>
    <w:p w14:paraId="64C6E32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5.1技术要求</w:t>
      </w:r>
    </w:p>
    <w:p w14:paraId="340E47E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系统要求：本次招标三进三出在线式UPS，组网方式为：单机运行供电系统</w:t>
      </w:r>
    </w:p>
    <w:p w14:paraId="4C83ACA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 xml:space="preserve"> UPS包含有全功率整流器和逆变器的在线式双变换UPS，市电正常及电池状态时所有负载均由逆变器供电。</w:t>
      </w:r>
    </w:p>
    <w:p w14:paraId="29814F0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 xml:space="preserve"> UPS需是数字UPS，采用全数字控制技术，整流逆变均采用全数字化控制，可靠性高。UPS内置并机功能，内置D级防雷器。</w:t>
      </w:r>
    </w:p>
    <w:p w14:paraId="666FF4E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zh-CN" w:eastAsia="zh"/>
        </w:rPr>
        <w:t>（</w:t>
      </w:r>
      <w:r>
        <w:rPr>
          <w:rFonts w:hint="eastAsia" w:ascii="宋体" w:hAnsi="宋体" w:eastAsia="宋体" w:cs="宋体"/>
          <w:b/>
          <w:bCs/>
          <w:color w:val="auto"/>
          <w:spacing w:val="0"/>
          <w:kern w:val="2"/>
          <w:sz w:val="24"/>
          <w:szCs w:val="24"/>
          <w:highlight w:val="none"/>
          <w:lang w:val="en-US" w:eastAsia="zh-CN"/>
        </w:rPr>
        <w:t>4</w:t>
      </w:r>
      <w:r>
        <w:rPr>
          <w:rFonts w:hint="eastAsia" w:ascii="宋体" w:hAnsi="宋体" w:eastAsia="宋体" w:cs="宋体"/>
          <w:b/>
          <w:bCs/>
          <w:color w:val="auto"/>
          <w:spacing w:val="0"/>
          <w:kern w:val="2"/>
          <w:sz w:val="24"/>
          <w:szCs w:val="24"/>
          <w:highlight w:val="none"/>
          <w:lang w:val="zh-CN" w:eastAsia="zh"/>
        </w:rPr>
        <w:t>）</w:t>
      </w:r>
      <w:r>
        <w:rPr>
          <w:rFonts w:hint="eastAsia" w:ascii="宋体" w:hAnsi="宋体" w:eastAsia="宋体" w:cs="宋体"/>
          <w:b/>
          <w:bCs/>
          <w:color w:val="auto"/>
          <w:spacing w:val="0"/>
          <w:kern w:val="2"/>
          <w:sz w:val="24"/>
          <w:szCs w:val="24"/>
          <w:highlight w:val="none"/>
          <w:lang w:val="zh-CN"/>
        </w:rPr>
        <w:t>后备电池采用免维护铅酸蓄电池。</w:t>
      </w:r>
    </w:p>
    <w:p w14:paraId="329DA5C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5</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 xml:space="preserve"> 每台UPS设备需配置1个电池总开关，总开关需选用符合国标要求优质直流断路器，并与UPS主机实现实时通讯和智能联控，具有防止误操作和电池深度放电的功能；UPS主机能检测电池断路器状态并可以远程监控。在开关意外脱扣的情况下，UPS主机能够提供报警。当整流器未建立直流母线电压时，电池断路器不能被闭合，保护人员及设备安全。当电池放电终止时，断路器应能自动断开，以避免蓄电池组因过放电而损坏。</w:t>
      </w:r>
    </w:p>
    <w:p w14:paraId="33C3827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6</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依据GJ312-2013《医疗建筑电气设计规范》，结合行业要求及特点，为应对后端负载波动，起到保护ups和后端负载的作用，保持正常运行的功能，要求UPS内置输出隔离变压器，为确保供电质量，UPS需对变压器端电压输出做监测。</w:t>
      </w:r>
    </w:p>
    <w:p w14:paraId="7DFA691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5.2设备电气性能</w:t>
      </w:r>
    </w:p>
    <w:p w14:paraId="1E07258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输入电压:应满足YD/T 1095-2008《通信用不间断电源--UPS》中线电压I类（285V～475V）的要求。</w:t>
      </w:r>
    </w:p>
    <w:p w14:paraId="02C4E53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逆变器输出：380VAC，稳态精度：±1％。</w:t>
      </w:r>
    </w:p>
    <w:p w14:paraId="131A803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输出频率：50Hz±0.1%(内同步)，输出频率应不发生突变。</w:t>
      </w:r>
    </w:p>
    <w:p w14:paraId="095268A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4</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输出频率范围：在输入频率为50Hz±10%时，输出频率应满足50Hz±0.5。</w:t>
      </w:r>
    </w:p>
    <w:p w14:paraId="6569735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5</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在允许的输入电压及正常工作温度下由100%的由逆变电源输出满载功率给负载使用。</w:t>
      </w:r>
    </w:p>
    <w:p w14:paraId="7BD7075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6</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内置主路输入开关、旁路输入开关、手动维修旁路开关及输出开关。</w:t>
      </w:r>
    </w:p>
    <w:p w14:paraId="2FD4D8D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5.2.7噪声（距离设备1米处）：</w:t>
      </w:r>
      <w:r>
        <w:rPr>
          <w:rFonts w:hint="eastAsia" w:ascii="宋体" w:hAnsi="宋体" w:eastAsia="宋体" w:cs="宋体"/>
          <w:b w:val="0"/>
          <w:color w:val="auto"/>
          <w:spacing w:val="0"/>
          <w:kern w:val="2"/>
          <w:sz w:val="24"/>
          <w:szCs w:val="24"/>
          <w:highlight w:val="none"/>
          <w:lang w:val="zh-CN"/>
        </w:rPr>
        <w:sym w:font="Symbol" w:char="F03C"/>
      </w:r>
      <w:r>
        <w:rPr>
          <w:rFonts w:hint="eastAsia" w:ascii="宋体" w:hAnsi="宋体" w:eastAsia="宋体" w:cs="宋体"/>
          <w:b w:val="0"/>
          <w:color w:val="auto"/>
          <w:spacing w:val="0"/>
          <w:kern w:val="2"/>
          <w:sz w:val="24"/>
          <w:szCs w:val="24"/>
          <w:highlight w:val="none"/>
          <w:lang w:val="zh-CN"/>
        </w:rPr>
        <w:t xml:space="preserve"> 70dB（A）</w:t>
      </w:r>
    </w:p>
    <w:p w14:paraId="776679D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8</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市电电池切换时间：0ms</w:t>
      </w:r>
    </w:p>
    <w:p w14:paraId="31BB74E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9</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旁路逆变切换时间:从逆变器停止工作时起，到电网直接供电时止或从电网直接供电起到恢复逆变器工作时止所需要的时间&lt;2ms。</w:t>
      </w:r>
    </w:p>
    <w:p w14:paraId="00A3D75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10</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自动旁路及逆变器切换电路采用晶闸管器件:逆变器侧和旁路侧均采用可控硅静态开关。</w:t>
      </w:r>
    </w:p>
    <w:p w14:paraId="74FD830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设备具备监控性能需提供尺寸不小于120mm×90mm的LCD显示器。</w:t>
      </w:r>
    </w:p>
    <w:p w14:paraId="16993DC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遥测项目：三相输入电压，直流输入电压，三相输出电压，三相输出电流，输出频率。</w:t>
      </w:r>
    </w:p>
    <w:p w14:paraId="2B2E9DA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遥信项目：同步/不同步状态，UPS/旁路供电，蓄电池放电电压低，市电故障，整流器故障，逆变器故障，旁路故障。对遥信项目，要求设备能够对每一类故障或状态提供继电器干接点。接点额定容量为1A/50VDC（或0.5A/125Vdc）。</w:t>
      </w:r>
    </w:p>
    <w:p w14:paraId="6CB7F04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14</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系统应具备通信接口，通信接口应对使用方免费开放，并确保使用的兼容性。</w:t>
      </w:r>
    </w:p>
    <w:p w14:paraId="2E38773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7.</w:t>
      </w:r>
      <w:r>
        <w:rPr>
          <w:rFonts w:hint="eastAsia" w:ascii="宋体" w:hAnsi="宋体" w:eastAsia="宋体" w:cs="宋体"/>
          <w:b/>
          <w:bCs/>
          <w:color w:val="auto"/>
          <w:spacing w:val="0"/>
          <w:kern w:val="2"/>
          <w:sz w:val="24"/>
          <w:szCs w:val="24"/>
          <w:highlight w:val="none"/>
          <w:lang w:val="zh-CN"/>
        </w:rPr>
        <w:t>6医用IT隔离电源技术要求：</w:t>
      </w:r>
    </w:p>
    <w:p w14:paraId="753A06B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6.1医用隔离电源（IT系统）：含隔离变压器、绝缘监视仪、电流互感器、外接报警显示，根据设计要求带分支回路定位的需配置相应数量的故障定位器、故障定位互感器、专用电源等。</w:t>
      </w:r>
    </w:p>
    <w:p w14:paraId="058D4FF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6.2绝缘监测装置应实时显示系统的绝缘电阻，同时应具备监测隔离变压器的过负荷和过温报警功能，报警信号应具备对应不同故障类别的声、光报警方式。</w:t>
      </w:r>
    </w:p>
    <w:p w14:paraId="0178F3B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6.3绝缘监测仪本体应具备Modbus通信接口(RS485)，便于报警信号纳入信息系统，不接受通过显示屏软件进行的通讯模式。</w:t>
      </w:r>
    </w:p>
    <w:p w14:paraId="64B6047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6.4绝缘检测装置应可显示带有时间戳的报警记录，显示和记录正在进行或已完成的警报和事件，应能从LCD显示器或采用协议在PC上进行配置。</w:t>
      </w:r>
    </w:p>
    <w:p w14:paraId="2E8F524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6.5绝缘监视仪、声光报警器、电流互感器等各个绝缘监测系统的部件之间宜采用 RJ45、RJ12 或国际通用标准接口的弱电通讯线缆连接，将电气隐患降至最低。</w:t>
      </w:r>
    </w:p>
    <w:p w14:paraId="30ED226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6.6绝缘监测装置能自适应系统分布电容即漏电容的变化，绝缘电阻报警阀值可调整范围为50-500kΩ，最迟在绝缘电阻降至50kΩ时，应发出报警。</w:t>
      </w:r>
    </w:p>
    <w:p w14:paraId="36F5EA6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6.7根据设计要求，如绝缘装置需带有分支回路的故障定位功能的，每个零序定位互感器应配有一个集成的LED报警灯，当绝缘故障发生时，指示灯指示具体故障回路，以便快速识别、处置有关线路问题。</w:t>
      </w:r>
    </w:p>
    <w:p w14:paraId="40C4AFA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6.8医疗单相隔离变压器绝缘等级大于或等于H 级，对地漏电流值不应超出国家标准要求的0.5mA，应具有极低的工作噪声和振动（</w:t>
      </w:r>
      <w:r>
        <w:rPr>
          <w:rFonts w:hint="eastAsia" w:ascii="宋体" w:hAnsi="宋体" w:eastAsia="宋体" w:cs="宋体"/>
          <w:b w:val="0"/>
          <w:color w:val="auto"/>
          <w:spacing w:val="0"/>
          <w:kern w:val="2"/>
          <w:sz w:val="24"/>
          <w:szCs w:val="24"/>
          <w:highlight w:val="none"/>
          <w:lang w:val="zh-CN"/>
        </w:rPr>
        <w:fldChar w:fldCharType="begin"/>
      </w:r>
      <w:r>
        <w:rPr>
          <w:rFonts w:hint="eastAsia" w:ascii="宋体" w:hAnsi="宋体" w:eastAsia="宋体" w:cs="宋体"/>
          <w:b w:val="0"/>
          <w:color w:val="auto"/>
          <w:spacing w:val="0"/>
          <w:kern w:val="2"/>
          <w:sz w:val="24"/>
          <w:szCs w:val="24"/>
          <w:highlight w:val="none"/>
          <w:lang w:val="zh-CN"/>
        </w:rPr>
        <w:instrText xml:space="preserve"> HYPERLINK "mailto:小于40db@1m），应满足GB/T19212.16" </w:instrText>
      </w:r>
      <w:r>
        <w:rPr>
          <w:rFonts w:hint="eastAsia" w:ascii="宋体" w:hAnsi="宋体" w:eastAsia="宋体" w:cs="宋体"/>
          <w:b w:val="0"/>
          <w:color w:val="auto"/>
          <w:spacing w:val="0"/>
          <w:kern w:val="2"/>
          <w:sz w:val="24"/>
          <w:szCs w:val="24"/>
          <w:highlight w:val="none"/>
          <w:lang w:val="zh-CN"/>
        </w:rPr>
        <w:fldChar w:fldCharType="separate"/>
      </w:r>
      <w:r>
        <w:rPr>
          <w:rFonts w:hint="eastAsia" w:ascii="宋体" w:hAnsi="宋体" w:eastAsia="宋体" w:cs="宋体"/>
          <w:b w:val="0"/>
          <w:color w:val="auto"/>
          <w:spacing w:val="0"/>
          <w:kern w:val="2"/>
          <w:sz w:val="24"/>
          <w:szCs w:val="24"/>
          <w:highlight w:val="none"/>
          <w:lang w:val="zh-CN"/>
        </w:rPr>
        <w:t>小于40db@1m），应满足GB/T19212.16</w:t>
      </w:r>
      <w:r>
        <w:rPr>
          <w:rFonts w:hint="eastAsia" w:ascii="宋体" w:hAnsi="宋体" w:eastAsia="宋体" w:cs="宋体"/>
          <w:b w:val="0"/>
          <w:color w:val="auto"/>
          <w:spacing w:val="0"/>
          <w:kern w:val="2"/>
          <w:sz w:val="24"/>
          <w:szCs w:val="24"/>
          <w:highlight w:val="none"/>
          <w:lang w:val="zh-CN"/>
        </w:rPr>
        <w:fldChar w:fldCharType="end"/>
      </w:r>
      <w:r>
        <w:rPr>
          <w:rFonts w:hint="eastAsia" w:ascii="宋体" w:hAnsi="宋体" w:eastAsia="宋体" w:cs="宋体"/>
          <w:b w:val="0"/>
          <w:color w:val="auto"/>
          <w:spacing w:val="0"/>
          <w:kern w:val="2"/>
          <w:sz w:val="24"/>
          <w:szCs w:val="24"/>
          <w:highlight w:val="none"/>
          <w:lang w:val="zh-CN"/>
        </w:rPr>
        <w:t>（医疗场所供电用隔离变压器的特殊要求和试验）标准。</w:t>
      </w:r>
    </w:p>
    <w:p w14:paraId="2392E97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6.9根据图纸和隔离电源就近配置原则，在护士站配置集中报警显示装置(显示屏)，用于绝缘值过低、隔离变压器过温、过负荷等情况的声光报警，以便在系统运行期间由医务和运维人员监管。</w:t>
      </w:r>
    </w:p>
    <w:p w14:paraId="7F47616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7.</w:t>
      </w:r>
      <w:r>
        <w:rPr>
          <w:rFonts w:hint="eastAsia" w:ascii="宋体" w:hAnsi="宋体" w:eastAsia="宋体" w:cs="宋体"/>
          <w:b w:val="0"/>
          <w:color w:val="auto"/>
          <w:spacing w:val="0"/>
          <w:kern w:val="2"/>
          <w:sz w:val="24"/>
          <w:szCs w:val="24"/>
          <w:highlight w:val="none"/>
          <w:lang w:val="zh-CN"/>
        </w:rPr>
        <w:t>6.10护士站配置的集中报警显示装置要求具有物联网功能（4G或WIFI），不仅能就地显示绝缘值过低、隔离变压器过温、过负荷等报警状态，还能在相应手机app中监测屏当前的展示内容。同时可通过相应的方式实时推送报警信息，方便工作人员及时掌握设备当前运行情况。</w:t>
      </w:r>
    </w:p>
    <w:p w14:paraId="6EC2D36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lang w:val="en-US" w:eastAsia="zh-CN"/>
        </w:rPr>
      </w:pPr>
    </w:p>
    <w:p w14:paraId="38EEA55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lang w:val="zh-CN" w:eastAsia="zh-CN"/>
        </w:rPr>
      </w:pP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lang w:val="zh-CN" w:eastAsia="zh-CN"/>
        </w:rPr>
        <w:t>、弱电</w:t>
      </w:r>
      <w:r>
        <w:rPr>
          <w:rFonts w:hint="eastAsia" w:ascii="宋体" w:hAnsi="宋体" w:eastAsia="宋体" w:cs="宋体"/>
          <w:color w:val="auto"/>
          <w:spacing w:val="0"/>
          <w:sz w:val="24"/>
          <w:szCs w:val="24"/>
          <w:highlight w:val="none"/>
          <w:lang w:val="en-US" w:eastAsia="zh-CN"/>
        </w:rPr>
        <w:t>技术要求</w:t>
      </w:r>
      <w:r>
        <w:rPr>
          <w:rFonts w:hint="eastAsia" w:ascii="宋体" w:hAnsi="宋体" w:eastAsia="宋体" w:cs="宋体"/>
          <w:color w:val="auto"/>
          <w:spacing w:val="0"/>
          <w:sz w:val="24"/>
          <w:szCs w:val="24"/>
          <w:highlight w:val="none"/>
          <w:lang w:val="zh-CN" w:eastAsia="zh-CN"/>
        </w:rPr>
        <w:t>：</w:t>
      </w:r>
    </w:p>
    <w:p w14:paraId="46224F6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8.1</w:t>
      </w:r>
      <w:r>
        <w:rPr>
          <w:rFonts w:hint="eastAsia" w:ascii="宋体" w:hAnsi="宋体" w:eastAsia="宋体" w:cs="宋体"/>
          <w:b w:val="0"/>
          <w:color w:val="auto"/>
          <w:spacing w:val="0"/>
          <w:kern w:val="2"/>
          <w:sz w:val="24"/>
          <w:szCs w:val="24"/>
          <w:highlight w:val="none"/>
          <w:lang w:val="zh-CN"/>
        </w:rPr>
        <w:t>范围包括：二供应室、三层手术室、四层静脉配置中心。具体范围详见图纸及工程量清单。</w:t>
      </w:r>
    </w:p>
    <w:p w14:paraId="53D7E38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8.2</w:t>
      </w:r>
      <w:r>
        <w:rPr>
          <w:rFonts w:hint="eastAsia" w:ascii="宋体" w:hAnsi="宋体" w:eastAsia="宋体" w:cs="宋体"/>
          <w:b w:val="0"/>
          <w:color w:val="auto"/>
          <w:spacing w:val="0"/>
          <w:kern w:val="2"/>
          <w:sz w:val="24"/>
          <w:szCs w:val="24"/>
          <w:highlight w:val="none"/>
          <w:lang w:val="zh-CN"/>
        </w:rPr>
        <w:t>监控系统：</w:t>
      </w:r>
    </w:p>
    <w:p w14:paraId="6F27D32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8.2</w:t>
      </w:r>
      <w:r>
        <w:rPr>
          <w:rFonts w:hint="eastAsia" w:ascii="宋体" w:hAnsi="宋体" w:eastAsia="宋体" w:cs="宋体"/>
          <w:b w:val="0"/>
          <w:color w:val="auto"/>
          <w:spacing w:val="0"/>
          <w:kern w:val="2"/>
          <w:sz w:val="24"/>
          <w:szCs w:val="24"/>
          <w:highlight w:val="none"/>
          <w:lang w:val="zh-CN"/>
        </w:rPr>
        <w:t>.1 在供应室、手术室及静配中心区域设置视频监控系统。供应室、手术室及静配中心等、走道、主要出入口均设置POE半球型高清网络摄像机监控系统采用IP网络监控系统，整个系统基于视频监控专网传输，接入大楼系统，在办公室设置调看电脑，作为分控点，管理办公室须根据权限通过本地电脑来调看各自对应区域的闭路监控图像。</w:t>
      </w:r>
    </w:p>
    <w:p w14:paraId="37777BF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8.2</w:t>
      </w:r>
      <w:r>
        <w:rPr>
          <w:rFonts w:hint="eastAsia" w:ascii="宋体" w:hAnsi="宋体" w:eastAsia="宋体" w:cs="宋体"/>
          <w:b w:val="0"/>
          <w:color w:val="auto"/>
          <w:spacing w:val="0"/>
          <w:kern w:val="2"/>
          <w:sz w:val="24"/>
          <w:szCs w:val="24"/>
          <w:highlight w:val="none"/>
          <w:lang w:val="zh-CN"/>
        </w:rPr>
        <w:t>.2各区域摄像保存时间为不少于30天，摄像存储由大楼监控存储服务器提供。</w:t>
      </w:r>
    </w:p>
    <w:p w14:paraId="11E51A3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8.2</w:t>
      </w:r>
      <w:r>
        <w:rPr>
          <w:rFonts w:hint="eastAsia" w:ascii="宋体" w:hAnsi="宋体" w:eastAsia="宋体" w:cs="宋体"/>
          <w:b w:val="0"/>
          <w:color w:val="auto"/>
          <w:spacing w:val="0"/>
          <w:kern w:val="2"/>
          <w:sz w:val="24"/>
          <w:szCs w:val="24"/>
          <w:highlight w:val="none"/>
          <w:lang w:val="zh-CN"/>
        </w:rPr>
        <w:t>.3实施过程中，需与大楼弱电配合，选择与大楼系统相兼容的产品。布线至弱电井内配线架上，接入大楼监控系统，并入大楼统一管理。</w:t>
      </w:r>
    </w:p>
    <w:p w14:paraId="625543D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8.3</w:t>
      </w:r>
      <w:r>
        <w:rPr>
          <w:rFonts w:hint="eastAsia" w:ascii="宋体" w:hAnsi="宋体" w:eastAsia="宋体" w:cs="宋体"/>
          <w:b w:val="0"/>
          <w:color w:val="auto"/>
          <w:spacing w:val="0"/>
          <w:kern w:val="2"/>
          <w:sz w:val="24"/>
          <w:szCs w:val="24"/>
          <w:highlight w:val="none"/>
          <w:lang w:val="zh-CN"/>
        </w:rPr>
        <w:t>护士呼叫系统：</w:t>
      </w:r>
    </w:p>
    <w:p w14:paraId="301A55C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手术部设置护士呼叫系统，每间手术室、预麻苏醒室床位等设置护士呼叫分机，系统布线引至护士站呼叫主机上。系统布线采用网络通信的方式，系统可实现主机与分机、分机与主机之间的呼叫对讲功能，外形美观、使用方便。</w:t>
      </w:r>
    </w:p>
    <w:p w14:paraId="39DA191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8.4</w:t>
      </w:r>
      <w:r>
        <w:rPr>
          <w:rFonts w:hint="eastAsia" w:ascii="宋体" w:hAnsi="宋体" w:eastAsia="宋体" w:cs="宋体"/>
          <w:b w:val="0"/>
          <w:color w:val="auto"/>
          <w:spacing w:val="0"/>
          <w:kern w:val="2"/>
          <w:sz w:val="24"/>
          <w:szCs w:val="24"/>
          <w:highlight w:val="none"/>
          <w:lang w:val="zh-CN"/>
        </w:rPr>
        <w:t>公共广播、背景音乐系统：</w:t>
      </w:r>
    </w:p>
    <w:p w14:paraId="4999421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中心供应、手术部、静配中心区域设置背景音乐系统，每间手术室设置一个音量控制器和天花喇叭。系统布线引至护士站背景音乐主机上，通过广播中心输出定压音源。智能广播中心主机可通过话筒输入或DVD播放、存贮各种格式的音乐文件。</w:t>
      </w:r>
    </w:p>
    <w:p w14:paraId="0339E57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8.5</w:t>
      </w:r>
      <w:r>
        <w:rPr>
          <w:rFonts w:hint="eastAsia" w:ascii="宋体" w:hAnsi="宋体" w:eastAsia="宋体" w:cs="宋体"/>
          <w:b w:val="0"/>
          <w:color w:val="auto"/>
          <w:spacing w:val="0"/>
          <w:kern w:val="2"/>
          <w:sz w:val="24"/>
          <w:szCs w:val="24"/>
          <w:highlight w:val="none"/>
          <w:lang w:val="zh-CN"/>
        </w:rPr>
        <w:t>门禁系统：</w:t>
      </w:r>
    </w:p>
    <w:p w14:paraId="6148B72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中心供应、手术部、静配中心区域设置门禁系统。工作人员可通过设置在各入口处的密码门禁，输入密码或者刷卡进入。门禁系统应与大楼一卡通实现无缝对接。门禁主系统由大楼统一配置以便于管理。</w:t>
      </w:r>
    </w:p>
    <w:p w14:paraId="2F39C36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8.6</w:t>
      </w:r>
      <w:r>
        <w:rPr>
          <w:rFonts w:hint="eastAsia" w:ascii="宋体" w:hAnsi="宋体" w:eastAsia="宋体" w:cs="宋体"/>
          <w:b w:val="0"/>
          <w:color w:val="auto"/>
          <w:spacing w:val="0"/>
          <w:kern w:val="2"/>
          <w:sz w:val="24"/>
          <w:szCs w:val="24"/>
          <w:highlight w:val="none"/>
          <w:lang w:val="zh-CN"/>
        </w:rPr>
        <w:t>语音、网络信息系统：</w:t>
      </w:r>
    </w:p>
    <w:p w14:paraId="01A5095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8.6</w:t>
      </w:r>
      <w:r>
        <w:rPr>
          <w:rFonts w:hint="eastAsia" w:ascii="宋体" w:hAnsi="宋体" w:eastAsia="宋体" w:cs="宋体"/>
          <w:b w:val="0"/>
          <w:color w:val="auto"/>
          <w:spacing w:val="0"/>
          <w:kern w:val="2"/>
          <w:sz w:val="24"/>
          <w:szCs w:val="24"/>
          <w:highlight w:val="none"/>
          <w:lang w:val="zh-CN"/>
        </w:rPr>
        <w:t>.1各区域均设有网络插座和语音插座。试验台设置不少于1个网络点，各信息点用于与大楼LIS、HISPACS等系统连接，实现病人综合信息的录入和查询功能，其他功能辅房按使用需要设置适当的语音、网络插座。</w:t>
      </w:r>
    </w:p>
    <w:p w14:paraId="6749C4C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8.6</w:t>
      </w:r>
      <w:r>
        <w:rPr>
          <w:rFonts w:hint="eastAsia" w:ascii="宋体" w:hAnsi="宋体" w:eastAsia="宋体" w:cs="宋体"/>
          <w:b w:val="0"/>
          <w:color w:val="auto"/>
          <w:spacing w:val="0"/>
          <w:kern w:val="2"/>
          <w:sz w:val="24"/>
          <w:szCs w:val="24"/>
          <w:highlight w:val="none"/>
          <w:lang w:val="zh-CN"/>
        </w:rPr>
        <w:t>.2网络和电话系统均采用六类非屏蔽双绞线传输，穿金属线槽及金属线管敷设。所有布线预留至弱电间。弱电间机柜、配线架等设备由大楼弱电提供并负责接入大楼网络。整个区域设计无线AP，无线AP全区域覆盖，无线AP可以内外网切换。</w:t>
      </w:r>
    </w:p>
    <w:p w14:paraId="0E85470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8.6</w:t>
      </w:r>
      <w:r>
        <w:rPr>
          <w:rFonts w:hint="eastAsia" w:ascii="宋体" w:hAnsi="宋体" w:eastAsia="宋体" w:cs="宋体"/>
          <w:b w:val="0"/>
          <w:color w:val="auto"/>
          <w:spacing w:val="0"/>
          <w:kern w:val="2"/>
          <w:sz w:val="24"/>
          <w:szCs w:val="24"/>
          <w:highlight w:val="none"/>
          <w:lang w:val="zh-CN"/>
        </w:rPr>
        <w:t>.3综合布线与视频监控系统等合用电缆桥架时，各子系统的线缆在桥架内敷设时用隔板分开。</w:t>
      </w:r>
    </w:p>
    <w:p w14:paraId="1E1CB0A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8.6</w:t>
      </w:r>
      <w:r>
        <w:rPr>
          <w:rFonts w:hint="eastAsia" w:ascii="宋体" w:hAnsi="宋体" w:eastAsia="宋体" w:cs="宋体"/>
          <w:b w:val="0"/>
          <w:color w:val="auto"/>
          <w:spacing w:val="0"/>
          <w:kern w:val="2"/>
          <w:sz w:val="24"/>
          <w:szCs w:val="24"/>
          <w:highlight w:val="none"/>
          <w:lang w:val="zh-CN"/>
        </w:rPr>
        <w:t>.4信息插座附近应设单相三孔电源插座，同墙面信息插座与电源插座并列安装时间距应不小于 200mm。</w:t>
      </w:r>
    </w:p>
    <w:p w14:paraId="60807C6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lang w:val="en-US" w:eastAsia="zh-CN"/>
        </w:rPr>
      </w:pPr>
    </w:p>
    <w:p w14:paraId="6CD6335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9、给排水技术要求：</w:t>
      </w:r>
    </w:p>
    <w:p w14:paraId="6E9B2DC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9.1生活给水（冷热水）</w:t>
      </w:r>
    </w:p>
    <w:p w14:paraId="5F06441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9.1.1 水源：供给洁净手术部用水的水质应符合现行国家标准《生活饮用水卫生标准》GB 5749 的要求，应有两路进口，由处于连续正压状态下的管道系统供给。</w:t>
      </w:r>
    </w:p>
    <w:p w14:paraId="5733B06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9.1.2 用水点位根据求设置热水，二层中心供应室、三层中心手术部、四层静脉配置中心等区域热水接原大楼热水系统，部分用水点采用电热水器供应热水。电热水器出水水温设为60℃；恒温阀后设置温度为30℃~35℃。</w:t>
      </w:r>
    </w:p>
    <w:p w14:paraId="2B57F10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9.1.3 给水管与卫生器具及设备的连接应有空气隔断或倒流防止器，不应直接相连。</w:t>
      </w:r>
    </w:p>
    <w:p w14:paraId="0E98E12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9.1.4 本给水设计，只包括室内给水支管系统和洁具。</w:t>
      </w:r>
    </w:p>
    <w:p w14:paraId="0B0DDFF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9.1.5 给水立管具体位置以现场及土建预留实际为准。</w:t>
      </w:r>
    </w:p>
    <w:p w14:paraId="4F06BE7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9.1.6 本项目卫生洁具均采用节水型洗脸盆，净化区域采用感应龙头（非手动）。</w:t>
      </w:r>
    </w:p>
    <w:p w14:paraId="67F7ABB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9.2生活排水</w:t>
      </w:r>
    </w:p>
    <w:p w14:paraId="1525E66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9.2.1 本项目污、废水系统采用分流制（部分合流）。</w:t>
      </w:r>
    </w:p>
    <w:p w14:paraId="7F2F042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en-US" w:eastAsia="zh-CN"/>
        </w:rPr>
        <w:t>9.2.2 本排水设计，只包括室内排水支管系统和洁具，排水主系统详见土建排水系统。</w:t>
      </w:r>
    </w:p>
    <w:p w14:paraId="6DE4DEC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color w:val="auto"/>
          <w:spacing w:val="0"/>
          <w:sz w:val="24"/>
          <w:szCs w:val="24"/>
          <w:highlight w:val="none"/>
          <w:lang w:val="en-US" w:eastAsia="zh-CN"/>
        </w:rPr>
      </w:pPr>
    </w:p>
    <w:p w14:paraId="2DC0DB0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color w:val="auto"/>
          <w:spacing w:val="0"/>
          <w:sz w:val="24"/>
          <w:szCs w:val="24"/>
          <w:highlight w:val="none"/>
          <w:lang w:val="en-US" w:eastAsia="zh-CN"/>
        </w:rPr>
        <w:t>10、医用气体技术要求：</w:t>
      </w:r>
    </w:p>
    <w:p w14:paraId="4F83CDB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10.1</w:t>
      </w:r>
      <w:r>
        <w:rPr>
          <w:rFonts w:hint="eastAsia" w:ascii="宋体" w:hAnsi="宋体" w:eastAsia="宋体" w:cs="宋体"/>
          <w:b w:val="0"/>
          <w:color w:val="auto"/>
          <w:spacing w:val="0"/>
          <w:kern w:val="2"/>
          <w:sz w:val="24"/>
          <w:szCs w:val="24"/>
          <w:highlight w:val="none"/>
          <w:lang w:val="zh-CN"/>
        </w:rPr>
        <w:t>范围主要包括：二层中心供应室；三层手术部1间DSA防辐射手术室、1间手术室、麻醉复苏室2床；三层汇流排气瓶间。具体范围详见图纸及工程量清单。</w:t>
      </w:r>
    </w:p>
    <w:p w14:paraId="4B8F6FD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w:t>
      </w:r>
      <w:r>
        <w:rPr>
          <w:rFonts w:hint="eastAsia" w:ascii="宋体" w:hAnsi="宋体" w:eastAsia="宋体" w:cs="宋体"/>
          <w:b/>
          <w:bCs/>
          <w:color w:val="auto"/>
          <w:spacing w:val="0"/>
          <w:kern w:val="2"/>
          <w:sz w:val="24"/>
          <w:szCs w:val="24"/>
          <w:highlight w:val="none"/>
          <w:lang w:val="zh-CN"/>
        </w:rPr>
        <w:t>2气体管道材质：</w:t>
      </w:r>
      <w:r>
        <w:rPr>
          <w:rFonts w:hint="eastAsia" w:ascii="宋体" w:hAnsi="宋体" w:eastAsia="宋体" w:cs="宋体"/>
          <w:b w:val="0"/>
          <w:color w:val="auto"/>
          <w:kern w:val="2"/>
          <w:sz w:val="24"/>
          <w:szCs w:val="24"/>
          <w:highlight w:val="none"/>
          <w:lang w:val="zh-CN"/>
        </w:rPr>
        <w:t>氧气、负压吸引、压缩空气、二氧化碳、氮气、笑气横管采用不锈钢管；进入手术室的氧气、压缩空气、二氧化碳、笑气支管为脱脂铜管；负压吸引、氮气支管为脱脂铜管。麻醉废气管道采用高强度UPVC管,进入手术室的支管为De20的高强度UPVC管</w:t>
      </w:r>
      <w:r>
        <w:rPr>
          <w:rFonts w:hint="eastAsia" w:ascii="宋体" w:hAnsi="宋体" w:eastAsia="宋体" w:cs="宋体"/>
          <w:b w:val="0"/>
          <w:color w:val="auto"/>
          <w:spacing w:val="0"/>
          <w:kern w:val="2"/>
          <w:sz w:val="24"/>
          <w:szCs w:val="24"/>
          <w:highlight w:val="none"/>
          <w:lang w:val="zh-CN"/>
        </w:rPr>
        <w:t>。</w:t>
      </w:r>
    </w:p>
    <w:p w14:paraId="1DAAA2FA">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10.3</w:t>
      </w:r>
      <w:r>
        <w:rPr>
          <w:rFonts w:hint="eastAsia" w:ascii="宋体" w:hAnsi="宋体" w:eastAsia="宋体" w:cs="宋体"/>
          <w:b/>
          <w:bCs/>
          <w:color w:val="auto"/>
          <w:spacing w:val="0"/>
          <w:kern w:val="2"/>
          <w:sz w:val="24"/>
          <w:szCs w:val="24"/>
          <w:highlight w:val="none"/>
          <w:lang w:val="zh-CN"/>
        </w:rPr>
        <w:t>医用气体设计参数和设计压力：</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106"/>
        <w:gridCol w:w="2155"/>
        <w:gridCol w:w="2147"/>
        <w:gridCol w:w="2114"/>
      </w:tblGrid>
      <w:tr w14:paraId="39AF4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106" w:type="dxa"/>
            <w:shd w:val="clear" w:color="auto" w:fill="auto"/>
            <w:noWrap w:val="0"/>
            <w:vAlign w:val="top"/>
          </w:tcPr>
          <w:p w14:paraId="35C7423B">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气体种类</w:t>
            </w:r>
          </w:p>
        </w:tc>
        <w:tc>
          <w:tcPr>
            <w:tcW w:w="2155" w:type="dxa"/>
            <w:shd w:val="clear" w:color="auto" w:fill="auto"/>
            <w:noWrap w:val="0"/>
            <w:vAlign w:val="top"/>
          </w:tcPr>
          <w:p w14:paraId="10075C4F">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终端压力（MPa）</w:t>
            </w:r>
          </w:p>
        </w:tc>
        <w:tc>
          <w:tcPr>
            <w:tcW w:w="2147" w:type="dxa"/>
            <w:shd w:val="clear" w:color="auto" w:fill="auto"/>
            <w:noWrap w:val="0"/>
            <w:vAlign w:val="top"/>
          </w:tcPr>
          <w:p w14:paraId="5F36AA41">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终端流量（L/min）</w:t>
            </w:r>
          </w:p>
        </w:tc>
        <w:tc>
          <w:tcPr>
            <w:tcW w:w="2114" w:type="dxa"/>
            <w:shd w:val="clear" w:color="auto" w:fill="auto"/>
            <w:noWrap w:val="0"/>
            <w:vAlign w:val="top"/>
          </w:tcPr>
          <w:p w14:paraId="06915E14">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同时使用率（%）</w:t>
            </w:r>
          </w:p>
        </w:tc>
      </w:tr>
      <w:tr w14:paraId="62A8D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106" w:type="dxa"/>
            <w:shd w:val="clear" w:color="auto" w:fill="auto"/>
            <w:noWrap w:val="0"/>
            <w:vAlign w:val="top"/>
          </w:tcPr>
          <w:p w14:paraId="71F931B5">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氧气</w:t>
            </w:r>
          </w:p>
        </w:tc>
        <w:tc>
          <w:tcPr>
            <w:tcW w:w="2155" w:type="dxa"/>
            <w:shd w:val="clear" w:color="auto" w:fill="auto"/>
            <w:noWrap w:val="0"/>
            <w:vAlign w:val="top"/>
          </w:tcPr>
          <w:p w14:paraId="1A39B17F">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0.40-0.45</w:t>
            </w:r>
          </w:p>
        </w:tc>
        <w:tc>
          <w:tcPr>
            <w:tcW w:w="2147" w:type="dxa"/>
            <w:shd w:val="clear" w:color="auto" w:fill="auto"/>
            <w:noWrap w:val="0"/>
            <w:vAlign w:val="top"/>
          </w:tcPr>
          <w:p w14:paraId="0BC6F072">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10-80</w:t>
            </w:r>
          </w:p>
        </w:tc>
        <w:tc>
          <w:tcPr>
            <w:tcW w:w="2114" w:type="dxa"/>
            <w:shd w:val="clear" w:color="auto" w:fill="auto"/>
            <w:noWrap w:val="0"/>
            <w:vAlign w:val="top"/>
          </w:tcPr>
          <w:p w14:paraId="3AB1263F">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100</w:t>
            </w:r>
          </w:p>
        </w:tc>
      </w:tr>
      <w:tr w14:paraId="0A97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6" w:type="dxa"/>
            <w:shd w:val="clear" w:color="auto" w:fill="auto"/>
            <w:noWrap w:val="0"/>
            <w:vAlign w:val="top"/>
          </w:tcPr>
          <w:p w14:paraId="238ABC16">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压缩空气</w:t>
            </w:r>
          </w:p>
        </w:tc>
        <w:tc>
          <w:tcPr>
            <w:tcW w:w="2155" w:type="dxa"/>
            <w:shd w:val="clear" w:color="auto" w:fill="auto"/>
            <w:noWrap w:val="0"/>
            <w:vAlign w:val="top"/>
          </w:tcPr>
          <w:p w14:paraId="349C3CDB">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0.40-0.45</w:t>
            </w:r>
          </w:p>
        </w:tc>
        <w:tc>
          <w:tcPr>
            <w:tcW w:w="2147" w:type="dxa"/>
            <w:shd w:val="clear" w:color="auto" w:fill="auto"/>
            <w:noWrap w:val="0"/>
            <w:vAlign w:val="top"/>
          </w:tcPr>
          <w:p w14:paraId="6A523DE9">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60</w:t>
            </w:r>
          </w:p>
        </w:tc>
        <w:tc>
          <w:tcPr>
            <w:tcW w:w="2114" w:type="dxa"/>
            <w:shd w:val="clear" w:color="auto" w:fill="auto"/>
            <w:noWrap w:val="0"/>
            <w:vAlign w:val="top"/>
          </w:tcPr>
          <w:p w14:paraId="04E41857">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80</w:t>
            </w:r>
          </w:p>
        </w:tc>
      </w:tr>
      <w:tr w14:paraId="200E8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6" w:type="dxa"/>
            <w:shd w:val="clear" w:color="auto" w:fill="auto"/>
            <w:noWrap w:val="0"/>
            <w:vAlign w:val="top"/>
          </w:tcPr>
          <w:p w14:paraId="36EAC3E4">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负压（真空）吸引</w:t>
            </w:r>
          </w:p>
        </w:tc>
        <w:tc>
          <w:tcPr>
            <w:tcW w:w="2155" w:type="dxa"/>
            <w:shd w:val="clear" w:color="auto" w:fill="auto"/>
            <w:noWrap w:val="0"/>
            <w:vAlign w:val="top"/>
          </w:tcPr>
          <w:p w14:paraId="6626B8DA">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-0.03-</w:t>
            </w:r>
            <w:r>
              <w:rPr>
                <w:rFonts w:hint="eastAsia" w:ascii="宋体" w:hAnsi="宋体" w:eastAsia="宋体" w:cs="宋体"/>
                <w:b w:val="0"/>
                <w:color w:val="auto"/>
                <w:spacing w:val="0"/>
                <w:kern w:val="2"/>
                <w:sz w:val="24"/>
                <w:szCs w:val="24"/>
                <w:highlight w:val="none"/>
                <w:lang w:val="en-US" w:eastAsia="zh-CN"/>
              </w:rPr>
              <w:t>-</w:t>
            </w:r>
            <w:r>
              <w:rPr>
                <w:rFonts w:hint="eastAsia" w:ascii="宋体" w:hAnsi="宋体" w:eastAsia="宋体" w:cs="宋体"/>
                <w:b w:val="0"/>
                <w:color w:val="auto"/>
                <w:spacing w:val="0"/>
                <w:kern w:val="2"/>
                <w:sz w:val="24"/>
                <w:szCs w:val="24"/>
                <w:highlight w:val="none"/>
                <w:lang w:val="zh-CN"/>
              </w:rPr>
              <w:t>0.07</w:t>
            </w:r>
          </w:p>
        </w:tc>
        <w:tc>
          <w:tcPr>
            <w:tcW w:w="2147" w:type="dxa"/>
            <w:shd w:val="clear" w:color="auto" w:fill="auto"/>
            <w:noWrap w:val="0"/>
            <w:vAlign w:val="top"/>
          </w:tcPr>
          <w:p w14:paraId="0C128460">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15-80</w:t>
            </w:r>
          </w:p>
        </w:tc>
        <w:tc>
          <w:tcPr>
            <w:tcW w:w="2114" w:type="dxa"/>
            <w:shd w:val="clear" w:color="auto" w:fill="auto"/>
            <w:noWrap w:val="0"/>
            <w:vAlign w:val="top"/>
          </w:tcPr>
          <w:p w14:paraId="7CF6F54C">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100</w:t>
            </w:r>
          </w:p>
        </w:tc>
      </w:tr>
      <w:tr w14:paraId="2F568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106" w:type="dxa"/>
            <w:shd w:val="clear" w:color="auto" w:fill="auto"/>
            <w:noWrap w:val="0"/>
            <w:vAlign w:val="top"/>
          </w:tcPr>
          <w:p w14:paraId="5BCE9205">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二氧化碳</w:t>
            </w:r>
          </w:p>
        </w:tc>
        <w:tc>
          <w:tcPr>
            <w:tcW w:w="2155" w:type="dxa"/>
            <w:shd w:val="clear" w:color="auto" w:fill="auto"/>
            <w:noWrap w:val="0"/>
            <w:vAlign w:val="top"/>
          </w:tcPr>
          <w:p w14:paraId="45FD0D9A">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zh-CN"/>
              </w:rPr>
              <w:t>0.35-0.</w:t>
            </w:r>
            <w:r>
              <w:rPr>
                <w:rFonts w:hint="eastAsia" w:ascii="宋体" w:hAnsi="宋体" w:eastAsia="宋体" w:cs="宋体"/>
                <w:b w:val="0"/>
                <w:color w:val="auto"/>
                <w:spacing w:val="0"/>
                <w:kern w:val="2"/>
                <w:sz w:val="24"/>
                <w:szCs w:val="24"/>
                <w:highlight w:val="none"/>
                <w:lang w:val="en-US" w:eastAsia="zh-CN"/>
              </w:rPr>
              <w:t>40</w:t>
            </w:r>
          </w:p>
        </w:tc>
        <w:tc>
          <w:tcPr>
            <w:tcW w:w="2147" w:type="dxa"/>
            <w:shd w:val="clear" w:color="auto" w:fill="auto"/>
            <w:noWrap w:val="0"/>
            <w:vAlign w:val="top"/>
          </w:tcPr>
          <w:p w14:paraId="5183F8E2">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6-10</w:t>
            </w:r>
          </w:p>
        </w:tc>
        <w:tc>
          <w:tcPr>
            <w:tcW w:w="2114" w:type="dxa"/>
            <w:shd w:val="clear" w:color="auto" w:fill="auto"/>
            <w:noWrap w:val="0"/>
            <w:vAlign w:val="top"/>
          </w:tcPr>
          <w:p w14:paraId="63908D25">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30</w:t>
            </w:r>
          </w:p>
        </w:tc>
      </w:tr>
      <w:tr w14:paraId="2C4A9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6" w:type="dxa"/>
            <w:shd w:val="clear" w:color="auto" w:fill="auto"/>
            <w:noWrap w:val="0"/>
            <w:vAlign w:val="top"/>
          </w:tcPr>
          <w:p w14:paraId="3033B864">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笑气</w:t>
            </w:r>
          </w:p>
        </w:tc>
        <w:tc>
          <w:tcPr>
            <w:tcW w:w="2155" w:type="dxa"/>
            <w:shd w:val="clear" w:color="auto" w:fill="auto"/>
            <w:noWrap w:val="0"/>
            <w:vAlign w:val="top"/>
          </w:tcPr>
          <w:p w14:paraId="21F651AB">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zh-CN"/>
              </w:rPr>
              <w:t>0.35-0.</w:t>
            </w:r>
            <w:r>
              <w:rPr>
                <w:rFonts w:hint="eastAsia" w:ascii="宋体" w:hAnsi="宋体" w:eastAsia="宋体" w:cs="宋体"/>
                <w:b w:val="0"/>
                <w:color w:val="auto"/>
                <w:spacing w:val="0"/>
                <w:kern w:val="2"/>
                <w:sz w:val="24"/>
                <w:szCs w:val="24"/>
                <w:highlight w:val="none"/>
                <w:lang w:val="en-US" w:eastAsia="zh-CN"/>
              </w:rPr>
              <w:t>40</w:t>
            </w:r>
          </w:p>
        </w:tc>
        <w:tc>
          <w:tcPr>
            <w:tcW w:w="2147" w:type="dxa"/>
            <w:shd w:val="clear" w:color="auto" w:fill="auto"/>
            <w:noWrap w:val="0"/>
            <w:vAlign w:val="top"/>
          </w:tcPr>
          <w:p w14:paraId="3DD13CF4">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6-10</w:t>
            </w:r>
          </w:p>
        </w:tc>
        <w:tc>
          <w:tcPr>
            <w:tcW w:w="2114" w:type="dxa"/>
            <w:shd w:val="clear" w:color="auto" w:fill="auto"/>
            <w:noWrap w:val="0"/>
            <w:vAlign w:val="top"/>
          </w:tcPr>
          <w:p w14:paraId="163F9452">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30</w:t>
            </w:r>
          </w:p>
        </w:tc>
      </w:tr>
      <w:tr w14:paraId="31CD8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6" w:type="dxa"/>
            <w:shd w:val="clear" w:color="auto" w:fill="auto"/>
            <w:noWrap w:val="0"/>
            <w:vAlign w:val="top"/>
          </w:tcPr>
          <w:p w14:paraId="0A813573">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氮气</w:t>
            </w:r>
          </w:p>
        </w:tc>
        <w:tc>
          <w:tcPr>
            <w:tcW w:w="2155" w:type="dxa"/>
            <w:shd w:val="clear" w:color="auto" w:fill="auto"/>
            <w:noWrap w:val="0"/>
            <w:vAlign w:val="top"/>
          </w:tcPr>
          <w:p w14:paraId="4F75B3D7">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0.90-0.95</w:t>
            </w:r>
          </w:p>
        </w:tc>
        <w:tc>
          <w:tcPr>
            <w:tcW w:w="2147" w:type="dxa"/>
            <w:shd w:val="clear" w:color="auto" w:fill="auto"/>
            <w:noWrap w:val="0"/>
            <w:vAlign w:val="top"/>
          </w:tcPr>
          <w:p w14:paraId="27ABA8AD">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230</w:t>
            </w:r>
          </w:p>
        </w:tc>
        <w:tc>
          <w:tcPr>
            <w:tcW w:w="2114" w:type="dxa"/>
            <w:shd w:val="clear" w:color="auto" w:fill="auto"/>
            <w:noWrap w:val="0"/>
            <w:vAlign w:val="top"/>
          </w:tcPr>
          <w:p w14:paraId="6A84ED60">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10-60</w:t>
            </w:r>
          </w:p>
        </w:tc>
      </w:tr>
    </w:tbl>
    <w:p w14:paraId="62FC59A2">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10.4</w:t>
      </w:r>
      <w:r>
        <w:rPr>
          <w:rFonts w:hint="eastAsia" w:ascii="宋体" w:hAnsi="宋体" w:eastAsia="宋体" w:cs="宋体"/>
          <w:b/>
          <w:bCs/>
          <w:color w:val="auto"/>
          <w:spacing w:val="0"/>
          <w:kern w:val="2"/>
          <w:sz w:val="24"/>
          <w:szCs w:val="24"/>
          <w:highlight w:val="none"/>
          <w:lang w:val="zh-CN"/>
        </w:rPr>
        <w:t>用供气终端配置表</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601"/>
        <w:gridCol w:w="6900"/>
      </w:tblGrid>
      <w:tr w14:paraId="65470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3" w:hRule="atLeast"/>
        </w:trPr>
        <w:tc>
          <w:tcPr>
            <w:tcW w:w="1601" w:type="dxa"/>
            <w:shd w:val="clear" w:color="auto" w:fill="auto"/>
            <w:noWrap w:val="0"/>
            <w:vAlign w:val="top"/>
          </w:tcPr>
          <w:p w14:paraId="4D105E08">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气体种类</w:t>
            </w:r>
          </w:p>
        </w:tc>
        <w:tc>
          <w:tcPr>
            <w:tcW w:w="6900" w:type="dxa"/>
            <w:shd w:val="clear" w:color="auto" w:fill="auto"/>
            <w:noWrap w:val="0"/>
            <w:vAlign w:val="top"/>
          </w:tcPr>
          <w:p w14:paraId="6FF11FA0">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终端配置</w:t>
            </w:r>
          </w:p>
        </w:tc>
      </w:tr>
      <w:tr w14:paraId="5A48B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1" w:type="dxa"/>
            <w:vMerge w:val="restart"/>
            <w:shd w:val="clear" w:color="auto" w:fill="auto"/>
            <w:noWrap w:val="0"/>
            <w:vAlign w:val="center"/>
          </w:tcPr>
          <w:p w14:paraId="03820C7B">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氧气</w:t>
            </w:r>
          </w:p>
        </w:tc>
        <w:tc>
          <w:tcPr>
            <w:tcW w:w="6900" w:type="dxa"/>
            <w:shd w:val="clear" w:color="auto" w:fill="auto"/>
            <w:noWrap w:val="0"/>
            <w:vAlign w:val="top"/>
          </w:tcPr>
          <w:p w14:paraId="44F7C996">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每间手术室墙上设一组，每个吊塔上设一组，</w:t>
            </w:r>
            <w:r>
              <w:rPr>
                <w:rFonts w:hint="eastAsia" w:ascii="宋体" w:hAnsi="宋体" w:eastAsia="宋体" w:cs="宋体"/>
                <w:b w:val="0"/>
                <w:color w:val="auto"/>
                <w:spacing w:val="0"/>
                <w:kern w:val="2"/>
                <w:sz w:val="24"/>
                <w:szCs w:val="24"/>
                <w:highlight w:val="none"/>
                <w:lang w:val="en-US" w:eastAsia="zh-CN"/>
              </w:rPr>
              <w:t>吊塔仅预留</w:t>
            </w:r>
            <w:r>
              <w:rPr>
                <w:rFonts w:hint="eastAsia" w:ascii="宋体" w:hAnsi="宋体" w:eastAsia="宋体" w:cs="宋体"/>
                <w:b w:val="0"/>
                <w:color w:val="auto"/>
                <w:spacing w:val="0"/>
                <w:kern w:val="2"/>
                <w:sz w:val="24"/>
                <w:szCs w:val="24"/>
                <w:highlight w:val="none"/>
                <w:lang w:val="zh-CN"/>
              </w:rPr>
              <w:t>管道</w:t>
            </w:r>
          </w:p>
        </w:tc>
      </w:tr>
      <w:tr w14:paraId="2AE49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01" w:type="dxa"/>
            <w:vMerge w:val="continue"/>
            <w:shd w:val="clear" w:color="auto" w:fill="auto"/>
            <w:noWrap w:val="0"/>
            <w:vAlign w:val="center"/>
          </w:tcPr>
          <w:p w14:paraId="63C9B383">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p>
        </w:tc>
        <w:tc>
          <w:tcPr>
            <w:tcW w:w="6900" w:type="dxa"/>
            <w:shd w:val="clear" w:color="auto" w:fill="auto"/>
            <w:noWrap w:val="0"/>
            <w:vAlign w:val="top"/>
          </w:tcPr>
          <w:p w14:paraId="3E9C0548">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麻醉苏醒每床设2个</w:t>
            </w:r>
          </w:p>
        </w:tc>
      </w:tr>
      <w:tr w14:paraId="673F8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01" w:type="dxa"/>
            <w:vMerge w:val="restart"/>
            <w:shd w:val="clear" w:color="auto" w:fill="auto"/>
            <w:noWrap w:val="0"/>
            <w:vAlign w:val="center"/>
          </w:tcPr>
          <w:p w14:paraId="16CB2D1F">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真空吸引</w:t>
            </w:r>
          </w:p>
        </w:tc>
        <w:tc>
          <w:tcPr>
            <w:tcW w:w="6900" w:type="dxa"/>
            <w:shd w:val="clear" w:color="auto" w:fill="auto"/>
            <w:noWrap w:val="0"/>
            <w:vAlign w:val="top"/>
          </w:tcPr>
          <w:p w14:paraId="626FA8A8">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每间手术室墙上设一组，每个吊塔上设一组，</w:t>
            </w:r>
            <w:r>
              <w:rPr>
                <w:rFonts w:hint="eastAsia" w:ascii="宋体" w:hAnsi="宋体" w:eastAsia="宋体" w:cs="宋体"/>
                <w:b w:val="0"/>
                <w:color w:val="auto"/>
                <w:spacing w:val="0"/>
                <w:kern w:val="2"/>
                <w:sz w:val="24"/>
                <w:szCs w:val="24"/>
                <w:highlight w:val="none"/>
                <w:lang w:val="en-US" w:eastAsia="zh-CN"/>
              </w:rPr>
              <w:t>吊塔仅预留</w:t>
            </w:r>
            <w:r>
              <w:rPr>
                <w:rFonts w:hint="eastAsia" w:ascii="宋体" w:hAnsi="宋体" w:eastAsia="宋体" w:cs="宋体"/>
                <w:b w:val="0"/>
                <w:color w:val="auto"/>
                <w:spacing w:val="0"/>
                <w:kern w:val="2"/>
                <w:sz w:val="24"/>
                <w:szCs w:val="24"/>
                <w:highlight w:val="none"/>
                <w:lang w:val="zh-CN"/>
              </w:rPr>
              <w:t>管道</w:t>
            </w:r>
          </w:p>
        </w:tc>
      </w:tr>
      <w:tr w14:paraId="03FFC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7" w:hRule="atLeast"/>
        </w:trPr>
        <w:tc>
          <w:tcPr>
            <w:tcW w:w="1601" w:type="dxa"/>
            <w:vMerge w:val="continue"/>
            <w:shd w:val="clear" w:color="auto" w:fill="auto"/>
            <w:noWrap w:val="0"/>
            <w:vAlign w:val="center"/>
          </w:tcPr>
          <w:p w14:paraId="0B6A5E43">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p>
        </w:tc>
        <w:tc>
          <w:tcPr>
            <w:tcW w:w="6900" w:type="dxa"/>
            <w:shd w:val="clear" w:color="auto" w:fill="auto"/>
            <w:noWrap w:val="0"/>
            <w:vAlign w:val="top"/>
          </w:tcPr>
          <w:p w14:paraId="105EE7EF">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麻醉苏醒每床设2个</w:t>
            </w:r>
          </w:p>
        </w:tc>
      </w:tr>
      <w:tr w14:paraId="5D710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1" w:type="dxa"/>
            <w:vMerge w:val="restart"/>
            <w:shd w:val="clear" w:color="auto" w:fill="auto"/>
            <w:noWrap w:val="0"/>
            <w:vAlign w:val="center"/>
          </w:tcPr>
          <w:p w14:paraId="3276C1ED">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空气</w:t>
            </w:r>
          </w:p>
        </w:tc>
        <w:tc>
          <w:tcPr>
            <w:tcW w:w="6900" w:type="dxa"/>
            <w:shd w:val="clear" w:color="auto" w:fill="auto"/>
            <w:noWrap w:val="0"/>
            <w:vAlign w:val="top"/>
          </w:tcPr>
          <w:p w14:paraId="1C587127">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每间手术室墙上设一组，每个吊塔上设一组，</w:t>
            </w:r>
            <w:r>
              <w:rPr>
                <w:rFonts w:hint="eastAsia" w:ascii="宋体" w:hAnsi="宋体" w:eastAsia="宋体" w:cs="宋体"/>
                <w:b w:val="0"/>
                <w:color w:val="auto"/>
                <w:spacing w:val="0"/>
                <w:kern w:val="2"/>
                <w:sz w:val="24"/>
                <w:szCs w:val="24"/>
                <w:highlight w:val="none"/>
                <w:lang w:val="en-US" w:eastAsia="zh-CN"/>
              </w:rPr>
              <w:t>吊塔仅预留</w:t>
            </w:r>
            <w:r>
              <w:rPr>
                <w:rFonts w:hint="eastAsia" w:ascii="宋体" w:hAnsi="宋体" w:eastAsia="宋体" w:cs="宋体"/>
                <w:b w:val="0"/>
                <w:color w:val="auto"/>
                <w:spacing w:val="0"/>
                <w:kern w:val="2"/>
                <w:sz w:val="24"/>
                <w:szCs w:val="24"/>
                <w:highlight w:val="none"/>
                <w:lang w:val="zh-CN"/>
              </w:rPr>
              <w:t>管道</w:t>
            </w:r>
          </w:p>
        </w:tc>
      </w:tr>
      <w:tr w14:paraId="4F440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01" w:type="dxa"/>
            <w:vMerge w:val="continue"/>
            <w:shd w:val="clear" w:color="auto" w:fill="auto"/>
            <w:noWrap w:val="0"/>
            <w:vAlign w:val="top"/>
          </w:tcPr>
          <w:p w14:paraId="3891FF8C">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p>
        </w:tc>
        <w:tc>
          <w:tcPr>
            <w:tcW w:w="6900" w:type="dxa"/>
            <w:shd w:val="clear" w:color="auto" w:fill="auto"/>
            <w:noWrap w:val="0"/>
            <w:vAlign w:val="top"/>
          </w:tcPr>
          <w:p w14:paraId="3673EFBD">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麻醉苏醒每床设1个</w:t>
            </w:r>
          </w:p>
        </w:tc>
      </w:tr>
      <w:tr w14:paraId="32E50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01" w:type="dxa"/>
            <w:vMerge w:val="continue"/>
            <w:shd w:val="clear" w:color="auto" w:fill="auto"/>
            <w:noWrap w:val="0"/>
            <w:vAlign w:val="top"/>
          </w:tcPr>
          <w:p w14:paraId="7B769350">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p>
        </w:tc>
        <w:tc>
          <w:tcPr>
            <w:tcW w:w="6900" w:type="dxa"/>
            <w:shd w:val="clear" w:color="auto" w:fill="auto"/>
            <w:noWrap w:val="0"/>
            <w:vAlign w:val="top"/>
          </w:tcPr>
          <w:p w14:paraId="33786155">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供应室相关设备上设一组（器械用压缩空气）</w:t>
            </w:r>
          </w:p>
        </w:tc>
      </w:tr>
      <w:tr w14:paraId="7C68C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01" w:type="dxa"/>
            <w:shd w:val="clear" w:color="auto" w:fill="auto"/>
            <w:noWrap w:val="0"/>
            <w:vAlign w:val="top"/>
          </w:tcPr>
          <w:p w14:paraId="319742B8">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笑气</w:t>
            </w:r>
          </w:p>
        </w:tc>
        <w:tc>
          <w:tcPr>
            <w:tcW w:w="6900" w:type="dxa"/>
            <w:shd w:val="clear" w:color="auto" w:fill="auto"/>
            <w:noWrap w:val="0"/>
            <w:vAlign w:val="top"/>
          </w:tcPr>
          <w:p w14:paraId="02BA8973">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每间手术室墙上设一组，每个吊塔上设一组，</w:t>
            </w:r>
            <w:r>
              <w:rPr>
                <w:rFonts w:hint="eastAsia" w:ascii="宋体" w:hAnsi="宋体" w:eastAsia="宋体" w:cs="宋体"/>
                <w:b w:val="0"/>
                <w:color w:val="auto"/>
                <w:spacing w:val="0"/>
                <w:kern w:val="2"/>
                <w:sz w:val="24"/>
                <w:szCs w:val="24"/>
                <w:highlight w:val="none"/>
                <w:lang w:val="en-US" w:eastAsia="zh-CN"/>
              </w:rPr>
              <w:t>吊塔仅预留</w:t>
            </w:r>
            <w:r>
              <w:rPr>
                <w:rFonts w:hint="eastAsia" w:ascii="宋体" w:hAnsi="宋体" w:eastAsia="宋体" w:cs="宋体"/>
                <w:b w:val="0"/>
                <w:color w:val="auto"/>
                <w:spacing w:val="0"/>
                <w:kern w:val="2"/>
                <w:sz w:val="24"/>
                <w:szCs w:val="24"/>
                <w:highlight w:val="none"/>
                <w:lang w:val="zh-CN"/>
              </w:rPr>
              <w:t>管道</w:t>
            </w:r>
          </w:p>
        </w:tc>
      </w:tr>
      <w:tr w14:paraId="0329A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01" w:type="dxa"/>
            <w:shd w:val="clear" w:color="auto" w:fill="auto"/>
            <w:noWrap w:val="0"/>
            <w:vAlign w:val="center"/>
          </w:tcPr>
          <w:p w14:paraId="5229B394">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二氧化碳</w:t>
            </w:r>
          </w:p>
        </w:tc>
        <w:tc>
          <w:tcPr>
            <w:tcW w:w="6900" w:type="dxa"/>
            <w:shd w:val="clear" w:color="auto" w:fill="auto"/>
            <w:noWrap w:val="0"/>
            <w:vAlign w:val="top"/>
          </w:tcPr>
          <w:p w14:paraId="7376DCE0">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每间手术室墙上设一组，每个吊塔上设一组，</w:t>
            </w:r>
            <w:r>
              <w:rPr>
                <w:rFonts w:hint="eastAsia" w:ascii="宋体" w:hAnsi="宋体" w:eastAsia="宋体" w:cs="宋体"/>
                <w:b w:val="0"/>
                <w:color w:val="auto"/>
                <w:spacing w:val="0"/>
                <w:kern w:val="2"/>
                <w:sz w:val="24"/>
                <w:szCs w:val="24"/>
                <w:highlight w:val="none"/>
                <w:lang w:val="en-US" w:eastAsia="zh-CN"/>
              </w:rPr>
              <w:t>吊塔仅预留</w:t>
            </w:r>
            <w:r>
              <w:rPr>
                <w:rFonts w:hint="eastAsia" w:ascii="宋体" w:hAnsi="宋体" w:eastAsia="宋体" w:cs="宋体"/>
                <w:b w:val="0"/>
                <w:color w:val="auto"/>
                <w:spacing w:val="0"/>
                <w:kern w:val="2"/>
                <w:sz w:val="24"/>
                <w:szCs w:val="24"/>
                <w:highlight w:val="none"/>
                <w:lang w:val="zh-CN"/>
              </w:rPr>
              <w:t>管道</w:t>
            </w:r>
          </w:p>
        </w:tc>
      </w:tr>
      <w:tr w14:paraId="75742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601" w:type="dxa"/>
            <w:shd w:val="clear" w:color="auto" w:fill="auto"/>
            <w:noWrap w:val="0"/>
            <w:vAlign w:val="center"/>
          </w:tcPr>
          <w:p w14:paraId="5E5D08BC">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氮气</w:t>
            </w:r>
          </w:p>
        </w:tc>
        <w:tc>
          <w:tcPr>
            <w:tcW w:w="6900" w:type="dxa"/>
            <w:shd w:val="clear" w:color="auto" w:fill="auto"/>
            <w:noWrap w:val="0"/>
            <w:vAlign w:val="top"/>
          </w:tcPr>
          <w:p w14:paraId="67424D5E">
            <w:pPr>
              <w:pStyle w:val="4"/>
              <w:keepNext w:val="0"/>
              <w:keepLines w:val="0"/>
              <w:pageBreakBefore w:val="0"/>
              <w:widowControl w:val="0"/>
              <w:shd w:val="clear"/>
              <w:kinsoku/>
              <w:wordWrap/>
              <w:overflowPunct/>
              <w:topLinePunct w:val="0"/>
              <w:autoSpaceDE/>
              <w:autoSpaceDN/>
              <w:bidi w:val="0"/>
              <w:adjustRightInd w:val="0"/>
              <w:snapToGrid w:val="0"/>
              <w:spacing w:before="0" w:beforeAutospacing="0" w:after="0" w:afterAutospacing="0" w:line="300" w:lineRule="auto"/>
              <w:ind w:left="0" w:leftChars="0" w:firstLine="0" w:firstLineChars="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rPr>
              <w:t>每间手术室墙上设一组，每个吊塔上设一组，</w:t>
            </w:r>
            <w:r>
              <w:rPr>
                <w:rFonts w:hint="eastAsia" w:ascii="宋体" w:hAnsi="宋体" w:eastAsia="宋体" w:cs="宋体"/>
                <w:b w:val="0"/>
                <w:color w:val="auto"/>
                <w:spacing w:val="0"/>
                <w:kern w:val="2"/>
                <w:sz w:val="24"/>
                <w:szCs w:val="24"/>
                <w:highlight w:val="none"/>
                <w:lang w:val="en-US" w:eastAsia="zh-CN"/>
              </w:rPr>
              <w:t>吊塔仅预留</w:t>
            </w:r>
            <w:r>
              <w:rPr>
                <w:rFonts w:hint="eastAsia" w:ascii="宋体" w:hAnsi="宋体" w:eastAsia="宋体" w:cs="宋体"/>
                <w:b w:val="0"/>
                <w:color w:val="auto"/>
                <w:spacing w:val="0"/>
                <w:kern w:val="2"/>
                <w:sz w:val="24"/>
                <w:szCs w:val="24"/>
                <w:highlight w:val="none"/>
                <w:lang w:val="zh-CN"/>
              </w:rPr>
              <w:t>管道</w:t>
            </w:r>
          </w:p>
        </w:tc>
      </w:tr>
    </w:tbl>
    <w:p w14:paraId="5C3B0C5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10.5</w:t>
      </w:r>
      <w:r>
        <w:rPr>
          <w:rFonts w:hint="eastAsia" w:ascii="宋体" w:hAnsi="宋体" w:eastAsia="宋体" w:cs="宋体"/>
          <w:b/>
          <w:bCs/>
          <w:color w:val="auto"/>
          <w:spacing w:val="0"/>
          <w:kern w:val="2"/>
          <w:sz w:val="24"/>
          <w:szCs w:val="24"/>
          <w:highlight w:val="none"/>
          <w:lang w:val="zh-CN"/>
        </w:rPr>
        <w:t>汇流排</w:t>
      </w:r>
    </w:p>
    <w:p w14:paraId="007566E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10.5.1</w:t>
      </w:r>
      <w:r>
        <w:rPr>
          <w:rFonts w:hint="eastAsia" w:ascii="宋体" w:hAnsi="宋体" w:eastAsia="宋体" w:cs="宋体"/>
          <w:b w:val="0"/>
          <w:color w:val="auto"/>
          <w:spacing w:val="0"/>
          <w:kern w:val="2"/>
          <w:sz w:val="24"/>
          <w:szCs w:val="24"/>
          <w:highlight w:val="none"/>
          <w:lang w:val="zh-CN"/>
        </w:rPr>
        <w:t>设置1+1半自动切换二氧化碳汇流排、1+1半自动笑气汇流排、2+2半自动切换氮气汇流排。配套自动切换柜、减压阀、安全阀、高压金属软管、角阀、托架、自动加热装置等。</w:t>
      </w:r>
    </w:p>
    <w:p w14:paraId="4472C50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10.5.2</w:t>
      </w:r>
      <w:r>
        <w:rPr>
          <w:rFonts w:hint="eastAsia" w:ascii="宋体" w:hAnsi="宋体" w:eastAsia="宋体" w:cs="宋体"/>
          <w:b w:val="0"/>
          <w:color w:val="auto"/>
          <w:spacing w:val="0"/>
          <w:kern w:val="2"/>
          <w:sz w:val="24"/>
          <w:szCs w:val="24"/>
          <w:highlight w:val="none"/>
          <w:lang w:val="zh-CN"/>
        </w:rPr>
        <w:t>医用气体气体汇流排站房及防泄漏、泄漏监测医用气体报警系统，量程：0~100%LEL；具有声光报警功能、采用进口传感器、通过3C认证；温度范围：-20℃≤Ta≤+60℃；响应时间：＜15S；工作电压：DC24V±10%；检测方式：自然扩散；防爆等级：Ex d ⅡC T6 Gb；输出信号：4~20mA 或 RS485；气体报警外壳防护等级：IP65；外壳材质：ZL102 铸铝合金；传感器透气元件：不锈钢烧结网；防爆设计、信号稳定、精度高、自然扩散；</w:t>
      </w:r>
    </w:p>
    <w:p w14:paraId="18F60818">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default" w:ascii="宋体" w:hAnsi="宋体" w:eastAsia="宋体" w:cs="宋体"/>
          <w:b/>
          <w:bCs/>
          <w:color w:val="auto"/>
          <w:spacing w:val="0"/>
          <w:kern w:val="2"/>
          <w:sz w:val="24"/>
          <w:szCs w:val="24"/>
          <w:highlight w:val="none"/>
          <w:lang w:val="en-US" w:eastAsia="zh-CN"/>
        </w:rPr>
      </w:pPr>
      <w:r>
        <w:rPr>
          <w:rFonts w:hint="eastAsia" w:ascii="宋体" w:hAnsi="宋体" w:eastAsia="宋体" w:cs="宋体"/>
          <w:b w:val="0"/>
          <w:color w:val="auto"/>
          <w:spacing w:val="0"/>
          <w:kern w:val="2"/>
          <w:sz w:val="24"/>
          <w:szCs w:val="24"/>
          <w:highlight w:val="none"/>
          <w:lang w:val="zh-CN"/>
        </w:rPr>
        <w:t>气体报警产品耐热耐寒性能、抗冲击性能、外壳防护等级、外壳耐压性能符合 GB3836.1及 GB3836.2 国家标准的检验报告。</w:t>
      </w:r>
      <w:r>
        <w:rPr>
          <w:rFonts w:hint="eastAsia" w:ascii="宋体" w:hAnsi="宋体" w:eastAsia="宋体" w:cs="宋体"/>
          <w:b/>
          <w:bCs/>
          <w:color w:val="auto"/>
          <w:spacing w:val="0"/>
          <w:kern w:val="2"/>
          <w:sz w:val="24"/>
          <w:szCs w:val="24"/>
          <w:highlight w:val="none"/>
          <w:lang w:val="en-US" w:eastAsia="zh-CN"/>
        </w:rPr>
        <w:t>投标文件中提供具有CMA认证的第三方检测机构出具的检测报告扫描件或复印件。</w:t>
      </w:r>
    </w:p>
    <w:p w14:paraId="3736FC1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10.6</w:t>
      </w:r>
      <w:r>
        <w:rPr>
          <w:rFonts w:hint="eastAsia" w:ascii="宋体" w:hAnsi="宋体" w:eastAsia="宋体" w:cs="宋体"/>
          <w:b/>
          <w:bCs/>
          <w:color w:val="auto"/>
          <w:spacing w:val="0"/>
          <w:kern w:val="2"/>
          <w:sz w:val="24"/>
          <w:szCs w:val="24"/>
          <w:highlight w:val="none"/>
          <w:lang w:val="zh-CN"/>
        </w:rPr>
        <w:t>医气用材</w:t>
      </w:r>
    </w:p>
    <w:p w14:paraId="60F55EB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10.6.</w:t>
      </w:r>
      <w:r>
        <w:rPr>
          <w:rFonts w:hint="eastAsia" w:ascii="宋体" w:hAnsi="宋体" w:eastAsia="宋体" w:cs="宋体"/>
          <w:b w:val="0"/>
          <w:color w:val="auto"/>
          <w:spacing w:val="0"/>
          <w:kern w:val="2"/>
          <w:sz w:val="24"/>
          <w:szCs w:val="24"/>
          <w:highlight w:val="none"/>
          <w:lang w:val="zh-CN"/>
        </w:rPr>
        <w:t>1管道均为紫铜管。废气管道采用高强度PVC管。</w:t>
      </w:r>
    </w:p>
    <w:p w14:paraId="461D54F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10.6.</w:t>
      </w:r>
      <w:r>
        <w:rPr>
          <w:rFonts w:hint="eastAsia" w:ascii="宋体" w:hAnsi="宋体" w:eastAsia="宋体" w:cs="宋体"/>
          <w:b w:val="0"/>
          <w:color w:val="auto"/>
          <w:spacing w:val="0"/>
          <w:kern w:val="2"/>
          <w:sz w:val="24"/>
          <w:szCs w:val="24"/>
          <w:highlight w:val="none"/>
          <w:lang w:val="zh-CN"/>
        </w:rPr>
        <w:t>2氧气输出口支管均为∅10，负压吸引输出口支管为∅12，空气输出口支管均为∅10，二氧化碳输出口支管均为∅10，笑气输出口支管均为∅10，氮气输出口支管均为∅12，废气输出口支管均为D</w:t>
      </w:r>
      <w:r>
        <w:rPr>
          <w:rFonts w:hint="eastAsia" w:ascii="宋体" w:hAnsi="宋体" w:eastAsia="宋体" w:cs="宋体"/>
          <w:b w:val="0"/>
          <w:color w:val="auto"/>
          <w:spacing w:val="0"/>
          <w:kern w:val="2"/>
          <w:sz w:val="24"/>
          <w:szCs w:val="24"/>
          <w:highlight w:val="none"/>
          <w:lang w:val="en-US" w:eastAsia="zh-CN"/>
        </w:rPr>
        <w:t>e</w:t>
      </w:r>
      <w:r>
        <w:rPr>
          <w:rFonts w:hint="eastAsia" w:ascii="宋体" w:hAnsi="宋体" w:eastAsia="宋体" w:cs="宋体"/>
          <w:b w:val="0"/>
          <w:color w:val="auto"/>
          <w:spacing w:val="0"/>
          <w:kern w:val="2"/>
          <w:sz w:val="24"/>
          <w:szCs w:val="24"/>
          <w:highlight w:val="none"/>
          <w:lang w:val="zh-CN"/>
        </w:rPr>
        <w:t>20。</w:t>
      </w:r>
    </w:p>
    <w:p w14:paraId="51085C6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10.6.3</w:t>
      </w:r>
      <w:r>
        <w:rPr>
          <w:rFonts w:hint="eastAsia" w:ascii="宋体" w:hAnsi="宋体" w:eastAsia="宋体" w:cs="宋体"/>
          <w:b w:val="0"/>
          <w:color w:val="auto"/>
          <w:spacing w:val="0"/>
          <w:kern w:val="2"/>
          <w:sz w:val="24"/>
          <w:szCs w:val="24"/>
          <w:highlight w:val="none"/>
          <w:lang w:val="zh-CN"/>
        </w:rPr>
        <w:t>铜管须通过四种有害物质铅、汞、镉、六价铬的测定，检测结果为合格。</w:t>
      </w:r>
    </w:p>
    <w:p w14:paraId="0D5DBB0B">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10.7</w:t>
      </w:r>
      <w:r>
        <w:rPr>
          <w:rFonts w:hint="eastAsia" w:ascii="宋体" w:hAnsi="宋体" w:eastAsia="宋体" w:cs="宋体"/>
          <w:b/>
          <w:bCs/>
          <w:color w:val="auto"/>
          <w:spacing w:val="0"/>
          <w:kern w:val="2"/>
          <w:sz w:val="24"/>
          <w:szCs w:val="24"/>
          <w:highlight w:val="none"/>
          <w:lang w:val="zh-CN"/>
        </w:rPr>
        <w:t>施工及安装要求</w:t>
      </w:r>
    </w:p>
    <w:p w14:paraId="4936D2C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1管道标高均指管中心标高，标高以米计，其余尺寸以毫米计。</w:t>
      </w:r>
    </w:p>
    <w:p w14:paraId="0CBFC73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2氧气、空气和吸引气源引自大楼中心气体站，由业主负责将气体主管道引到楼层医气管井或净化区域。</w:t>
      </w:r>
    </w:p>
    <w:p w14:paraId="52CA6AEF">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3楼层医气阀门箱具备稳压和报警功能。办公室设有气体报警装置，手术室气体报警装置位于多功能控制情报面板上。</w:t>
      </w:r>
    </w:p>
    <w:p w14:paraId="154CDB8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4每层氧气干管上，设手动关闭阀，当发生火灾时，由消防控制中心通知关闭手动切断阀。</w:t>
      </w:r>
    </w:p>
    <w:p w14:paraId="2FB6AA3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5所有管道在施工前必须进行检查，清除杂物，防止杂物进入管内。严禁油类进入管道系统．</w:t>
      </w:r>
    </w:p>
    <w:p w14:paraId="137CD843">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6医用气体的管道、管件、仪表、阀门和其它一切接触医气的附件，在安装前都必须清洗内部并进行脱脂处理，用无油压缩空气或氮气吹净。</w:t>
      </w:r>
    </w:p>
    <w:p w14:paraId="05EE813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7医用气体横管敷设在走廊吊顶内，当管道与混凝土柱，梁相遇时，一律绕梁、柱安装。</w:t>
      </w:r>
    </w:p>
    <w:p w14:paraId="3901ED6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8所有气体管道均需i=0.003坡度，支管坡向主管，横管坡向立管。吸引立管底部应安装三通丝堵。</w:t>
      </w:r>
    </w:p>
    <w:p w14:paraId="70C50404">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9管道穿墙，楼板时须加套管，套管直径比被套管大二档，上口高出地面50mm，下口与楼板平。套管与管道间的空隙，用防火材料填实。套管内的管段不应有焊缝和接头。氧气管道不允许和导电线路、电缆交叉接触，防止漏电火花击穿管道造成事故。</w:t>
      </w:r>
    </w:p>
    <w:p w14:paraId="210B170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10各种医用气体管道应有可靠接地装置，接地电阻＜10Ω。</w:t>
      </w:r>
    </w:p>
    <w:p w14:paraId="7329FF3A">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10.7.</w:t>
      </w:r>
      <w:r>
        <w:rPr>
          <w:rFonts w:hint="eastAsia" w:ascii="宋体" w:hAnsi="宋体" w:eastAsia="宋体" w:cs="宋体"/>
          <w:b w:val="0"/>
          <w:color w:val="auto"/>
          <w:spacing w:val="0"/>
          <w:kern w:val="2"/>
          <w:sz w:val="24"/>
          <w:szCs w:val="24"/>
          <w:highlight w:val="none"/>
          <w:lang w:val="zh-CN"/>
        </w:rPr>
        <w:t>11医气管道上应标明气体流向，并做好分段标识，一般氧气管刷绿色，吸引管刷白色，压缩空气管刷黄色。</w:t>
      </w:r>
    </w:p>
    <w:p w14:paraId="7831BD8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10.8</w:t>
      </w:r>
      <w:r>
        <w:rPr>
          <w:rFonts w:hint="eastAsia" w:ascii="宋体" w:hAnsi="宋体" w:eastAsia="宋体" w:cs="宋体"/>
          <w:b/>
          <w:bCs/>
          <w:color w:val="auto"/>
          <w:spacing w:val="0"/>
          <w:kern w:val="2"/>
          <w:sz w:val="24"/>
          <w:szCs w:val="24"/>
          <w:highlight w:val="none"/>
          <w:lang w:val="zh-CN"/>
        </w:rPr>
        <w:t>区域压力监测报警装置</w:t>
      </w:r>
    </w:p>
    <w:p w14:paraId="02D49E8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10.8.1</w:t>
      </w:r>
      <w:r>
        <w:rPr>
          <w:rFonts w:hint="eastAsia" w:ascii="宋体" w:hAnsi="宋体" w:eastAsia="宋体" w:cs="宋体"/>
          <w:b w:val="0"/>
          <w:color w:val="auto"/>
          <w:spacing w:val="0"/>
          <w:kern w:val="2"/>
          <w:sz w:val="24"/>
          <w:szCs w:val="24"/>
          <w:highlight w:val="none"/>
          <w:lang w:val="zh-CN"/>
        </w:rPr>
        <w:t>为保证系统供气安全，设有压力监测报警装置，当供气系统压力低于或高于设定压力时</w:t>
      </w:r>
      <w:r>
        <w:rPr>
          <w:rFonts w:hint="eastAsia" w:ascii="宋体" w:hAnsi="宋体" w:eastAsia="宋体" w:cs="宋体"/>
          <w:b w:val="0"/>
          <w:color w:val="auto"/>
          <w:spacing w:val="0"/>
          <w:kern w:val="2"/>
          <w:sz w:val="24"/>
          <w:szCs w:val="24"/>
          <w:highlight w:val="none"/>
          <w:lang w:val="en-US" w:eastAsia="zh-CN"/>
        </w:rPr>
        <w:t>，</w:t>
      </w:r>
      <w:r>
        <w:rPr>
          <w:rFonts w:hint="eastAsia" w:ascii="宋体" w:hAnsi="宋体" w:eastAsia="宋体" w:cs="宋体"/>
          <w:b w:val="0"/>
          <w:color w:val="auto"/>
          <w:spacing w:val="0"/>
          <w:kern w:val="2"/>
          <w:sz w:val="24"/>
          <w:szCs w:val="24"/>
          <w:highlight w:val="none"/>
          <w:lang w:val="zh-CN"/>
        </w:rPr>
        <w:t>应有声、光同时报警。</w:t>
      </w:r>
    </w:p>
    <w:p w14:paraId="44CF0A2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10.8.2</w:t>
      </w:r>
      <w:r>
        <w:rPr>
          <w:rFonts w:hint="eastAsia" w:ascii="宋体" w:hAnsi="宋体" w:eastAsia="宋体" w:cs="宋体"/>
          <w:b w:val="0"/>
          <w:color w:val="auto"/>
          <w:spacing w:val="0"/>
          <w:kern w:val="2"/>
          <w:sz w:val="24"/>
          <w:szCs w:val="24"/>
          <w:highlight w:val="none"/>
          <w:lang w:val="zh-CN"/>
        </w:rPr>
        <w:t>区域压力监测报警装置应具备如下功能：</w:t>
      </w:r>
    </w:p>
    <w:p w14:paraId="29A5C52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1</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 xml:space="preserve">对每一监视项目必须要有声光报警，每一报警器均须有可静音(蜂鸣器可暂时关闭)的警示装置。 </w:t>
      </w:r>
    </w:p>
    <w:p w14:paraId="0903C917">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 xml:space="preserve">报警器的灯光报警显示应维持在报警状态直至异常现象消除为止。  </w:t>
      </w:r>
    </w:p>
    <w:p w14:paraId="0535988D">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3</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声音报警在静音时，如果有其它新警示状况产生时，应立即重新启动。</w:t>
      </w:r>
    </w:p>
    <w:p w14:paraId="7776014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en-US" w:eastAsia="zh-CN"/>
        </w:rPr>
        <w:t>4</w:t>
      </w:r>
      <w:r>
        <w:rPr>
          <w:rFonts w:hint="eastAsia" w:ascii="宋体" w:hAnsi="宋体" w:eastAsia="宋体" w:cs="宋体"/>
          <w:b w:val="0"/>
          <w:color w:val="auto"/>
          <w:spacing w:val="0"/>
          <w:kern w:val="2"/>
          <w:sz w:val="24"/>
          <w:szCs w:val="24"/>
          <w:highlight w:val="none"/>
          <w:lang w:val="zh-CN" w:eastAsia="zh"/>
        </w:rPr>
        <w:t>）</w:t>
      </w:r>
      <w:r>
        <w:rPr>
          <w:rFonts w:hint="eastAsia" w:ascii="宋体" w:hAnsi="宋体" w:eastAsia="宋体" w:cs="宋体"/>
          <w:b w:val="0"/>
          <w:color w:val="auto"/>
          <w:spacing w:val="0"/>
          <w:kern w:val="2"/>
          <w:sz w:val="24"/>
          <w:szCs w:val="24"/>
          <w:highlight w:val="none"/>
          <w:lang w:val="zh-CN"/>
        </w:rPr>
        <w:t>可显示各路气体管路的压力。气体管路压力超出额定压力±20%时超压、欠压声光报警。</w:t>
      </w:r>
    </w:p>
    <w:p w14:paraId="101B1992">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color w:val="auto"/>
          <w:spacing w:val="0"/>
          <w:kern w:val="0"/>
          <w:sz w:val="24"/>
          <w:szCs w:val="24"/>
          <w:highlight w:val="none"/>
          <w:lang w:val="en-US"/>
        </w:rPr>
      </w:pPr>
      <w:r>
        <w:rPr>
          <w:rFonts w:hint="eastAsia" w:ascii="宋体" w:hAnsi="宋体" w:eastAsia="宋体" w:cs="宋体"/>
          <w:b w:val="0"/>
          <w:color w:val="auto"/>
          <w:spacing w:val="0"/>
          <w:kern w:val="2"/>
          <w:sz w:val="24"/>
          <w:szCs w:val="24"/>
          <w:highlight w:val="none"/>
          <w:lang w:val="en-US" w:eastAsia="zh-CN"/>
        </w:rPr>
        <w:t>10.8.3</w:t>
      </w:r>
      <w:r>
        <w:rPr>
          <w:rFonts w:hint="eastAsia" w:ascii="宋体" w:hAnsi="宋体" w:eastAsia="宋体" w:cs="宋体"/>
          <w:b/>
          <w:bCs/>
          <w:color w:val="auto"/>
          <w:spacing w:val="0"/>
          <w:kern w:val="2"/>
          <w:sz w:val="24"/>
          <w:szCs w:val="24"/>
          <w:highlight w:val="none"/>
          <w:lang w:val="zh-CN"/>
        </w:rPr>
        <w:t>气体报警箱要求六种限用物质铅、汞、镉、六价铬、多溴联苯和多溴二苯醚满足国家要求。</w:t>
      </w:r>
      <w:r>
        <w:rPr>
          <w:rFonts w:hint="eastAsia" w:ascii="宋体" w:hAnsi="宋体" w:eastAsia="宋体" w:cs="宋体"/>
          <w:color w:val="auto"/>
          <w:sz w:val="24"/>
          <w:szCs w:val="24"/>
          <w:highlight w:val="none"/>
          <w:lang w:val="en-US" w:eastAsia="zh-CN"/>
        </w:rPr>
        <w:t>投标文件中</w:t>
      </w:r>
      <w:r>
        <w:rPr>
          <w:rFonts w:hint="eastAsia" w:ascii="宋体" w:hAnsi="宋体" w:eastAsia="宋体" w:cs="宋体"/>
          <w:b/>
          <w:bCs w:val="0"/>
          <w:color w:val="auto"/>
          <w:kern w:val="0"/>
          <w:sz w:val="24"/>
          <w:szCs w:val="24"/>
          <w:highlight w:val="none"/>
          <w:lang w:val="en-US"/>
        </w:rPr>
        <w:t>提供</w:t>
      </w:r>
      <w:r>
        <w:rPr>
          <w:rFonts w:hint="eastAsia" w:ascii="宋体" w:hAnsi="宋体" w:eastAsia="宋体" w:cs="宋体"/>
          <w:b/>
          <w:bCs w:val="0"/>
          <w:color w:val="auto"/>
          <w:kern w:val="0"/>
          <w:sz w:val="24"/>
          <w:szCs w:val="24"/>
          <w:highlight w:val="none"/>
          <w:lang w:val="en-US" w:eastAsia="zh-CN"/>
        </w:rPr>
        <w:t>具有CMA认证的</w:t>
      </w:r>
      <w:r>
        <w:rPr>
          <w:rFonts w:hint="eastAsia" w:ascii="宋体" w:hAnsi="宋体" w:eastAsia="宋体" w:cs="宋体"/>
          <w:b/>
          <w:bCs w:val="0"/>
          <w:color w:val="auto"/>
          <w:kern w:val="0"/>
          <w:sz w:val="24"/>
          <w:szCs w:val="24"/>
          <w:highlight w:val="none"/>
          <w:lang w:val="en-US"/>
        </w:rPr>
        <w:t>第三方</w:t>
      </w:r>
      <w:r>
        <w:rPr>
          <w:rFonts w:hint="eastAsia" w:ascii="宋体" w:hAnsi="宋体" w:eastAsia="宋体" w:cs="宋体"/>
          <w:b/>
          <w:bCs w:val="0"/>
          <w:color w:val="auto"/>
          <w:kern w:val="0"/>
          <w:sz w:val="24"/>
          <w:szCs w:val="24"/>
          <w:highlight w:val="none"/>
          <w:lang w:val="en-US" w:eastAsia="zh-CN"/>
        </w:rPr>
        <w:t>检测机构出具的</w:t>
      </w:r>
      <w:r>
        <w:rPr>
          <w:rFonts w:hint="eastAsia" w:ascii="宋体" w:hAnsi="宋体" w:eastAsia="宋体" w:cs="宋体"/>
          <w:b/>
          <w:bCs w:val="0"/>
          <w:color w:val="auto"/>
          <w:kern w:val="0"/>
          <w:sz w:val="24"/>
          <w:szCs w:val="24"/>
          <w:highlight w:val="none"/>
          <w:lang w:val="en-US"/>
        </w:rPr>
        <w:t>检测报告</w:t>
      </w:r>
      <w:r>
        <w:rPr>
          <w:rFonts w:hint="eastAsia" w:ascii="宋体" w:hAnsi="宋体" w:eastAsia="宋体" w:cs="宋体"/>
          <w:b/>
          <w:bCs w:val="0"/>
          <w:color w:val="auto"/>
          <w:kern w:val="0"/>
          <w:sz w:val="24"/>
          <w:szCs w:val="24"/>
          <w:highlight w:val="none"/>
          <w:lang w:val="en-US" w:eastAsia="zh-CN"/>
        </w:rPr>
        <w:t>扫描件或复印件。</w:t>
      </w:r>
    </w:p>
    <w:p w14:paraId="00FBBCD9">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10.8.4</w:t>
      </w:r>
      <w:r>
        <w:rPr>
          <w:rFonts w:hint="eastAsia" w:ascii="宋体" w:hAnsi="宋体" w:eastAsia="宋体" w:cs="宋体"/>
          <w:b w:val="0"/>
          <w:color w:val="auto"/>
          <w:spacing w:val="0"/>
          <w:kern w:val="2"/>
          <w:sz w:val="24"/>
          <w:szCs w:val="24"/>
          <w:highlight w:val="none"/>
          <w:lang w:val="zh-CN"/>
        </w:rPr>
        <w:t>报警箱符合GB9706.1-2007《医用电气设备第1部分：安全通用要求》。</w:t>
      </w:r>
    </w:p>
    <w:p w14:paraId="7954A19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eastAsia="zh-CN"/>
        </w:rPr>
      </w:pPr>
      <w:r>
        <w:rPr>
          <w:rFonts w:hint="eastAsia" w:ascii="宋体" w:hAnsi="宋体" w:eastAsia="宋体" w:cs="宋体"/>
          <w:b/>
          <w:bCs/>
          <w:color w:val="auto"/>
          <w:spacing w:val="0"/>
          <w:kern w:val="2"/>
          <w:sz w:val="24"/>
          <w:szCs w:val="24"/>
          <w:highlight w:val="none"/>
          <w:lang w:val="en-US" w:eastAsia="zh-CN"/>
        </w:rPr>
        <w:t>10.9</w:t>
      </w:r>
      <w:r>
        <w:rPr>
          <w:rFonts w:hint="eastAsia" w:ascii="宋体" w:hAnsi="宋体" w:eastAsia="宋体" w:cs="宋体"/>
          <w:b/>
          <w:bCs/>
          <w:color w:val="auto"/>
          <w:spacing w:val="0"/>
          <w:kern w:val="2"/>
          <w:sz w:val="24"/>
          <w:szCs w:val="24"/>
          <w:highlight w:val="none"/>
          <w:lang w:val="zh-CN"/>
        </w:rPr>
        <w:t>医用设备带及附件</w:t>
      </w:r>
    </w:p>
    <w:p w14:paraId="3A652075">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10.9.1</w:t>
      </w:r>
      <w:r>
        <w:rPr>
          <w:rFonts w:hint="eastAsia" w:ascii="宋体" w:hAnsi="宋体" w:eastAsia="宋体" w:cs="宋体"/>
          <w:b w:val="0"/>
          <w:color w:val="auto"/>
          <w:spacing w:val="0"/>
          <w:kern w:val="2"/>
          <w:sz w:val="24"/>
          <w:szCs w:val="24"/>
          <w:highlight w:val="none"/>
          <w:lang w:val="zh-CN"/>
        </w:rPr>
        <w:t>医用设备带要求铝制一体成型，设备带尺寸</w:t>
      </w:r>
      <w:r>
        <w:rPr>
          <w:rFonts w:hint="eastAsia" w:ascii="宋体" w:hAnsi="宋体" w:eastAsia="宋体" w:cs="宋体"/>
          <w:color w:val="auto"/>
          <w:spacing w:val="0"/>
          <w:sz w:val="24"/>
          <w:szCs w:val="24"/>
          <w:highlight w:val="none"/>
          <w:lang w:eastAsia="zh-CN"/>
        </w:rPr>
        <w:t>≤</w:t>
      </w:r>
      <w:r>
        <w:rPr>
          <w:rFonts w:hint="eastAsia" w:ascii="宋体" w:hAnsi="宋体" w:eastAsia="宋体" w:cs="宋体"/>
          <w:b w:val="0"/>
          <w:color w:val="auto"/>
          <w:spacing w:val="0"/>
          <w:kern w:val="2"/>
          <w:sz w:val="24"/>
          <w:szCs w:val="24"/>
          <w:highlight w:val="none"/>
          <w:lang w:val="zh-CN"/>
        </w:rPr>
        <w:t>2</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rPr>
        <w:t>0×60，铝材平均壁厚≥</w:t>
      </w:r>
      <w:r>
        <w:rPr>
          <w:rFonts w:hint="eastAsia" w:ascii="宋体" w:hAnsi="宋体" w:eastAsia="宋体" w:cs="宋体"/>
          <w:b w:val="0"/>
          <w:color w:val="auto"/>
          <w:spacing w:val="0"/>
          <w:kern w:val="2"/>
          <w:sz w:val="24"/>
          <w:szCs w:val="24"/>
          <w:highlight w:val="none"/>
          <w:lang w:val="en-US" w:eastAsia="zh-CN"/>
        </w:rPr>
        <w:t>2</w:t>
      </w:r>
      <w:r>
        <w:rPr>
          <w:rFonts w:hint="eastAsia" w:ascii="宋体" w:hAnsi="宋体" w:eastAsia="宋体" w:cs="宋体"/>
          <w:b w:val="0"/>
          <w:color w:val="auto"/>
          <w:spacing w:val="0"/>
          <w:kern w:val="2"/>
          <w:sz w:val="24"/>
          <w:szCs w:val="24"/>
          <w:highlight w:val="none"/>
          <w:lang w:val="zh-CN"/>
        </w:rPr>
        <w:t xml:space="preserve">mm，表面采用静电喷涂处理，颜色及款式可由院方选择。 </w:t>
      </w:r>
    </w:p>
    <w:p w14:paraId="6F031010">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10.9.2</w:t>
      </w:r>
      <w:r>
        <w:rPr>
          <w:rFonts w:hint="eastAsia" w:ascii="宋体" w:hAnsi="宋体" w:eastAsia="宋体" w:cs="宋体"/>
          <w:b w:val="0"/>
          <w:color w:val="auto"/>
          <w:spacing w:val="0"/>
          <w:kern w:val="2"/>
          <w:sz w:val="24"/>
          <w:szCs w:val="24"/>
          <w:highlight w:val="none"/>
          <w:lang w:val="zh-CN"/>
        </w:rPr>
        <w:t>医用设备带为三腔结构，面板可采用活动扣板式设计或整体式设计。</w:t>
      </w:r>
    </w:p>
    <w:p w14:paraId="79E22FD6">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0"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val="0"/>
          <w:color w:val="auto"/>
          <w:spacing w:val="0"/>
          <w:kern w:val="2"/>
          <w:sz w:val="24"/>
          <w:szCs w:val="24"/>
          <w:highlight w:val="none"/>
          <w:lang w:val="en-US" w:eastAsia="zh-CN"/>
        </w:rPr>
        <w:t>10.9.3</w:t>
      </w:r>
      <w:r>
        <w:rPr>
          <w:rFonts w:hint="eastAsia" w:ascii="宋体" w:hAnsi="宋体" w:eastAsia="宋体" w:cs="宋体"/>
          <w:b w:val="0"/>
          <w:color w:val="auto"/>
          <w:spacing w:val="0"/>
          <w:kern w:val="2"/>
          <w:sz w:val="24"/>
          <w:szCs w:val="24"/>
          <w:highlight w:val="none"/>
          <w:lang w:val="zh-CN"/>
        </w:rPr>
        <w:t>病房医用设备带靠床头墙壁安装，便于护士操作。设备带安装高度为中心距地1.4米。</w:t>
      </w:r>
    </w:p>
    <w:p w14:paraId="52D2E67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10.10</w:t>
      </w:r>
      <w:r>
        <w:rPr>
          <w:rFonts w:hint="eastAsia" w:ascii="宋体" w:hAnsi="宋体" w:eastAsia="宋体" w:cs="宋体"/>
          <w:b/>
          <w:bCs/>
          <w:color w:val="auto"/>
          <w:spacing w:val="0"/>
          <w:kern w:val="2"/>
          <w:sz w:val="24"/>
          <w:szCs w:val="24"/>
          <w:highlight w:val="none"/>
          <w:lang w:val="zh-CN"/>
        </w:rPr>
        <w:t>医用气体终端：</w:t>
      </w:r>
    </w:p>
    <w:p w14:paraId="0C2FEACC">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val="0"/>
          <w:color w:val="auto"/>
          <w:spacing w:val="0"/>
          <w:kern w:val="2"/>
          <w:sz w:val="24"/>
          <w:szCs w:val="24"/>
          <w:highlight w:val="none"/>
          <w:lang w:val="zh-CN"/>
        </w:rPr>
      </w:pPr>
      <w:r>
        <w:rPr>
          <w:rFonts w:hint="eastAsia" w:ascii="宋体" w:hAnsi="宋体" w:eastAsia="宋体" w:cs="宋体"/>
          <w:b/>
          <w:bCs/>
          <w:color w:val="auto"/>
          <w:spacing w:val="0"/>
          <w:kern w:val="2"/>
          <w:sz w:val="24"/>
          <w:szCs w:val="24"/>
          <w:highlight w:val="none"/>
          <w:lang w:val="en-US" w:eastAsia="zh-CN"/>
        </w:rPr>
        <w:t>10.10.1</w:t>
      </w:r>
      <w:r>
        <w:rPr>
          <w:rFonts w:hint="eastAsia" w:ascii="宋体" w:hAnsi="宋体" w:eastAsia="宋体" w:cs="宋体"/>
          <w:b w:val="0"/>
          <w:color w:val="auto"/>
          <w:spacing w:val="0"/>
          <w:kern w:val="2"/>
          <w:sz w:val="24"/>
          <w:szCs w:val="24"/>
          <w:highlight w:val="none"/>
          <w:lang w:val="zh-CN"/>
        </w:rPr>
        <w:t>采用快速插拔自封式接头，德标制式。所有气体的终端插头不可互换，并用颜色来区分气体种类；高气密性、国际标准面模颜色；操作简便，可实现单手操作。</w:t>
      </w:r>
    </w:p>
    <w:p w14:paraId="3D708C11">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kern w:val="2"/>
          <w:sz w:val="24"/>
          <w:szCs w:val="24"/>
          <w:highlight w:val="none"/>
          <w:lang w:val="zh-CN"/>
        </w:rPr>
      </w:pPr>
      <w:r>
        <w:rPr>
          <w:rFonts w:hint="eastAsia" w:ascii="宋体" w:hAnsi="宋体" w:eastAsia="宋体" w:cs="宋体"/>
          <w:b/>
          <w:bCs/>
          <w:color w:val="auto"/>
          <w:sz w:val="24"/>
          <w:szCs w:val="24"/>
          <w:highlight w:val="none"/>
          <w:u w:val="none"/>
          <w:lang w:val="en-US" w:eastAsia="zh-CN"/>
        </w:rPr>
        <w:t>▲</w:t>
      </w:r>
      <w:r>
        <w:rPr>
          <w:rFonts w:hint="eastAsia" w:ascii="宋体" w:hAnsi="宋体" w:eastAsia="宋体" w:cs="宋体"/>
          <w:b/>
          <w:bCs/>
          <w:color w:val="auto"/>
          <w:spacing w:val="0"/>
          <w:kern w:val="2"/>
          <w:sz w:val="24"/>
          <w:szCs w:val="24"/>
          <w:highlight w:val="none"/>
          <w:lang w:val="en-US" w:eastAsia="zh-CN"/>
        </w:rPr>
        <w:t>10.10.2</w:t>
      </w:r>
      <w:r>
        <w:rPr>
          <w:rFonts w:hint="eastAsia" w:ascii="宋体" w:hAnsi="宋体" w:eastAsia="宋体" w:cs="宋体"/>
          <w:b/>
          <w:bCs/>
          <w:color w:val="auto"/>
          <w:kern w:val="2"/>
          <w:sz w:val="24"/>
          <w:szCs w:val="24"/>
          <w:highlight w:val="none"/>
          <w:lang w:val="zh-CN"/>
        </w:rPr>
        <w:t>气体终端技术要求：为保证产品的耐久性，插拔极限次数不少于</w:t>
      </w:r>
      <w:r>
        <w:rPr>
          <w:rFonts w:hint="eastAsia" w:ascii="宋体" w:hAnsi="宋体" w:eastAsia="宋体" w:cs="宋体"/>
          <w:b/>
          <w:bCs/>
          <w:color w:val="auto"/>
          <w:kern w:val="2"/>
          <w:sz w:val="24"/>
          <w:szCs w:val="24"/>
          <w:highlight w:val="none"/>
          <w:lang w:val="en-US" w:eastAsia="zh-CN"/>
        </w:rPr>
        <w:t>5</w:t>
      </w:r>
      <w:r>
        <w:rPr>
          <w:rFonts w:hint="eastAsia" w:ascii="宋体" w:hAnsi="宋体" w:eastAsia="宋体" w:cs="宋体"/>
          <w:b/>
          <w:bCs/>
          <w:color w:val="auto"/>
          <w:kern w:val="2"/>
          <w:sz w:val="24"/>
          <w:szCs w:val="24"/>
          <w:highlight w:val="none"/>
          <w:lang w:val="zh-CN"/>
        </w:rPr>
        <w:t>0000次。</w:t>
      </w:r>
      <w:r>
        <w:rPr>
          <w:rFonts w:hint="eastAsia" w:ascii="宋体" w:hAnsi="宋体" w:eastAsia="宋体" w:cs="宋体"/>
          <w:color w:val="auto"/>
          <w:sz w:val="24"/>
          <w:szCs w:val="24"/>
          <w:highlight w:val="none"/>
          <w:lang w:val="en-US" w:eastAsia="zh-CN"/>
        </w:rPr>
        <w:t>投标文件中</w:t>
      </w:r>
      <w:r>
        <w:rPr>
          <w:rFonts w:hint="eastAsia" w:ascii="宋体" w:hAnsi="宋体" w:eastAsia="宋体" w:cs="宋体"/>
          <w:b/>
          <w:bCs/>
          <w:color w:val="auto"/>
          <w:kern w:val="2"/>
          <w:sz w:val="24"/>
          <w:szCs w:val="24"/>
          <w:highlight w:val="none"/>
          <w:lang w:val="zh-CN"/>
        </w:rPr>
        <w:t>提供具有</w:t>
      </w:r>
      <w:r>
        <w:rPr>
          <w:rFonts w:hint="eastAsia" w:ascii="宋体" w:hAnsi="宋体" w:eastAsia="宋体" w:cs="宋体"/>
          <w:b/>
          <w:bCs/>
          <w:color w:val="auto"/>
          <w:kern w:val="2"/>
          <w:sz w:val="24"/>
          <w:szCs w:val="24"/>
          <w:highlight w:val="none"/>
          <w:lang w:val="en-US"/>
        </w:rPr>
        <w:t>CMA</w:t>
      </w:r>
      <w:r>
        <w:rPr>
          <w:rFonts w:hint="eastAsia" w:ascii="宋体" w:hAnsi="宋体" w:eastAsia="宋体" w:cs="宋体"/>
          <w:b/>
          <w:bCs/>
          <w:color w:val="auto"/>
          <w:kern w:val="2"/>
          <w:sz w:val="24"/>
          <w:szCs w:val="24"/>
          <w:highlight w:val="none"/>
          <w:lang w:val="en-US" w:eastAsia="zh-CN"/>
        </w:rPr>
        <w:t>认证的</w:t>
      </w:r>
      <w:r>
        <w:rPr>
          <w:rFonts w:hint="eastAsia" w:ascii="宋体" w:hAnsi="宋体" w:eastAsia="宋体" w:cs="宋体"/>
          <w:b/>
          <w:bCs/>
          <w:color w:val="auto"/>
          <w:kern w:val="2"/>
          <w:sz w:val="24"/>
          <w:szCs w:val="24"/>
          <w:highlight w:val="none"/>
          <w:lang w:val="zh-CN"/>
        </w:rPr>
        <w:t>第三方检测机构出具的检测报告</w:t>
      </w:r>
      <w:r>
        <w:rPr>
          <w:rFonts w:hint="eastAsia" w:ascii="宋体" w:hAnsi="宋体" w:eastAsia="宋体" w:cs="宋体"/>
          <w:b/>
          <w:bCs/>
          <w:color w:val="auto"/>
          <w:kern w:val="2"/>
          <w:sz w:val="24"/>
          <w:szCs w:val="24"/>
          <w:highlight w:val="none"/>
          <w:lang w:val="en-US" w:eastAsia="zh-CN"/>
        </w:rPr>
        <w:t>扫描件或复印件</w:t>
      </w:r>
      <w:r>
        <w:rPr>
          <w:rFonts w:hint="eastAsia" w:ascii="宋体" w:hAnsi="宋体" w:eastAsia="宋体" w:cs="宋体"/>
          <w:b/>
          <w:bCs/>
          <w:color w:val="auto"/>
          <w:kern w:val="2"/>
          <w:sz w:val="24"/>
          <w:szCs w:val="24"/>
          <w:highlight w:val="none"/>
          <w:lang w:val="zh-CN"/>
        </w:rPr>
        <w:t>。</w:t>
      </w:r>
    </w:p>
    <w:p w14:paraId="4FADA1B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kern w:val="2"/>
          <w:sz w:val="24"/>
          <w:szCs w:val="24"/>
          <w:highlight w:val="none"/>
          <w:lang w:val="zh-CN"/>
        </w:rPr>
      </w:pPr>
      <w:r>
        <w:rPr>
          <w:rFonts w:hint="eastAsia" w:ascii="宋体" w:hAnsi="宋体" w:eastAsia="宋体" w:cs="宋体"/>
          <w:b/>
          <w:bCs/>
          <w:color w:val="auto"/>
          <w:kern w:val="2"/>
          <w:sz w:val="24"/>
          <w:szCs w:val="24"/>
          <w:highlight w:val="none"/>
          <w:lang w:val="en-US" w:eastAsia="zh-CN"/>
        </w:rPr>
        <w:t>10.10.3</w:t>
      </w:r>
      <w:r>
        <w:rPr>
          <w:rFonts w:hint="eastAsia" w:ascii="宋体" w:hAnsi="宋体" w:eastAsia="宋体" w:cs="宋体"/>
          <w:b/>
          <w:bCs/>
          <w:color w:val="auto"/>
          <w:kern w:val="2"/>
          <w:sz w:val="24"/>
          <w:szCs w:val="24"/>
          <w:highlight w:val="none"/>
          <w:lang w:val="zh-CN"/>
        </w:rPr>
        <w:t>气体终端主体材质为铜制，具备防锈、防盐雾的性能。气体终端具备抗霉菌性能，不含铅、铬、汞等重金属。</w:t>
      </w:r>
    </w:p>
    <w:p w14:paraId="3B33257E">
      <w:pPr>
        <w:pStyle w:val="4"/>
        <w:pageBreakBefore w:val="0"/>
        <w:shd w:val="clear"/>
        <w:kinsoku/>
        <w:wordWrap/>
        <w:overflowPunct/>
        <w:topLinePunct w:val="0"/>
        <w:autoSpaceDE/>
        <w:autoSpaceDN/>
        <w:bidi w:val="0"/>
        <w:adjustRightInd w:val="0"/>
        <w:snapToGrid w:val="0"/>
        <w:spacing w:before="0" w:beforeAutospacing="0" w:after="0" w:afterAutospacing="0" w:line="300" w:lineRule="auto"/>
        <w:ind w:left="0" w:leftChars="0" w:firstLine="482" w:firstLineChars="200"/>
        <w:textAlignment w:val="auto"/>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spacing w:val="0"/>
          <w:kern w:val="2"/>
          <w:sz w:val="24"/>
          <w:szCs w:val="24"/>
          <w:highlight w:val="none"/>
          <w:lang w:val="en-US" w:eastAsia="zh-CN"/>
        </w:rPr>
        <w:t>10.10.4</w:t>
      </w:r>
      <w:r>
        <w:rPr>
          <w:rFonts w:hint="eastAsia" w:ascii="宋体" w:hAnsi="宋体" w:eastAsia="宋体" w:cs="宋体"/>
          <w:b/>
          <w:bCs/>
          <w:color w:val="auto"/>
          <w:kern w:val="2"/>
          <w:sz w:val="24"/>
          <w:szCs w:val="24"/>
          <w:highlight w:val="none"/>
          <w:lang w:val="zh-CN"/>
        </w:rPr>
        <w:t>设备带技术要求：设备带铝合金要求 6063-T6 或 6063-T5 材质，须通过四种有害物质铅、汞、镉、六价铬的测定，应具有耐霉菌性能，达到“GB9706.1-2020《医用电气设备第1部分：安全通用要求》。</w:t>
      </w:r>
    </w:p>
    <w:p w14:paraId="547BDE4A">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482" w:firstLineChars="200"/>
        <w:textAlignment w:val="auto"/>
        <w:rPr>
          <w:rFonts w:hint="eastAsia" w:ascii="宋体" w:hAnsi="宋体" w:eastAsia="宋体" w:cs="宋体"/>
          <w:i w:val="0"/>
          <w:iCs w:val="0"/>
          <w:color w:val="auto"/>
          <w:spacing w:val="0"/>
          <w:sz w:val="24"/>
          <w:szCs w:val="24"/>
          <w:highlight w:val="none"/>
          <w:lang w:val="en-US" w:eastAsia="zh-CN"/>
        </w:rPr>
      </w:pPr>
      <w:r>
        <w:rPr>
          <w:rFonts w:hint="eastAsia" w:ascii="宋体" w:hAnsi="宋体" w:eastAsia="宋体" w:cs="宋体"/>
          <w:b/>
          <w:bCs/>
          <w:i w:val="0"/>
          <w:iCs w:val="0"/>
          <w:color w:val="auto"/>
          <w:spacing w:val="0"/>
          <w:kern w:val="44"/>
          <w:sz w:val="24"/>
          <w:szCs w:val="24"/>
          <w:highlight w:val="none"/>
          <w:lang w:val="en-US" w:eastAsia="zh-CN"/>
        </w:rPr>
        <w:t>11、参考品牌清单</w:t>
      </w:r>
    </w:p>
    <w:tbl>
      <w:tblPr>
        <w:tblStyle w:val="27"/>
        <w:tblW w:w="84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0"/>
        <w:gridCol w:w="2445"/>
        <w:gridCol w:w="5085"/>
      </w:tblGrid>
      <w:tr w14:paraId="55E3E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CF8D63D">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序号</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top"/>
          </w:tcPr>
          <w:p w14:paraId="068C47C0">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项目类别</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top"/>
          </w:tcPr>
          <w:p w14:paraId="44A81C68">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参考</w:t>
            </w:r>
            <w:r>
              <w:rPr>
                <w:rFonts w:hint="eastAsia" w:ascii="宋体" w:hAnsi="宋体" w:eastAsia="宋体" w:cs="宋体"/>
                <w:b/>
                <w:bCs/>
                <w:color w:val="auto"/>
                <w:sz w:val="24"/>
                <w:szCs w:val="24"/>
                <w:highlight w:val="none"/>
              </w:rPr>
              <w:t>品牌</w:t>
            </w:r>
          </w:p>
        </w:tc>
      </w:tr>
      <w:tr w14:paraId="70D64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F940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4FD2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医用手动气密门</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23750">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欧尼克、欧宝、格满林</w:t>
            </w:r>
            <w:r>
              <w:rPr>
                <w:rFonts w:hint="eastAsia" w:ascii="宋体" w:hAnsi="宋体" w:eastAsia="宋体" w:cs="宋体"/>
                <w:color w:val="auto"/>
                <w:sz w:val="24"/>
                <w:szCs w:val="24"/>
                <w:highlight w:val="none"/>
                <w:lang w:val="en-US" w:eastAsia="zh-CN"/>
              </w:rPr>
              <w:t>或同档次及以上</w:t>
            </w:r>
          </w:p>
        </w:tc>
      </w:tr>
      <w:tr w14:paraId="66C5C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D5329">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DEF4A">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百级手术室、铅防护、换车间进口医用自动门</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CBE7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欧尼克、欧宝、格满林</w:t>
            </w:r>
            <w:r>
              <w:rPr>
                <w:rFonts w:hint="eastAsia" w:ascii="宋体" w:hAnsi="宋体" w:eastAsia="宋体" w:cs="宋体"/>
                <w:color w:val="auto"/>
                <w:sz w:val="24"/>
                <w:szCs w:val="24"/>
                <w:highlight w:val="none"/>
                <w:lang w:val="en-US" w:eastAsia="zh-CN"/>
              </w:rPr>
              <w:t>或同档次及以上</w:t>
            </w:r>
          </w:p>
        </w:tc>
      </w:tr>
      <w:tr w14:paraId="7DF97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DBE3C">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EEB5E">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医用钢质门</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36DD9">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欧尼克、格满林、欧宝</w:t>
            </w:r>
            <w:r>
              <w:rPr>
                <w:rFonts w:hint="eastAsia" w:ascii="宋体" w:hAnsi="宋体" w:eastAsia="宋体" w:cs="宋体"/>
                <w:color w:val="auto"/>
                <w:sz w:val="24"/>
                <w:szCs w:val="24"/>
                <w:highlight w:val="none"/>
                <w:lang w:val="en-US" w:eastAsia="zh-CN"/>
              </w:rPr>
              <w:t>或同档次及以上</w:t>
            </w:r>
          </w:p>
        </w:tc>
      </w:tr>
      <w:tr w14:paraId="183AE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06CBB">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4</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9581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硫酸钡</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528A8">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九龙山、中强、华东</w:t>
            </w:r>
            <w:r>
              <w:rPr>
                <w:rFonts w:hint="eastAsia" w:ascii="宋体" w:hAnsi="宋体" w:eastAsia="宋体" w:cs="宋体"/>
                <w:color w:val="auto"/>
                <w:sz w:val="24"/>
                <w:szCs w:val="24"/>
                <w:highlight w:val="none"/>
                <w:lang w:val="en-US" w:eastAsia="zh-CN"/>
              </w:rPr>
              <w:t>或同档次及以上</w:t>
            </w:r>
          </w:p>
        </w:tc>
      </w:tr>
      <w:tr w14:paraId="750CB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C718A">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5</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1BDD7">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防水涂料</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D9C81">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三棵树、东方雨虹、卓宝</w:t>
            </w:r>
            <w:r>
              <w:rPr>
                <w:rFonts w:hint="eastAsia" w:ascii="宋体" w:hAnsi="宋体" w:eastAsia="宋体" w:cs="宋体"/>
                <w:color w:val="auto"/>
                <w:sz w:val="24"/>
                <w:szCs w:val="24"/>
                <w:highlight w:val="none"/>
                <w:lang w:val="en-US" w:eastAsia="zh-CN"/>
              </w:rPr>
              <w:t>或同档次及以上</w:t>
            </w:r>
          </w:p>
        </w:tc>
      </w:tr>
      <w:tr w14:paraId="4F97E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0241C">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6</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AD8A9">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抗菌涂料</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6564A">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多乐士、立邦、华润</w:t>
            </w:r>
            <w:r>
              <w:rPr>
                <w:rFonts w:hint="eastAsia" w:ascii="宋体" w:hAnsi="宋体" w:eastAsia="宋体" w:cs="宋体"/>
                <w:color w:val="auto"/>
                <w:sz w:val="24"/>
                <w:szCs w:val="24"/>
                <w:highlight w:val="none"/>
                <w:lang w:val="en-US" w:eastAsia="zh-CN"/>
              </w:rPr>
              <w:t>或同档次及以上</w:t>
            </w:r>
          </w:p>
        </w:tc>
      </w:tr>
      <w:tr w14:paraId="4EF3B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082C9">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7</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E5EE0">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PVC地胶板</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B7028">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丽杰、阿姆斯壮、盟多</w:t>
            </w:r>
            <w:r>
              <w:rPr>
                <w:rFonts w:hint="eastAsia" w:ascii="宋体" w:hAnsi="宋体" w:eastAsia="宋体" w:cs="宋体"/>
                <w:color w:val="auto"/>
                <w:sz w:val="24"/>
                <w:szCs w:val="24"/>
                <w:highlight w:val="none"/>
                <w:lang w:val="en-US" w:eastAsia="zh-CN"/>
              </w:rPr>
              <w:t>或同档次及以上</w:t>
            </w:r>
          </w:p>
        </w:tc>
      </w:tr>
      <w:tr w14:paraId="6FE19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ED84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8</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7A272">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橡胶地板</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1C121">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丽杰、阿姆斯壮、盟多</w:t>
            </w:r>
            <w:r>
              <w:rPr>
                <w:rFonts w:hint="eastAsia" w:ascii="宋体" w:hAnsi="宋体" w:eastAsia="宋体" w:cs="宋体"/>
                <w:color w:val="auto"/>
                <w:sz w:val="24"/>
                <w:szCs w:val="24"/>
                <w:highlight w:val="none"/>
                <w:lang w:val="en-US" w:eastAsia="zh-CN"/>
              </w:rPr>
              <w:t>或同档次及以上</w:t>
            </w:r>
          </w:p>
        </w:tc>
      </w:tr>
      <w:tr w14:paraId="6A52D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CBB30">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9</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34418">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电解钢板（加工）</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190B1">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浩东、智迪锐、铭铉</w:t>
            </w:r>
            <w:r>
              <w:rPr>
                <w:rFonts w:hint="eastAsia" w:ascii="宋体" w:hAnsi="宋体" w:eastAsia="宋体" w:cs="宋体"/>
                <w:color w:val="auto"/>
                <w:sz w:val="24"/>
                <w:szCs w:val="24"/>
                <w:highlight w:val="none"/>
                <w:lang w:val="en-US" w:eastAsia="zh-CN"/>
              </w:rPr>
              <w:t>或同档次及以上</w:t>
            </w:r>
          </w:p>
        </w:tc>
      </w:tr>
      <w:tr w14:paraId="7B460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8386C">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10</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9BA3C">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电解钢板材质</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53F17">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宝钢、武钢、鞍钢</w:t>
            </w:r>
            <w:r>
              <w:rPr>
                <w:rFonts w:hint="eastAsia" w:ascii="宋体" w:hAnsi="宋体" w:eastAsia="宋体" w:cs="宋体"/>
                <w:color w:val="auto"/>
                <w:sz w:val="24"/>
                <w:szCs w:val="24"/>
                <w:highlight w:val="none"/>
                <w:lang w:val="en-US" w:eastAsia="zh-CN"/>
              </w:rPr>
              <w:t>或同档次及以上</w:t>
            </w:r>
          </w:p>
        </w:tc>
      </w:tr>
      <w:tr w14:paraId="7DB87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D7282">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11</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A44BC">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铝扣板</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6E15C">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YARET、浙江墙煌、浙江和美</w:t>
            </w:r>
            <w:r>
              <w:rPr>
                <w:rFonts w:hint="eastAsia" w:ascii="宋体" w:hAnsi="宋体" w:eastAsia="宋体" w:cs="宋体"/>
                <w:color w:val="auto"/>
                <w:sz w:val="24"/>
                <w:szCs w:val="24"/>
                <w:highlight w:val="none"/>
                <w:lang w:val="en-US" w:eastAsia="zh-CN"/>
              </w:rPr>
              <w:t>或同档次及以上</w:t>
            </w:r>
          </w:p>
        </w:tc>
      </w:tr>
      <w:tr w14:paraId="44171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3C3C7">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12</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3F43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墙地砖</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40A04">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冠军、蒙娜丽莎、</w:t>
            </w:r>
            <w:r>
              <w:rPr>
                <w:rFonts w:hint="eastAsia" w:ascii="宋体" w:hAnsi="宋体" w:eastAsia="宋体" w:cs="宋体"/>
                <w:color w:val="auto"/>
                <w:sz w:val="24"/>
                <w:szCs w:val="24"/>
                <w:highlight w:val="none"/>
                <w:lang w:val="en-US" w:eastAsia="zh-CN"/>
              </w:rPr>
              <w:t>诺贝尔或同档次及以上</w:t>
            </w:r>
          </w:p>
        </w:tc>
      </w:tr>
      <w:tr w14:paraId="0290B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25AF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13</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F553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石膏板系统</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1F58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圣戈班、可耐福、龙牌</w:t>
            </w:r>
            <w:r>
              <w:rPr>
                <w:rFonts w:hint="eastAsia" w:ascii="宋体" w:hAnsi="宋体" w:eastAsia="宋体" w:cs="宋体"/>
                <w:color w:val="auto"/>
                <w:sz w:val="24"/>
                <w:szCs w:val="24"/>
                <w:highlight w:val="none"/>
                <w:lang w:val="en-US" w:eastAsia="zh-CN"/>
              </w:rPr>
              <w:t>或同档次及以上</w:t>
            </w:r>
          </w:p>
        </w:tc>
      </w:tr>
      <w:tr w14:paraId="5A2F3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A12C6">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14</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05EF0">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轻钢龙骨</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D1A64">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圣戈班、可耐福、龙牌</w:t>
            </w:r>
            <w:r>
              <w:rPr>
                <w:rFonts w:hint="eastAsia" w:ascii="宋体" w:hAnsi="宋体" w:eastAsia="宋体" w:cs="宋体"/>
                <w:color w:val="auto"/>
                <w:sz w:val="24"/>
                <w:szCs w:val="24"/>
                <w:highlight w:val="none"/>
                <w:lang w:val="en-US" w:eastAsia="zh-CN"/>
              </w:rPr>
              <w:t>或同档次及以上</w:t>
            </w:r>
          </w:p>
        </w:tc>
      </w:tr>
      <w:tr w14:paraId="67AFF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ECDD4">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15</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0DD5E">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器械柜、药品柜、麻醉柜、收纳柜、传递窗等不锈钢制品</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53F0F">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布尔特、铭铉、浩东</w:t>
            </w:r>
            <w:r>
              <w:rPr>
                <w:rFonts w:hint="eastAsia" w:ascii="宋体" w:hAnsi="宋体" w:eastAsia="宋体" w:cs="宋体"/>
                <w:color w:val="auto"/>
                <w:sz w:val="24"/>
                <w:szCs w:val="24"/>
                <w:highlight w:val="none"/>
                <w:lang w:val="en-US" w:eastAsia="zh-CN"/>
              </w:rPr>
              <w:t>或同档次及以上</w:t>
            </w:r>
          </w:p>
        </w:tc>
      </w:tr>
      <w:tr w14:paraId="4ADB3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607F5">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16</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783E">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保温柜、保冷柜</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31F01">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松下、西门子、思泰瑞</w:t>
            </w:r>
            <w:r>
              <w:rPr>
                <w:rFonts w:hint="eastAsia" w:ascii="宋体" w:hAnsi="宋体" w:eastAsia="宋体" w:cs="宋体"/>
                <w:color w:val="auto"/>
                <w:sz w:val="24"/>
                <w:szCs w:val="24"/>
                <w:highlight w:val="none"/>
                <w:lang w:val="en-US" w:eastAsia="zh-CN"/>
              </w:rPr>
              <w:t>或同档次及以上</w:t>
            </w:r>
          </w:p>
        </w:tc>
      </w:tr>
      <w:tr w14:paraId="7B26D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476F0">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17</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4217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医用刷手池</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19DE5">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布尔特、中兴、铭铉</w:t>
            </w:r>
            <w:r>
              <w:rPr>
                <w:rFonts w:hint="eastAsia" w:ascii="宋体" w:hAnsi="宋体" w:eastAsia="宋体" w:cs="宋体"/>
                <w:color w:val="auto"/>
                <w:sz w:val="24"/>
                <w:szCs w:val="24"/>
                <w:highlight w:val="none"/>
                <w:lang w:val="en-US" w:eastAsia="zh-CN"/>
              </w:rPr>
              <w:t>或同档次及以上</w:t>
            </w:r>
          </w:p>
        </w:tc>
      </w:tr>
      <w:tr w14:paraId="255ED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599FC">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18</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CC6A7">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净化空气处理机组</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6A264">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约克、开利、麦克维尔</w:t>
            </w:r>
            <w:r>
              <w:rPr>
                <w:rFonts w:hint="eastAsia" w:ascii="宋体" w:hAnsi="宋体" w:eastAsia="宋体" w:cs="宋体"/>
                <w:color w:val="auto"/>
                <w:sz w:val="24"/>
                <w:szCs w:val="24"/>
                <w:highlight w:val="none"/>
                <w:lang w:val="en-US" w:eastAsia="zh-CN"/>
              </w:rPr>
              <w:t>或同档次及以上</w:t>
            </w:r>
          </w:p>
        </w:tc>
      </w:tr>
      <w:tr w14:paraId="47C49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46A32">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19</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55B9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净化空调处理机组</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281B7">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  约克、开利、麦克维尔</w:t>
            </w:r>
            <w:r>
              <w:rPr>
                <w:rFonts w:hint="eastAsia" w:ascii="宋体" w:hAnsi="宋体" w:eastAsia="宋体" w:cs="宋体"/>
                <w:color w:val="auto"/>
                <w:sz w:val="24"/>
                <w:szCs w:val="24"/>
                <w:highlight w:val="none"/>
                <w:lang w:val="en-US" w:eastAsia="zh-CN"/>
              </w:rPr>
              <w:t>或同档次及以上</w:t>
            </w:r>
          </w:p>
        </w:tc>
      </w:tr>
      <w:tr w14:paraId="41612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6850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20</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F9C25">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变频器</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D16E8">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ABB、西门子、施耐德</w:t>
            </w:r>
            <w:r>
              <w:rPr>
                <w:rFonts w:hint="eastAsia" w:ascii="宋体" w:hAnsi="宋体" w:eastAsia="宋体" w:cs="宋体"/>
                <w:color w:val="auto"/>
                <w:sz w:val="24"/>
                <w:szCs w:val="24"/>
                <w:highlight w:val="none"/>
                <w:lang w:val="en-US" w:eastAsia="zh-CN"/>
              </w:rPr>
              <w:t>或同档次及以上</w:t>
            </w:r>
          </w:p>
        </w:tc>
      </w:tr>
      <w:tr w14:paraId="2D9B8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A5774">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21</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F781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风机盘管</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D7F0B">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约克、开利、 麦克维尔</w:t>
            </w:r>
            <w:r>
              <w:rPr>
                <w:rFonts w:hint="eastAsia" w:ascii="宋体" w:hAnsi="宋体" w:eastAsia="宋体" w:cs="宋体"/>
                <w:color w:val="auto"/>
                <w:sz w:val="24"/>
                <w:szCs w:val="24"/>
                <w:highlight w:val="none"/>
                <w:lang w:val="en-US" w:eastAsia="zh-CN"/>
              </w:rPr>
              <w:t>或同档次及以上</w:t>
            </w:r>
          </w:p>
        </w:tc>
      </w:tr>
      <w:tr w14:paraId="78C1F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F3D3C">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22</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4F03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过滤器</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EE5F1">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AAF、康斐尔、美埃</w:t>
            </w:r>
            <w:r>
              <w:rPr>
                <w:rFonts w:hint="eastAsia" w:ascii="宋体" w:hAnsi="宋体" w:eastAsia="宋体" w:cs="宋体"/>
                <w:color w:val="auto"/>
                <w:sz w:val="24"/>
                <w:szCs w:val="24"/>
                <w:highlight w:val="none"/>
                <w:lang w:val="en-US" w:eastAsia="zh-CN"/>
              </w:rPr>
              <w:t>或同档次及以上</w:t>
            </w:r>
          </w:p>
        </w:tc>
      </w:tr>
      <w:tr w14:paraId="0CC95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97E08">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23</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61DE0">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定风量调节阀</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04F70">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妥思、西门子、霍尼韦尔</w:t>
            </w:r>
            <w:r>
              <w:rPr>
                <w:rFonts w:hint="eastAsia" w:ascii="宋体" w:hAnsi="宋体" w:eastAsia="宋体" w:cs="宋体"/>
                <w:color w:val="auto"/>
                <w:sz w:val="24"/>
                <w:szCs w:val="24"/>
                <w:highlight w:val="none"/>
                <w:lang w:val="en-US" w:eastAsia="zh-CN"/>
              </w:rPr>
              <w:t>或同档次及以上</w:t>
            </w:r>
          </w:p>
        </w:tc>
      </w:tr>
      <w:tr w14:paraId="43BCC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C7F6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24</w:t>
            </w:r>
          </w:p>
        </w:tc>
        <w:tc>
          <w:tcPr>
            <w:tcW w:w="24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6E914">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排风机</w:t>
            </w:r>
          </w:p>
        </w:tc>
        <w:tc>
          <w:tcPr>
            <w:tcW w:w="5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6339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松下、科禄格、亿利达</w:t>
            </w:r>
            <w:r>
              <w:rPr>
                <w:rFonts w:hint="eastAsia" w:ascii="宋体" w:hAnsi="宋体" w:eastAsia="宋体" w:cs="宋体"/>
                <w:color w:val="auto"/>
                <w:sz w:val="24"/>
                <w:szCs w:val="24"/>
                <w:highlight w:val="none"/>
                <w:lang w:val="en-US" w:eastAsia="zh-CN"/>
              </w:rPr>
              <w:t>或同档次及以上</w:t>
            </w:r>
          </w:p>
        </w:tc>
      </w:tr>
    </w:tbl>
    <w:p w14:paraId="7932D5F9">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482" w:firstLineChars="200"/>
        <w:jc w:val="center"/>
        <w:textAlignment w:val="auto"/>
        <w:rPr>
          <w:rFonts w:hint="eastAsia" w:ascii="宋体" w:hAnsi="宋体" w:eastAsia="宋体" w:cs="宋体"/>
          <w:b/>
          <w:bCs/>
          <w:i w:val="0"/>
          <w:iCs w:val="0"/>
          <w:color w:val="auto"/>
          <w:spacing w:val="0"/>
          <w:sz w:val="24"/>
          <w:szCs w:val="24"/>
          <w:highlight w:val="none"/>
          <w:lang w:eastAsia="zh-CN"/>
        </w:rPr>
      </w:pPr>
    </w:p>
    <w:p w14:paraId="0FFFF782">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482" w:firstLineChars="200"/>
        <w:jc w:val="center"/>
        <w:textAlignment w:val="auto"/>
        <w:rPr>
          <w:rFonts w:hint="eastAsia" w:ascii="宋体" w:hAnsi="宋体" w:eastAsia="宋体" w:cs="宋体"/>
          <w:b/>
          <w:bCs/>
          <w:i w:val="0"/>
          <w:iCs w:val="0"/>
          <w:color w:val="auto"/>
          <w:spacing w:val="0"/>
          <w:sz w:val="24"/>
          <w:szCs w:val="24"/>
          <w:highlight w:val="none"/>
          <w:lang w:eastAsia="zh-CN"/>
        </w:rPr>
      </w:pPr>
      <w:r>
        <w:rPr>
          <w:rFonts w:hint="eastAsia" w:ascii="宋体" w:hAnsi="宋体" w:eastAsia="宋体" w:cs="宋体"/>
          <w:b/>
          <w:bCs/>
          <w:i w:val="0"/>
          <w:iCs w:val="0"/>
          <w:color w:val="auto"/>
          <w:spacing w:val="0"/>
          <w:sz w:val="24"/>
          <w:szCs w:val="24"/>
          <w:highlight w:val="none"/>
          <w:lang w:eastAsia="zh-CN"/>
        </w:rPr>
        <w:t>（</w:t>
      </w:r>
      <w:r>
        <w:rPr>
          <w:rFonts w:hint="eastAsia" w:ascii="宋体" w:hAnsi="宋体" w:eastAsia="宋体" w:cs="宋体"/>
          <w:b/>
          <w:bCs/>
          <w:i w:val="0"/>
          <w:iCs w:val="0"/>
          <w:color w:val="auto"/>
          <w:spacing w:val="0"/>
          <w:sz w:val="24"/>
          <w:szCs w:val="24"/>
          <w:highlight w:val="none"/>
          <w:lang w:val="en-US" w:eastAsia="zh-CN"/>
        </w:rPr>
        <w:t>二</w:t>
      </w:r>
      <w:r>
        <w:rPr>
          <w:rFonts w:hint="eastAsia" w:ascii="宋体" w:hAnsi="宋体" w:eastAsia="宋体" w:cs="宋体"/>
          <w:b/>
          <w:bCs/>
          <w:i w:val="0"/>
          <w:iCs w:val="0"/>
          <w:color w:val="auto"/>
          <w:spacing w:val="0"/>
          <w:sz w:val="24"/>
          <w:szCs w:val="24"/>
          <w:highlight w:val="none"/>
          <w:lang w:eastAsia="zh-CN"/>
        </w:rPr>
        <w:t>）实验室工程</w:t>
      </w:r>
    </w:p>
    <w:p w14:paraId="0C69029B">
      <w:pPr>
        <w:pStyle w:val="2"/>
        <w:keepNext/>
        <w:keepLines/>
        <w:pageBreakBefore w:val="0"/>
        <w:widowControl w:val="0"/>
        <w:numPr>
          <w:ilvl w:val="0"/>
          <w:numId w:val="0"/>
        </w:numPr>
        <w:shd w:val="clear"/>
        <w:kinsoku/>
        <w:wordWrap/>
        <w:overflowPunct/>
        <w:topLinePunct w:val="0"/>
        <w:autoSpaceDE/>
        <w:autoSpaceDN/>
        <w:bidi w:val="0"/>
        <w:adjustRightInd/>
        <w:snapToGrid w:val="0"/>
        <w:spacing w:before="0" w:beforeAutospacing="0" w:after="0" w:afterAutospacing="0" w:line="300" w:lineRule="auto"/>
        <w:ind w:left="0" w:leftChars="0" w:firstLine="0" w:firstLineChars="0"/>
        <w:textAlignment w:val="auto"/>
        <w:rPr>
          <w:rFonts w:hint="eastAsia" w:ascii="宋体" w:hAnsi="宋体" w:eastAsia="宋体" w:cs="宋体"/>
          <w:color w:val="auto"/>
          <w:spacing w:val="0"/>
          <w:sz w:val="24"/>
          <w:szCs w:val="24"/>
          <w:highlight w:val="none"/>
        </w:rPr>
      </w:pPr>
      <w:bookmarkStart w:id="69" w:name="_Toc19613"/>
      <w:r>
        <w:rPr>
          <w:rFonts w:hint="eastAsia" w:ascii="宋体" w:hAnsi="宋体" w:eastAsia="宋体" w:cs="宋体"/>
          <w:b/>
          <w:bCs/>
          <w:color w:val="auto"/>
          <w:spacing w:val="0"/>
          <w:kern w:val="44"/>
          <w:sz w:val="24"/>
          <w:szCs w:val="24"/>
          <w:highlight w:val="none"/>
          <w:lang w:val="en-US" w:eastAsia="zh-CN" w:bidi="ar-SA"/>
        </w:rPr>
        <w:t>1、</w:t>
      </w:r>
      <w:r>
        <w:rPr>
          <w:rFonts w:hint="eastAsia" w:ascii="宋体" w:hAnsi="宋体" w:eastAsia="宋体" w:cs="宋体"/>
          <w:color w:val="auto"/>
          <w:spacing w:val="0"/>
          <w:sz w:val="24"/>
          <w:szCs w:val="24"/>
          <w:highlight w:val="none"/>
        </w:rPr>
        <w:t>概况</w:t>
      </w:r>
      <w:bookmarkEnd w:id="69"/>
    </w:p>
    <w:p w14:paraId="7A45CC1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本项目实验室区域建筑面积约2250平方米，位于建筑三层至四层</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三层检验科设计面积约为2100平方米；建筑高度5.4m。四层临床实验室设计面积约为150平方米；建筑高度4.6m。</w:t>
      </w:r>
    </w:p>
    <w:p w14:paraId="249122B4">
      <w:pPr>
        <w:pStyle w:val="2"/>
        <w:keepNext/>
        <w:keepLines/>
        <w:pageBreakBefore w:val="0"/>
        <w:widowControl w:val="0"/>
        <w:numPr>
          <w:ilvl w:val="0"/>
          <w:numId w:val="0"/>
        </w:numPr>
        <w:shd w:val="clear"/>
        <w:kinsoku/>
        <w:wordWrap/>
        <w:overflowPunct/>
        <w:topLinePunct w:val="0"/>
        <w:autoSpaceDE/>
        <w:autoSpaceDN/>
        <w:bidi w:val="0"/>
        <w:adjustRightInd/>
        <w:snapToGrid w:val="0"/>
        <w:spacing w:before="0" w:beforeAutospacing="0" w:after="0" w:afterAutospacing="0" w:line="300" w:lineRule="auto"/>
        <w:ind w:left="0" w:leftChars="0" w:firstLine="0" w:firstLineChars="0"/>
        <w:textAlignment w:val="auto"/>
        <w:rPr>
          <w:rFonts w:hint="eastAsia" w:ascii="宋体" w:hAnsi="宋体" w:eastAsia="宋体" w:cs="宋体"/>
          <w:color w:val="auto"/>
          <w:spacing w:val="0"/>
          <w:sz w:val="24"/>
          <w:szCs w:val="24"/>
          <w:highlight w:val="none"/>
        </w:rPr>
      </w:pPr>
      <w:bookmarkStart w:id="70" w:name="_Toc29630"/>
      <w:r>
        <w:rPr>
          <w:rFonts w:hint="eastAsia" w:ascii="宋体" w:hAnsi="宋体" w:eastAsia="宋体" w:cs="宋体"/>
          <w:b/>
          <w:bCs/>
          <w:color w:val="auto"/>
          <w:spacing w:val="0"/>
          <w:kern w:val="44"/>
          <w:sz w:val="24"/>
          <w:szCs w:val="24"/>
          <w:highlight w:val="none"/>
          <w:lang w:val="en-US" w:eastAsia="zh-CN" w:bidi="ar-SA"/>
        </w:rPr>
        <w:t>2、</w:t>
      </w:r>
      <w:r>
        <w:rPr>
          <w:rFonts w:hint="eastAsia" w:ascii="宋体" w:hAnsi="宋体" w:eastAsia="宋体" w:cs="宋体"/>
          <w:color w:val="auto"/>
          <w:spacing w:val="0"/>
          <w:sz w:val="24"/>
          <w:szCs w:val="24"/>
          <w:highlight w:val="none"/>
        </w:rPr>
        <w:t>设计依据</w:t>
      </w:r>
      <w:bookmarkEnd w:id="70"/>
    </w:p>
    <w:p w14:paraId="34C33CA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bookmarkStart w:id="71" w:name="_Toc28205"/>
      <w:bookmarkStart w:id="72" w:name="_Toc11302"/>
      <w:r>
        <w:rPr>
          <w:rFonts w:hint="eastAsia" w:ascii="宋体" w:hAnsi="宋体" w:eastAsia="宋体" w:cs="宋体"/>
          <w:color w:val="auto"/>
          <w:spacing w:val="0"/>
          <w:sz w:val="24"/>
          <w:szCs w:val="24"/>
          <w:highlight w:val="none"/>
        </w:rPr>
        <w:t>《实验室建筑设备（一）》07J901-1</w:t>
      </w:r>
    </w:p>
    <w:p w14:paraId="3710569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《实验室建筑设备（二）》07J901-2</w:t>
      </w:r>
    </w:p>
    <w:p w14:paraId="66611C1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《医院安全防范系统技术规范》GB/T 31458-2015</w:t>
      </w:r>
    </w:p>
    <w:p w14:paraId="4901909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《建筑设计防火规范》GB50016-2014（2018年版）</w:t>
      </w:r>
    </w:p>
    <w:p w14:paraId="10E461BD">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《建筑防火通用规范》GB55037-2022</w:t>
      </w:r>
    </w:p>
    <w:p w14:paraId="40FFDFB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《建筑内部装修设计防火规范》GB50222-2017</w:t>
      </w:r>
    </w:p>
    <w:p w14:paraId="62CA25D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《建筑地面设计规范》GB50037-2013</w:t>
      </w:r>
    </w:p>
    <w:p w14:paraId="79A310F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《建筑材料及制品燃烧性能分级》GB8624-2012</w:t>
      </w:r>
    </w:p>
    <w:p w14:paraId="69569977">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《防火门》GB12955-2015</w:t>
      </w:r>
    </w:p>
    <w:p w14:paraId="52F6CD1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《建筑材料放射性核素限量》GB6566-2010</w:t>
      </w:r>
    </w:p>
    <w:p w14:paraId="518C6BA8">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《内装修墙面装修》13J502-1</w:t>
      </w:r>
    </w:p>
    <w:p w14:paraId="5841076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《内装修室内吊顶》12J502-2</w:t>
      </w:r>
    </w:p>
    <w:p w14:paraId="49001B3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《内装修楼地面装修》13J502-3</w:t>
      </w:r>
    </w:p>
    <w:p w14:paraId="1E56B3C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《建筑节能与可再生能源利用通用规范》GB 55015-2021</w:t>
      </w:r>
    </w:p>
    <w:p w14:paraId="2711BDF8">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《建筑环境通用规范》GB 55016-2021</w:t>
      </w:r>
    </w:p>
    <w:p w14:paraId="568E6A2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《建筑与市政工程无障碍通用规范》GB 55019-2021</w:t>
      </w:r>
    </w:p>
    <w:p w14:paraId="611D123D">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《无障碍设计规范》GB 50763-2012</w:t>
      </w:r>
    </w:p>
    <w:p w14:paraId="26A4BDB7">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《民用建筑通用规范》GB 55031-2022</w:t>
      </w:r>
    </w:p>
    <w:p w14:paraId="705AB32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《建筑与市政工程防水通用规范》GB 55030-2022</w:t>
      </w:r>
    </w:p>
    <w:p w14:paraId="5CEF8D58">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《民用建筑工程室内环境污染控制标准》GB 50325-2020</w:t>
      </w:r>
    </w:p>
    <w:p w14:paraId="222B7E8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《建筑玻璃应用技术规程》JGJ 113-2015</w:t>
      </w:r>
    </w:p>
    <w:p w14:paraId="63EFAF4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《民用建筑设计统一标准》GB 50352-2019</w:t>
      </w:r>
    </w:p>
    <w:p w14:paraId="074C8F3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《病原微生物实验室生物安全通用准则》WS 233-2017</w:t>
      </w:r>
    </w:p>
    <w:p w14:paraId="3F6DA49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《生物安全实验室建筑技术规范》GB50346-2011</w:t>
      </w:r>
    </w:p>
    <w:p w14:paraId="0FD8BD38">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《实验室生物安全通用要求》GB19489-2008</w:t>
      </w:r>
    </w:p>
    <w:p w14:paraId="768ADB2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《综合医院建筑设计规范》GB51039-2014</w:t>
      </w:r>
    </w:p>
    <w:p w14:paraId="795875EC">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《医学生物安全二级实验室建筑技术标准》T-CECS 662-2020</w:t>
      </w:r>
    </w:p>
    <w:p w14:paraId="4B41CE9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《建筑装饰装修工程质量验收规范》GB50210-2018</w:t>
      </w:r>
    </w:p>
    <w:p w14:paraId="7BA3B75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《建筑工程施工质量验收统一标准》GB 50300-2013</w:t>
      </w:r>
    </w:p>
    <w:p w14:paraId="0F5D424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《室内空气质量标准》（GB/T18883-2002）；</w:t>
      </w:r>
    </w:p>
    <w:p w14:paraId="3314A6F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《民用建筑供暖通风与空气调节设计规范》GB50736-2012；</w:t>
      </w:r>
    </w:p>
    <w:p w14:paraId="2060690C">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《工业建筑供暖通风与空气调节设计规范》GB50019-2015；</w:t>
      </w:r>
    </w:p>
    <w:p w14:paraId="2C699E3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《通风与空调工程施工质量验收规范》GB50243-2016；</w:t>
      </w:r>
    </w:p>
    <w:p w14:paraId="1B1D57A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《民用建筑电气设计标准》 GB51348-2019</w:t>
      </w:r>
    </w:p>
    <w:p w14:paraId="55FCC21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《建筑物照明设计标准》 GB50034-2013</w:t>
      </w:r>
    </w:p>
    <w:p w14:paraId="7B8E280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《医疗建筑电气设计规范》 JGJ312-2013</w:t>
      </w:r>
    </w:p>
    <w:p w14:paraId="4DCB549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《给水排水管道工程施工及验收规范》 GB 50268-2008</w:t>
      </w:r>
    </w:p>
    <w:p w14:paraId="6C04E5D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《建筑给水排水及采暖工程施工质量验收规范》 GB50242-2002 (2019版）</w:t>
      </w:r>
    </w:p>
    <w:p w14:paraId="7B43C45B">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《全国通用给排水标准图集09S304卫生设备安装》</w:t>
      </w:r>
    </w:p>
    <w:p w14:paraId="39C7614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《建筑给水排水设计标准》GB50015-2019</w:t>
      </w:r>
    </w:p>
    <w:bookmarkEnd w:id="71"/>
    <w:bookmarkEnd w:id="72"/>
    <w:p w14:paraId="70951CD2">
      <w:pPr>
        <w:pStyle w:val="2"/>
        <w:pageBreakBefore w:val="0"/>
        <w:numPr>
          <w:ilvl w:val="0"/>
          <w:numId w:val="0"/>
        </w:numPr>
        <w:shd w:val="clear"/>
        <w:kinsoku/>
        <w:wordWrap/>
        <w:overflowPunct/>
        <w:topLinePunct w:val="0"/>
        <w:autoSpaceDE/>
        <w:autoSpaceDN/>
        <w:bidi w:val="0"/>
        <w:snapToGrid w:val="0"/>
        <w:spacing w:before="0" w:beforeAutospacing="0" w:after="0" w:afterAutospacing="0" w:line="300" w:lineRule="auto"/>
        <w:ind w:left="0" w:leftChars="0" w:firstLine="0" w:firstLineChars="0"/>
        <w:rPr>
          <w:rFonts w:hint="eastAsia" w:ascii="宋体" w:hAnsi="宋体" w:eastAsia="宋体" w:cs="宋体"/>
          <w:color w:val="auto"/>
          <w:spacing w:val="0"/>
          <w:sz w:val="24"/>
          <w:szCs w:val="24"/>
          <w:highlight w:val="none"/>
        </w:rPr>
      </w:pPr>
      <w:bookmarkStart w:id="73" w:name="_Toc15116"/>
      <w:r>
        <w:rPr>
          <w:rFonts w:hint="eastAsia" w:ascii="宋体" w:hAnsi="宋体" w:eastAsia="宋体" w:cs="宋体"/>
          <w:b/>
          <w:bCs/>
          <w:color w:val="auto"/>
          <w:spacing w:val="0"/>
          <w:kern w:val="44"/>
          <w:sz w:val="24"/>
          <w:szCs w:val="24"/>
          <w:highlight w:val="none"/>
          <w:lang w:val="en-US" w:eastAsia="zh-CN" w:bidi="ar-SA"/>
        </w:rPr>
        <w:t>3、</w:t>
      </w:r>
      <w:r>
        <w:rPr>
          <w:rFonts w:hint="eastAsia" w:ascii="宋体" w:hAnsi="宋体" w:eastAsia="宋体" w:cs="宋体"/>
          <w:color w:val="auto"/>
          <w:spacing w:val="0"/>
          <w:sz w:val="24"/>
          <w:szCs w:val="24"/>
          <w:highlight w:val="none"/>
        </w:rPr>
        <w:t>实验室基本要求</w:t>
      </w:r>
      <w:bookmarkEnd w:id="73"/>
    </w:p>
    <w:p w14:paraId="4D2C24A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bookmarkStart w:id="74" w:name="_Toc20252"/>
      <w:bookmarkStart w:id="75" w:name="_Toc24398"/>
      <w:r>
        <w:rPr>
          <w:rFonts w:hint="eastAsia" w:ascii="宋体" w:hAnsi="宋体" w:eastAsia="宋体" w:cs="宋体"/>
          <w:color w:val="auto"/>
          <w:spacing w:val="0"/>
          <w:sz w:val="24"/>
          <w:szCs w:val="24"/>
          <w:highlight w:val="none"/>
        </w:rPr>
        <w:t>检验科基本需求</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检验科应能清晰</w:t>
      </w:r>
      <w:r>
        <w:rPr>
          <w:rFonts w:hint="eastAsia" w:ascii="宋体" w:hAnsi="宋体" w:eastAsia="宋体" w:cs="宋体"/>
          <w:color w:val="auto"/>
          <w:spacing w:val="0"/>
          <w:sz w:val="24"/>
          <w:szCs w:val="24"/>
          <w:highlight w:val="none"/>
          <w:lang w:eastAsia="zh-CN"/>
        </w:rPr>
        <w:t>地</w:t>
      </w:r>
      <w:r>
        <w:rPr>
          <w:rFonts w:hint="eastAsia" w:ascii="宋体" w:hAnsi="宋体" w:eastAsia="宋体" w:cs="宋体"/>
          <w:color w:val="auto"/>
          <w:spacing w:val="0"/>
          <w:sz w:val="24"/>
          <w:szCs w:val="24"/>
          <w:highlight w:val="none"/>
        </w:rPr>
        <w:t>分出清洁区、半</w:t>
      </w:r>
      <w:r>
        <w:rPr>
          <w:rFonts w:hint="eastAsia" w:ascii="宋体" w:hAnsi="宋体" w:eastAsia="宋体" w:cs="宋体"/>
          <w:color w:val="auto"/>
          <w:spacing w:val="0"/>
          <w:sz w:val="24"/>
          <w:szCs w:val="24"/>
          <w:highlight w:val="none"/>
          <w:lang w:eastAsia="zh-CN"/>
        </w:rPr>
        <w:t>污染</w:t>
      </w:r>
      <w:r>
        <w:rPr>
          <w:rFonts w:hint="eastAsia" w:ascii="宋体" w:hAnsi="宋体" w:eastAsia="宋体" w:cs="宋体"/>
          <w:color w:val="auto"/>
          <w:spacing w:val="0"/>
          <w:sz w:val="24"/>
          <w:szCs w:val="24"/>
          <w:highlight w:val="none"/>
        </w:rPr>
        <w:t>区和污染区，各区域之间有隔断隔开，清洁区主要由更衣室、办公室等组成，半污染区主要由试剂库、制水间等辅助功能间组成，污染区主要由</w:t>
      </w:r>
      <w:r>
        <w:rPr>
          <w:rFonts w:hint="eastAsia" w:ascii="宋体" w:hAnsi="宋体" w:eastAsia="宋体" w:cs="宋体"/>
          <w:color w:val="auto"/>
          <w:spacing w:val="0"/>
          <w:sz w:val="24"/>
          <w:szCs w:val="24"/>
          <w:highlight w:val="none"/>
          <w:lang w:val="en-US" w:eastAsia="zh-CN"/>
        </w:rPr>
        <w:t>常规临检区</w:t>
      </w:r>
      <w:r>
        <w:rPr>
          <w:rFonts w:hint="eastAsia" w:ascii="宋体" w:hAnsi="宋体" w:eastAsia="宋体" w:cs="宋体"/>
          <w:color w:val="auto"/>
          <w:spacing w:val="0"/>
          <w:sz w:val="24"/>
          <w:szCs w:val="24"/>
          <w:highlight w:val="none"/>
        </w:rPr>
        <w:t>、检测实验室组成。检验科人物流分开，人员和物品有独立的出入口，特别是污物有专用出口，且经医院的污梯送至医院集中的医疗废物存放点，符合院感流程。为保证检测工作的安全，生物安全实验室应符合BSL-2级实验室的要求，在生物安全实验室的出口处设有非手动洗手装置和紧急洗眼装置，部分高污染风险的工作应在二级生物安全柜内进行。</w:t>
      </w:r>
    </w:p>
    <w:p w14:paraId="6B7B9D08">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要点一：检验科污染区的实验室需要时刻保持负压状态。需要</w:t>
      </w:r>
      <w:r>
        <w:rPr>
          <w:rFonts w:hint="eastAsia" w:ascii="宋体" w:hAnsi="宋体" w:eastAsia="宋体" w:cs="宋体"/>
          <w:color w:val="auto"/>
          <w:spacing w:val="0"/>
          <w:sz w:val="24"/>
          <w:szCs w:val="24"/>
          <w:highlight w:val="none"/>
          <w:lang w:eastAsia="zh-CN"/>
        </w:rPr>
        <w:t>做好</w:t>
      </w:r>
      <w:r>
        <w:rPr>
          <w:rFonts w:hint="eastAsia" w:ascii="宋体" w:hAnsi="宋体" w:eastAsia="宋体" w:cs="宋体"/>
          <w:color w:val="auto"/>
          <w:spacing w:val="0"/>
          <w:sz w:val="24"/>
          <w:szCs w:val="24"/>
          <w:highlight w:val="none"/>
        </w:rPr>
        <w:t>空气处理系统均衡送排风量以及控制。室内吊顶需设置全新风的送风口，均匀分布安装于室内吊顶上，使得室内的受冷热面域加大，降低污染气体在室内的循环污染。</w:t>
      </w:r>
    </w:p>
    <w:p w14:paraId="29BD7D2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要点二：PCR实验室的整体维护与安装：基因扩增实验室属于P2级生物安全实验室，实验室的样本具有生物危害风险，可能是致病菌、病毒或细胞等。为保证生物安全及实验室操作人员的健康，防止致病因子外泄，实验室应有独立或相对独立的区域，最大限度避免污染和交叉污染，保证合理的空气流向，便于耐酸、耐碱、清洁、操作和维护、保证工作质量和人员安全。</w:t>
      </w:r>
    </w:p>
    <w:bookmarkEnd w:id="74"/>
    <w:bookmarkEnd w:id="75"/>
    <w:p w14:paraId="421CF9BF">
      <w:pPr>
        <w:pStyle w:val="2"/>
        <w:pageBreakBefore w:val="0"/>
        <w:numPr>
          <w:ilvl w:val="0"/>
          <w:numId w:val="0"/>
        </w:numPr>
        <w:shd w:val="clear"/>
        <w:kinsoku/>
        <w:wordWrap/>
        <w:overflowPunct/>
        <w:topLinePunct w:val="0"/>
        <w:autoSpaceDE/>
        <w:autoSpaceDN/>
        <w:bidi w:val="0"/>
        <w:snapToGrid w:val="0"/>
        <w:spacing w:before="0" w:beforeAutospacing="0" w:after="0" w:afterAutospacing="0" w:line="300" w:lineRule="auto"/>
        <w:ind w:left="0" w:leftChars="0" w:firstLine="0" w:firstLineChars="0"/>
        <w:rPr>
          <w:rFonts w:hint="eastAsia" w:ascii="宋体" w:hAnsi="宋体" w:eastAsia="宋体" w:cs="宋体"/>
          <w:color w:val="auto"/>
          <w:spacing w:val="0"/>
          <w:sz w:val="24"/>
          <w:szCs w:val="24"/>
          <w:highlight w:val="none"/>
        </w:rPr>
      </w:pPr>
      <w:bookmarkStart w:id="76" w:name="_Toc10247"/>
      <w:bookmarkStart w:id="77" w:name="_Toc8023"/>
      <w:bookmarkStart w:id="78" w:name="_Toc6764"/>
      <w:bookmarkStart w:id="79" w:name="_Toc2368"/>
      <w:r>
        <w:rPr>
          <w:rFonts w:hint="eastAsia" w:ascii="宋体" w:hAnsi="宋体" w:eastAsia="宋体" w:cs="宋体"/>
          <w:b/>
          <w:bCs/>
          <w:color w:val="auto"/>
          <w:spacing w:val="0"/>
          <w:kern w:val="44"/>
          <w:sz w:val="24"/>
          <w:szCs w:val="24"/>
          <w:highlight w:val="none"/>
          <w:lang w:val="en-US" w:eastAsia="zh-CN" w:bidi="ar-SA"/>
        </w:rPr>
        <w:t>4、</w:t>
      </w:r>
      <w:r>
        <w:rPr>
          <w:rFonts w:hint="eastAsia" w:ascii="宋体" w:hAnsi="宋体" w:eastAsia="宋体" w:cs="宋体"/>
          <w:color w:val="auto"/>
          <w:spacing w:val="0"/>
          <w:sz w:val="24"/>
          <w:szCs w:val="24"/>
          <w:highlight w:val="none"/>
        </w:rPr>
        <w:t>装饰装修系统</w:t>
      </w:r>
      <w:bookmarkEnd w:id="76"/>
      <w:bookmarkEnd w:id="77"/>
      <w:bookmarkEnd w:id="78"/>
      <w:r>
        <w:rPr>
          <w:rFonts w:hint="eastAsia" w:ascii="宋体" w:hAnsi="宋体" w:eastAsia="宋体" w:cs="宋体"/>
          <w:color w:val="auto"/>
          <w:spacing w:val="0"/>
          <w:sz w:val="24"/>
          <w:szCs w:val="24"/>
          <w:highlight w:val="none"/>
        </w:rPr>
        <w:t>技术说明</w:t>
      </w:r>
      <w:bookmarkEnd w:id="79"/>
    </w:p>
    <w:p w14:paraId="7F61A7FD">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1墙面装饰</w:t>
      </w:r>
    </w:p>
    <w:p w14:paraId="2AEF10D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4.1.1</w:t>
      </w:r>
      <w:r>
        <w:rPr>
          <w:rFonts w:hint="eastAsia" w:ascii="宋体" w:hAnsi="宋体" w:eastAsia="宋体" w:cs="宋体"/>
          <w:color w:val="auto"/>
          <w:spacing w:val="0"/>
          <w:sz w:val="24"/>
          <w:szCs w:val="24"/>
          <w:highlight w:val="none"/>
        </w:rPr>
        <w:t>常规实验室隔墙采用75轻钢龙骨隔墙系统：8mm硅酸钙板+75mm轻钢龙骨（内填岩棉）+8mm硅酸钙板</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轻钢龙骨隔墙具有重量轻、强度较高、耐火性好、通用性强且安装简易的特性</w:t>
      </w:r>
      <w:r>
        <w:rPr>
          <w:rFonts w:hint="eastAsia" w:ascii="宋体" w:hAnsi="宋体" w:eastAsia="宋体" w:cs="宋体"/>
          <w:color w:val="auto"/>
          <w:spacing w:val="0"/>
          <w:sz w:val="24"/>
          <w:szCs w:val="24"/>
          <w:highlight w:val="none"/>
          <w:lang w:eastAsia="zh-CN"/>
        </w:rPr>
        <w:t>，具</w:t>
      </w:r>
      <w:r>
        <w:rPr>
          <w:rFonts w:hint="eastAsia" w:ascii="宋体" w:hAnsi="宋体" w:eastAsia="宋体" w:cs="宋体"/>
          <w:color w:val="auto"/>
          <w:spacing w:val="0"/>
          <w:sz w:val="24"/>
          <w:szCs w:val="24"/>
          <w:highlight w:val="none"/>
        </w:rPr>
        <w:t>有适应防震、防尘、隔音、吸音、恒温等功效，同时还具有工期短、施工简便、不易变形等优点。</w:t>
      </w:r>
    </w:p>
    <w:p w14:paraId="6A9C32AA">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4.1.2</w:t>
      </w:r>
      <w:r>
        <w:rPr>
          <w:rFonts w:hint="eastAsia" w:ascii="宋体" w:hAnsi="宋体" w:eastAsia="宋体" w:cs="宋体"/>
          <w:color w:val="auto"/>
          <w:spacing w:val="0"/>
          <w:sz w:val="24"/>
          <w:szCs w:val="24"/>
          <w:highlight w:val="none"/>
        </w:rPr>
        <w:t>常规实验室墙面饰面采用6mm厚无机预涂板饰面。6mm厚无机预涂板：6mm厚无机预涂板是一种由装饰层和无机芯材经高温高压制作而成的一种板材，绿色环保、防潮抗菌、易清洁、具有耐久性、抗老化性等特点。</w:t>
      </w:r>
    </w:p>
    <w:p w14:paraId="5B8B101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4.1.3</w:t>
      </w:r>
      <w:r>
        <w:rPr>
          <w:rFonts w:hint="eastAsia" w:ascii="宋体" w:hAnsi="宋体" w:eastAsia="宋体" w:cs="宋体"/>
          <w:color w:val="auto"/>
          <w:spacing w:val="0"/>
          <w:sz w:val="24"/>
          <w:szCs w:val="24"/>
          <w:highlight w:val="none"/>
        </w:rPr>
        <w:t>微生物操作实验室、二代测序分子实验区域墙面均采用50mm系列手工双面玻镁岩棉夹芯彩钢板隔墙。双面玻镁岩棉夹芯彩钢板：彩钢夹芯板需具有保温、消音、防潮、平整、光滑、不产尘等特点；彩钢板的整体强度要好，芯材不能外露，安装后不扭曲，不变形。整体装配后的彩钢板洁净室送风时不得有变形；彩钢夹芯板采用中字型拼接，板缝及开孔处全部采用密封硅胶填实，确保洁净室的气密性，不漏风，不易受外界污染；满足一小时防火要求</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防火等级：A。</w:t>
      </w:r>
    </w:p>
    <w:p w14:paraId="69887D5E">
      <w:pPr>
        <w:pStyle w:val="73"/>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4.1.4</w:t>
      </w:r>
      <w:r>
        <w:rPr>
          <w:rFonts w:hint="eastAsia" w:ascii="宋体" w:hAnsi="宋体" w:eastAsia="宋体" w:cs="宋体"/>
          <w:color w:val="auto"/>
          <w:spacing w:val="0"/>
          <w:sz w:val="24"/>
          <w:szCs w:val="24"/>
          <w:highlight w:val="none"/>
        </w:rPr>
        <w:t>办公区、库房等辅助类用房墙面饰面采用白色无机涂料饰面；污洗空间，卫生间等湿区采用300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600mm墙砖；空调机房墙面采用</w:t>
      </w:r>
      <w:r>
        <w:rPr>
          <w:rFonts w:hint="eastAsia" w:ascii="宋体" w:hAnsi="宋体" w:eastAsia="宋体" w:cs="宋体"/>
          <w:color w:val="auto"/>
          <w:spacing w:val="0"/>
          <w:sz w:val="24"/>
          <w:szCs w:val="24"/>
          <w:highlight w:val="none"/>
          <w:lang w:val="en-US" w:eastAsia="zh-CN"/>
        </w:rPr>
        <w:t>硅钙板孔板</w:t>
      </w:r>
      <w:r>
        <w:rPr>
          <w:rFonts w:hint="eastAsia" w:ascii="宋体" w:hAnsi="宋体" w:eastAsia="宋体" w:cs="宋体"/>
          <w:color w:val="auto"/>
          <w:spacing w:val="0"/>
          <w:sz w:val="24"/>
          <w:szCs w:val="24"/>
          <w:highlight w:val="none"/>
        </w:rPr>
        <w:t>墙面(穿孔率20%，孔径10.4mm)。冷库墙面采用聚氨酯保温板墙面（按整体冷库系统综合考虑）。</w:t>
      </w:r>
    </w:p>
    <w:p w14:paraId="18AAB610">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b w:val="0"/>
          <w:bCs w:val="0"/>
          <w:color w:val="auto"/>
          <w:spacing w:val="0"/>
          <w:kern w:val="2"/>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2顶面装饰</w:t>
      </w:r>
    </w:p>
    <w:p w14:paraId="7D454167">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b w:val="0"/>
          <w:bCs w:val="0"/>
          <w:color w:val="auto"/>
          <w:spacing w:val="0"/>
          <w:kern w:val="2"/>
          <w:sz w:val="24"/>
          <w:szCs w:val="24"/>
          <w:highlight w:val="none"/>
          <w:lang w:val="en-US" w:eastAsia="zh-CN" w:bidi="ar-SA"/>
        </w:rPr>
        <w:t>常规实验室采用600×600×0.8</w:t>
      </w:r>
      <w:r>
        <w:rPr>
          <w:rFonts w:hint="eastAsia" w:ascii="宋体" w:hAnsi="宋体" w:eastAsia="宋体" w:cs="宋体"/>
          <w:color w:val="auto"/>
          <w:spacing w:val="0"/>
          <w:sz w:val="24"/>
          <w:szCs w:val="24"/>
          <w:highlight w:val="none"/>
        </w:rPr>
        <w:t>mm</w:t>
      </w:r>
      <w:r>
        <w:rPr>
          <w:rFonts w:hint="eastAsia" w:ascii="宋体" w:hAnsi="宋体" w:eastAsia="宋体" w:cs="宋体"/>
          <w:b w:val="0"/>
          <w:bCs w:val="0"/>
          <w:color w:val="auto"/>
          <w:spacing w:val="0"/>
          <w:kern w:val="2"/>
          <w:sz w:val="24"/>
          <w:szCs w:val="24"/>
          <w:highlight w:val="none"/>
          <w:lang w:val="en-US" w:eastAsia="zh-CN" w:bidi="ar-SA"/>
        </w:rPr>
        <w:t>/600×1200×1.0</w:t>
      </w:r>
      <w:r>
        <w:rPr>
          <w:rFonts w:hint="eastAsia" w:ascii="宋体" w:hAnsi="宋体" w:eastAsia="宋体" w:cs="宋体"/>
          <w:color w:val="auto"/>
          <w:spacing w:val="0"/>
          <w:sz w:val="24"/>
          <w:szCs w:val="24"/>
          <w:highlight w:val="none"/>
        </w:rPr>
        <w:t>mm</w:t>
      </w:r>
      <w:r>
        <w:rPr>
          <w:rFonts w:hint="eastAsia" w:ascii="宋体" w:hAnsi="宋体" w:eastAsia="宋体" w:cs="宋体"/>
          <w:b w:val="0"/>
          <w:bCs w:val="0"/>
          <w:color w:val="auto"/>
          <w:spacing w:val="0"/>
          <w:kern w:val="2"/>
          <w:sz w:val="24"/>
          <w:szCs w:val="24"/>
          <w:highlight w:val="none"/>
          <w:lang w:val="en-US" w:eastAsia="zh-CN" w:bidi="ar-SA"/>
        </w:rPr>
        <w:t>铝扣</w:t>
      </w:r>
      <w:r>
        <w:rPr>
          <w:rFonts w:hint="eastAsia" w:ascii="宋体" w:hAnsi="宋体" w:eastAsia="宋体" w:cs="宋体"/>
          <w:color w:val="auto"/>
          <w:spacing w:val="0"/>
          <w:sz w:val="24"/>
          <w:szCs w:val="24"/>
          <w:highlight w:val="none"/>
        </w:rPr>
        <w:t>板吊顶。铝扣板顶板表面耐强氧化剂腐蚀、易清洁、平整无划痕、无凹凸缺陷，颜色为白灰色，颜色均匀，无明显色差，不脱落异物。</w:t>
      </w:r>
    </w:p>
    <w:p w14:paraId="031A02F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洁净实验室顶面采用50mm系列手工单面玻镁岩棉夹芯彩钢板吊顶；冷库顶面采用聚氨酯保温板（彩钢板面层）吊顶（按整体冷库系统综合考虑）</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设备机房及流水线区域顶面采用无机涂料饰面。</w:t>
      </w:r>
    </w:p>
    <w:p w14:paraId="6643942E">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3地面装饰</w:t>
      </w:r>
    </w:p>
    <w:p w14:paraId="5DF80F4C">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4.3.1</w:t>
      </w:r>
      <w:r>
        <w:rPr>
          <w:rFonts w:hint="eastAsia" w:ascii="宋体" w:hAnsi="宋体" w:eastAsia="宋体" w:cs="宋体"/>
          <w:color w:val="auto"/>
          <w:spacing w:val="0"/>
          <w:sz w:val="24"/>
          <w:szCs w:val="24"/>
          <w:highlight w:val="none"/>
        </w:rPr>
        <w:t>洁净实验室地面采用2mmPVC卷材，3mm水泥自流平及界面剂处理后，铺贴2.0mm厚优质耐磨同质透芯、防渗透、抗菌PVC卷材地板。踢脚线PVC上墙100mm</w:t>
      </w:r>
      <w:r>
        <w:rPr>
          <w:rFonts w:hint="eastAsia" w:ascii="宋体" w:hAnsi="宋体" w:eastAsia="宋体" w:cs="宋体"/>
          <w:color w:val="auto"/>
          <w:spacing w:val="0"/>
          <w:sz w:val="24"/>
          <w:szCs w:val="24"/>
          <w:highlight w:val="none"/>
          <w:lang w:eastAsia="zh-CN"/>
        </w:rPr>
        <w:t>，地面必须是无缝焊接，且墙角必须做成弧线（</w:t>
      </w:r>
      <w:r>
        <w:rPr>
          <w:rFonts w:hint="eastAsia" w:ascii="宋体" w:hAnsi="宋体" w:eastAsia="宋体" w:cs="宋体"/>
          <w:color w:val="auto"/>
          <w:spacing w:val="0"/>
          <w:sz w:val="24"/>
          <w:szCs w:val="24"/>
          <w:highlight w:val="none"/>
          <w:lang w:val="en-US" w:eastAsia="zh-CN"/>
        </w:rPr>
        <w:t>R50以上</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。防火等级要求达到B1级。抗菌、防火、耐磨，全部热焊无缝处理</w:t>
      </w:r>
      <w:bookmarkStart w:id="80" w:name="OLE_LINK2"/>
      <w:bookmarkStart w:id="81" w:name="OLE_LINK1"/>
      <w:r>
        <w:rPr>
          <w:rFonts w:hint="eastAsia" w:ascii="宋体" w:hAnsi="宋体" w:eastAsia="宋体" w:cs="宋体"/>
          <w:color w:val="auto"/>
          <w:spacing w:val="0"/>
          <w:sz w:val="24"/>
          <w:szCs w:val="24"/>
          <w:highlight w:val="none"/>
        </w:rPr>
        <w:t>。</w:t>
      </w:r>
      <w:bookmarkEnd w:id="80"/>
      <w:bookmarkEnd w:id="81"/>
    </w:p>
    <w:p w14:paraId="3F52A64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4.3.2</w:t>
      </w:r>
      <w:r>
        <w:rPr>
          <w:rFonts w:hint="eastAsia" w:ascii="宋体" w:hAnsi="宋体" w:eastAsia="宋体" w:cs="宋体"/>
          <w:color w:val="auto"/>
          <w:spacing w:val="0"/>
          <w:sz w:val="24"/>
          <w:szCs w:val="24"/>
          <w:highlight w:val="none"/>
        </w:rPr>
        <w:t>检验流水线区域采用环氧地坪地面。普通环境实验室、办公区、库房等辅助类用房采用600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600mm/800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800mm防滑地砖地面。UPS间采用防静电架空地板地面。</w:t>
      </w:r>
    </w:p>
    <w:p w14:paraId="76A2D58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4.3.3</w:t>
      </w:r>
      <w:r>
        <w:rPr>
          <w:rFonts w:hint="eastAsia" w:ascii="宋体" w:hAnsi="宋体" w:eastAsia="宋体" w:cs="宋体"/>
          <w:color w:val="auto"/>
          <w:spacing w:val="0"/>
          <w:sz w:val="24"/>
          <w:szCs w:val="24"/>
          <w:highlight w:val="none"/>
        </w:rPr>
        <w:t>湿区地面采用防滑地砖规格：600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600mm。湿区，素水泥浆，20mm厚1：2.5水泥砂浆找平（最薄处），1.5mm厚聚合物防水涂料两道，20mm厚干硬性水泥砂浆，表面涂素水泥浆一道，600</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600防滑地砖面层。</w:t>
      </w:r>
    </w:p>
    <w:p w14:paraId="3E53E26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4.3.4</w:t>
      </w:r>
      <w:r>
        <w:rPr>
          <w:rFonts w:hint="eastAsia" w:ascii="宋体" w:hAnsi="宋体" w:eastAsia="宋体" w:cs="宋体"/>
          <w:color w:val="auto"/>
          <w:spacing w:val="0"/>
          <w:sz w:val="24"/>
          <w:szCs w:val="24"/>
          <w:highlight w:val="none"/>
        </w:rPr>
        <w:t>冷库地面采用聚氨酯冷库保温板+压花铝板地面（按整体冷库系统综合考虑）。机房地面采用细石混凝土硬化地面。</w:t>
      </w:r>
    </w:p>
    <w:p w14:paraId="1E882EAF">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4实验室成品气密钢质门</w:t>
      </w:r>
    </w:p>
    <w:p w14:paraId="43C6562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4.4.1</w:t>
      </w:r>
      <w:r>
        <w:rPr>
          <w:rFonts w:hint="eastAsia" w:ascii="宋体" w:hAnsi="宋体" w:eastAsia="宋体" w:cs="宋体"/>
          <w:color w:val="auto"/>
          <w:spacing w:val="0"/>
          <w:sz w:val="24"/>
          <w:szCs w:val="24"/>
          <w:highlight w:val="none"/>
        </w:rPr>
        <w:t>实验室采用成品气密钢板门，门框材厚度1.2mm</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门板材质0.8mm冷轧钢板，门上设可视窗（5mm双层密闭观察窗），安装完成和墙体齐平。</w:t>
      </w:r>
    </w:p>
    <w:p w14:paraId="6644A52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4.4.2</w:t>
      </w:r>
      <w:r>
        <w:rPr>
          <w:rFonts w:hint="eastAsia" w:ascii="宋体" w:hAnsi="宋体" w:eastAsia="宋体" w:cs="宋体"/>
          <w:color w:val="auto"/>
          <w:spacing w:val="0"/>
          <w:sz w:val="24"/>
          <w:szCs w:val="24"/>
          <w:highlight w:val="none"/>
        </w:rPr>
        <w:t xml:space="preserve"> 门扇门框材料：医用钢质室内门门扇厚度≥40mm，门扇钢板厚度≥0.8mm，门框钢板厚度≥1.</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mm。门框采用三边框，门框为整板折弯制作工艺，不得两块钢板焊接合成；门框90度角拼接而成，不能有焊接。安装采用外加预埋焊接工艺，门框灌浆、门框上不得预留焊接安装洞。</w:t>
      </w:r>
    </w:p>
    <w:p w14:paraId="2141185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4.4.3</w:t>
      </w:r>
      <w:r>
        <w:rPr>
          <w:rFonts w:hint="eastAsia" w:ascii="宋体" w:hAnsi="宋体" w:eastAsia="宋体" w:cs="宋体"/>
          <w:color w:val="auto"/>
          <w:spacing w:val="0"/>
          <w:sz w:val="24"/>
          <w:szCs w:val="24"/>
          <w:highlight w:val="none"/>
        </w:rPr>
        <w:t>门框三边应配有密封条，密封条须使用物理镶嵌形式，采用多腔体式密封条。密封材料应接头严密，表面平整、无咬边现象，平直均匀。</w:t>
      </w:r>
    </w:p>
    <w:p w14:paraId="26B40F8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4.4.4</w:t>
      </w:r>
      <w:r>
        <w:rPr>
          <w:rFonts w:hint="eastAsia" w:ascii="宋体" w:hAnsi="宋体" w:eastAsia="宋体" w:cs="宋体"/>
          <w:color w:val="auto"/>
          <w:spacing w:val="0"/>
          <w:sz w:val="24"/>
          <w:szCs w:val="24"/>
          <w:highlight w:val="none"/>
        </w:rPr>
        <w:t>门窗安装偏差：门框里口宽度±1mm；两立框的垂直度≦2mm；门框对角线差≦3mm。</w:t>
      </w:r>
    </w:p>
    <w:p w14:paraId="35D0A2A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4.4.5</w:t>
      </w:r>
      <w:r>
        <w:rPr>
          <w:rFonts w:hint="eastAsia" w:ascii="宋体" w:hAnsi="宋体" w:eastAsia="宋体" w:cs="宋体"/>
          <w:color w:val="auto"/>
          <w:spacing w:val="0"/>
          <w:sz w:val="24"/>
          <w:szCs w:val="24"/>
          <w:highlight w:val="none"/>
        </w:rPr>
        <w:t>涂料及表面处理：表面采用静电喷涂处理，门扇、门框颜色相同，表面无擦伤、划痕等质量缺陷。</w:t>
      </w:r>
    </w:p>
    <w:p w14:paraId="37624EC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4.4.6</w:t>
      </w:r>
      <w:r>
        <w:rPr>
          <w:rFonts w:hint="eastAsia" w:ascii="宋体" w:hAnsi="宋体" w:eastAsia="宋体" w:cs="宋体"/>
          <w:color w:val="auto"/>
          <w:spacing w:val="0"/>
          <w:sz w:val="24"/>
          <w:szCs w:val="24"/>
          <w:highlight w:val="none"/>
        </w:rPr>
        <w:t>五金件、把手：优质不锈钢把手。</w:t>
      </w:r>
    </w:p>
    <w:p w14:paraId="29D8C04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4.4.7</w:t>
      </w:r>
      <w:r>
        <w:rPr>
          <w:rFonts w:hint="eastAsia" w:ascii="宋体" w:hAnsi="宋体" w:eastAsia="宋体" w:cs="宋体"/>
          <w:color w:val="auto"/>
          <w:spacing w:val="0"/>
          <w:sz w:val="24"/>
          <w:szCs w:val="24"/>
          <w:highlight w:val="none"/>
        </w:rPr>
        <w:t>锁芯、锁体：锁芯联动插入式钢质锁体；卫生间门需配备BK锁芯带有应急打开功能。每樘门配不少于3把钥匙,并提供锁胚。</w:t>
      </w:r>
    </w:p>
    <w:p w14:paraId="17656D18">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4.4.8</w:t>
      </w:r>
      <w:r>
        <w:rPr>
          <w:rFonts w:hint="eastAsia" w:ascii="宋体" w:hAnsi="宋体" w:eastAsia="宋体" w:cs="宋体"/>
          <w:color w:val="auto"/>
          <w:spacing w:val="0"/>
          <w:sz w:val="24"/>
          <w:szCs w:val="24"/>
          <w:highlight w:val="none"/>
        </w:rPr>
        <w:t>铰链：优质不锈钢材质</w:t>
      </w:r>
    </w:p>
    <w:p w14:paraId="18D6817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4.4.9</w:t>
      </w:r>
      <w:r>
        <w:rPr>
          <w:rFonts w:hint="eastAsia" w:ascii="宋体" w:hAnsi="宋体" w:eastAsia="宋体" w:cs="宋体"/>
          <w:color w:val="auto"/>
          <w:spacing w:val="0"/>
          <w:sz w:val="24"/>
          <w:szCs w:val="24"/>
          <w:highlight w:val="none"/>
        </w:rPr>
        <w:t>门吸：优质不锈钢材质。</w:t>
      </w:r>
    </w:p>
    <w:p w14:paraId="1385524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4.4.10</w:t>
      </w:r>
      <w:r>
        <w:rPr>
          <w:rFonts w:hint="eastAsia" w:ascii="宋体" w:hAnsi="宋体" w:eastAsia="宋体" w:cs="宋体"/>
          <w:color w:val="auto"/>
          <w:spacing w:val="0"/>
          <w:sz w:val="24"/>
          <w:szCs w:val="24"/>
          <w:highlight w:val="none"/>
        </w:rPr>
        <w:t>天地销：优质不锈钢材质。双开门应配备分体暗插销。</w:t>
      </w:r>
    </w:p>
    <w:p w14:paraId="56011D4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4.4.11</w:t>
      </w:r>
      <w:r>
        <w:rPr>
          <w:rFonts w:hint="eastAsia" w:ascii="宋体" w:hAnsi="宋体" w:eastAsia="宋体" w:cs="宋体"/>
          <w:color w:val="auto"/>
          <w:spacing w:val="0"/>
          <w:sz w:val="24"/>
          <w:szCs w:val="24"/>
          <w:highlight w:val="none"/>
        </w:rPr>
        <w:t>视窗:病房门视窗玻璃选用符合规范的优质钢化玻璃，采用具有3C认证标识的双面净化玻璃视窗玻璃。</w:t>
      </w:r>
    </w:p>
    <w:p w14:paraId="0D68BA5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4.4.12</w:t>
      </w:r>
      <w:r>
        <w:rPr>
          <w:rFonts w:hint="eastAsia" w:ascii="宋体" w:hAnsi="宋体" w:eastAsia="宋体" w:cs="宋体"/>
          <w:color w:val="auto"/>
          <w:spacing w:val="0"/>
          <w:sz w:val="24"/>
          <w:szCs w:val="24"/>
          <w:highlight w:val="none"/>
        </w:rPr>
        <w:t>本项目中冷库门采用冷库专用保温门，</w:t>
      </w:r>
      <w:bookmarkStart w:id="82" w:name="OLE_LINK5"/>
      <w:bookmarkStart w:id="83" w:name="OLE_LINK4"/>
      <w:r>
        <w:rPr>
          <w:rFonts w:hint="eastAsia" w:ascii="宋体" w:hAnsi="宋体" w:eastAsia="宋体" w:cs="宋体"/>
          <w:color w:val="auto"/>
          <w:spacing w:val="0"/>
          <w:sz w:val="24"/>
          <w:szCs w:val="24"/>
          <w:highlight w:val="none"/>
        </w:rPr>
        <w:t>按整体冷库系统综合考虑</w:t>
      </w:r>
      <w:bookmarkEnd w:id="82"/>
      <w:bookmarkEnd w:id="83"/>
      <w:r>
        <w:rPr>
          <w:rFonts w:hint="eastAsia" w:ascii="宋体" w:hAnsi="宋体" w:eastAsia="宋体" w:cs="宋体"/>
          <w:color w:val="auto"/>
          <w:spacing w:val="0"/>
          <w:sz w:val="24"/>
          <w:szCs w:val="24"/>
          <w:highlight w:val="none"/>
        </w:rPr>
        <w:t>。</w:t>
      </w:r>
    </w:p>
    <w:p w14:paraId="7F4907DB">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5实验室观察窗</w:t>
      </w:r>
    </w:p>
    <w:p w14:paraId="092A403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4.5.1</w:t>
      </w:r>
      <w:r>
        <w:rPr>
          <w:rFonts w:hint="eastAsia" w:ascii="宋体" w:hAnsi="宋体" w:eastAsia="宋体" w:cs="宋体"/>
          <w:color w:val="auto"/>
          <w:spacing w:val="0"/>
          <w:sz w:val="24"/>
          <w:szCs w:val="24"/>
          <w:highlight w:val="none"/>
        </w:rPr>
        <w:t>观察窗采用8mm单层固定观察窗，中性玻璃胶密封处理，含镀锌方管龙骨框架，窗框材质为1.5mm厚铝合金。</w:t>
      </w:r>
    </w:p>
    <w:p w14:paraId="383CCA7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4.5.2</w:t>
      </w:r>
      <w:r>
        <w:rPr>
          <w:rFonts w:hint="eastAsia" w:ascii="宋体" w:hAnsi="宋体" w:eastAsia="宋体" w:cs="宋体"/>
          <w:color w:val="auto"/>
          <w:spacing w:val="0"/>
          <w:sz w:val="24"/>
          <w:szCs w:val="24"/>
          <w:highlight w:val="none"/>
        </w:rPr>
        <w:t>标本接收窗采用10mm厚钢化玻璃，1.5mm厚铝合金材质窗套，15mm厚人造大理石台面，台面宽度200~400mm，符合相关规范要求。</w:t>
      </w:r>
    </w:p>
    <w:p w14:paraId="788A2555">
      <w:pPr>
        <w:pStyle w:val="2"/>
        <w:pageBreakBefore w:val="0"/>
        <w:numPr>
          <w:ilvl w:val="0"/>
          <w:numId w:val="0"/>
        </w:numPr>
        <w:shd w:val="clear"/>
        <w:kinsoku/>
        <w:wordWrap/>
        <w:overflowPunct/>
        <w:topLinePunct w:val="0"/>
        <w:autoSpaceDE/>
        <w:autoSpaceDN/>
        <w:bidi w:val="0"/>
        <w:snapToGrid w:val="0"/>
        <w:spacing w:before="0" w:beforeAutospacing="0" w:after="0" w:afterAutospacing="0" w:line="300" w:lineRule="auto"/>
        <w:ind w:left="0" w:leftChars="0" w:firstLine="0" w:firstLineChars="0"/>
        <w:rPr>
          <w:rFonts w:hint="eastAsia" w:ascii="宋体" w:hAnsi="宋体" w:eastAsia="宋体" w:cs="宋体"/>
          <w:color w:val="auto"/>
          <w:spacing w:val="0"/>
          <w:sz w:val="24"/>
          <w:szCs w:val="24"/>
          <w:highlight w:val="none"/>
        </w:rPr>
      </w:pPr>
      <w:bookmarkStart w:id="84" w:name="_Toc25531"/>
      <w:r>
        <w:rPr>
          <w:rFonts w:hint="eastAsia" w:ascii="宋体" w:hAnsi="宋体" w:eastAsia="宋体" w:cs="宋体"/>
          <w:b/>
          <w:bCs/>
          <w:color w:val="auto"/>
          <w:spacing w:val="0"/>
          <w:kern w:val="44"/>
          <w:sz w:val="24"/>
          <w:szCs w:val="24"/>
          <w:highlight w:val="none"/>
          <w:lang w:val="en-US" w:eastAsia="zh-CN" w:bidi="ar-SA"/>
        </w:rPr>
        <w:t>5、</w:t>
      </w:r>
      <w:r>
        <w:rPr>
          <w:rFonts w:hint="eastAsia" w:ascii="宋体" w:hAnsi="宋体" w:eastAsia="宋体" w:cs="宋体"/>
          <w:color w:val="auto"/>
          <w:spacing w:val="0"/>
          <w:sz w:val="24"/>
          <w:szCs w:val="24"/>
          <w:highlight w:val="none"/>
        </w:rPr>
        <w:t>实验室家具系统性能描述</w:t>
      </w:r>
      <w:bookmarkEnd w:id="84"/>
    </w:p>
    <w:p w14:paraId="00FAD202">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1通风柜</w:t>
      </w:r>
    </w:p>
    <w:p w14:paraId="3A4E6C5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5.1.1</w:t>
      </w:r>
      <w:r>
        <w:rPr>
          <w:rFonts w:hint="eastAsia" w:ascii="宋体" w:hAnsi="宋体" w:eastAsia="宋体" w:cs="宋体"/>
          <w:color w:val="auto"/>
          <w:spacing w:val="0"/>
          <w:sz w:val="24"/>
          <w:szCs w:val="24"/>
          <w:highlight w:val="none"/>
        </w:rPr>
        <w:t xml:space="preserve">台面：采用耐腐蚀实芯理化板材质； </w:t>
      </w:r>
    </w:p>
    <w:p w14:paraId="2269538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5.1.2框架结构要求</w:t>
      </w:r>
    </w:p>
    <w:p w14:paraId="38A696F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 xml:space="preserve">采用模块化框架结构： </w:t>
      </w:r>
    </w:p>
    <w:p w14:paraId="73AD1CB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1）顶部含照明； </w:t>
      </w:r>
    </w:p>
    <w:p w14:paraId="441D06C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2）中部为负压操作区域，可选配不同材质的内衬以满足不同实验需求； </w:t>
      </w:r>
    </w:p>
    <w:p w14:paraId="7F4A8E0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3）下部为模块化伺服面板，内含独立水、电、气管线系统； </w:t>
      </w:r>
    </w:p>
    <w:p w14:paraId="120308E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4）下柜为可移动模块化结构； </w:t>
      </w:r>
    </w:p>
    <w:p w14:paraId="0845519C">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前</w:t>
      </w:r>
      <w:r>
        <w:rPr>
          <w:rFonts w:hint="eastAsia" w:ascii="宋体" w:hAnsi="宋体" w:eastAsia="宋体" w:cs="宋体"/>
          <w:color w:val="auto"/>
          <w:spacing w:val="0"/>
          <w:sz w:val="24"/>
          <w:szCs w:val="24"/>
          <w:highlight w:val="none"/>
          <w:lang w:eastAsia="zh-CN"/>
        </w:rPr>
        <w:t>、后</w:t>
      </w:r>
      <w:r>
        <w:rPr>
          <w:rFonts w:hint="eastAsia" w:ascii="宋体" w:hAnsi="宋体" w:eastAsia="宋体" w:cs="宋体"/>
          <w:color w:val="auto"/>
          <w:spacing w:val="0"/>
          <w:sz w:val="24"/>
          <w:szCs w:val="24"/>
          <w:highlight w:val="none"/>
        </w:rPr>
        <w:t xml:space="preserve">主框架： </w:t>
      </w:r>
    </w:p>
    <w:p w14:paraId="0F8EA56C">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采用优质冷轧钢板</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 xml:space="preserve">表面经酸洗磷化高压喷淋工艺处理、烘干后，使用环氧树脂粉末静电喷涂，经 220°高温固化，涂层厚度 ≥75μm，满足实验室家具硬度、耐腐蚀、附着力的技术要求。表面光滑均匀、色泽一致，无流挂、皱皮、鼓泡、凹陷、压痕； </w:t>
      </w:r>
    </w:p>
    <w:p w14:paraId="390DC698">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 xml:space="preserve">内衬及导流板： </w:t>
      </w:r>
    </w:p>
    <w:p w14:paraId="584611E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采用4mm 厚白色实验室专用通风柜抗倍特板，导流排风设计； </w:t>
      </w:r>
    </w:p>
    <w:p w14:paraId="7D838520">
      <w:pPr>
        <w:pageBreakBefore w:val="0"/>
        <w:shd w:val="clear"/>
        <w:tabs>
          <w:tab w:val="left" w:pos="465"/>
        </w:tabs>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 xml:space="preserve">视窗： </w:t>
      </w:r>
    </w:p>
    <w:p w14:paraId="6830FCE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 玻璃：钢化玻璃，透明度高、安全性高； </w:t>
      </w:r>
    </w:p>
    <w:p w14:paraId="6174183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 窗框及导槽采用国标铝锭经专业模具拉伸成型后，经专用 CNC 设备进行切、铣、刨、钻孔、攻丝加工。表面经环氧树脂粉末喷涂，经 220°高温固化，涂层厚度 ≥75μm，满足实验室防潮、防腐要求。 </w:t>
      </w:r>
    </w:p>
    <w:p w14:paraId="2A89FD8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需配合专用可调导块，使移门耐磨、轻滑，能有效解决了传统卡死现象，可在指定区域任意位置停留； </w:t>
      </w:r>
    </w:p>
    <w:p w14:paraId="013E6D37">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3）视窗开启高度范围 20mm≤H≤900mm。视窗上印有安全操作指示，提示实验操作者规范操作； </w:t>
      </w:r>
    </w:p>
    <w:p w14:paraId="56150B5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 xml:space="preserve">同步带轮： </w:t>
      </w:r>
    </w:p>
    <w:p w14:paraId="6CCA651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同步轮为精密注塑一体成型，每个同步轮自带优质轴承，提高寿命和精度； </w:t>
      </w:r>
    </w:p>
    <w:p w14:paraId="2DE8112D">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 xml:space="preserve">照明： </w:t>
      </w:r>
    </w:p>
    <w:p w14:paraId="34E6456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采用全罩式灯座设计，内置品牌三防 LED 灯，光度≥750LUX，隐藏于导流板上方，易维修，且具有泄爆功能； </w:t>
      </w:r>
    </w:p>
    <w:p w14:paraId="75C28BBA">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 xml:space="preserve">产品具有功能： </w:t>
      </w:r>
    </w:p>
    <w:p w14:paraId="3FB8F1A9">
      <w:pPr>
        <w:pageBreakBefore w:val="0"/>
        <w:numPr>
          <w:ilvl w:val="0"/>
          <w:numId w:val="5"/>
        </w:numPr>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压力损失结果：通风柜达到额定的面风速 0.5m/s 时，其整理压力损失应低于70pa。</w:t>
      </w:r>
    </w:p>
    <w:p w14:paraId="27B11BE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3）移门拉力结果：通风柜移门抬起和拉下时，最大力不超过30N。</w:t>
      </w:r>
    </w:p>
    <w:p w14:paraId="6687BEB8">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2实验边台</w:t>
      </w:r>
    </w:p>
    <w:p w14:paraId="2F67173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5.2.1</w:t>
      </w:r>
      <w:r>
        <w:rPr>
          <w:rFonts w:hint="eastAsia" w:ascii="宋体" w:hAnsi="宋体" w:eastAsia="宋体" w:cs="宋体"/>
          <w:color w:val="auto"/>
          <w:spacing w:val="0"/>
          <w:sz w:val="24"/>
          <w:szCs w:val="24"/>
          <w:highlight w:val="none"/>
        </w:rPr>
        <w:t>材料要求</w:t>
      </w:r>
    </w:p>
    <w:p w14:paraId="194D8FF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柜体：使用全钢柜体，钢制柜体加工材料为符合相应标准的优质低碳冷轧钢板。柜体钢材基本厚度应达到或优于以下标准：1.2mm。柜体主结构：抽屉、外门板、底柜活动层板、装饰封板、调整脚支撑板等。</w:t>
      </w:r>
    </w:p>
    <w:p w14:paraId="1354EA1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5.2.2</w:t>
      </w:r>
      <w:r>
        <w:rPr>
          <w:rFonts w:hint="eastAsia" w:ascii="宋体" w:hAnsi="宋体" w:eastAsia="宋体" w:cs="宋体"/>
          <w:color w:val="auto"/>
          <w:spacing w:val="0"/>
          <w:sz w:val="24"/>
          <w:szCs w:val="24"/>
          <w:highlight w:val="none"/>
        </w:rPr>
        <w:t>底柜五金及配件</w:t>
      </w:r>
    </w:p>
    <w:p w14:paraId="58B62D7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合页铰链：采用门板承重要求厚2.0mm及以上的304不锈钢材质180°及以上合页铰链； 柜门可以全部打开，外型美观，使用过程中无噪音，耐腐蚀，使用寿命长。</w:t>
      </w:r>
    </w:p>
    <w:p w14:paraId="50827F4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抽屉导轨：采用三节承重导轨；</w:t>
      </w:r>
    </w:p>
    <w:p w14:paraId="6D4D2DB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把手：不锈钢C型拉手；</w:t>
      </w:r>
    </w:p>
    <w:p w14:paraId="74BC533D">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门板缓冲垫：采用橡胶材质；</w:t>
      </w:r>
    </w:p>
    <w:p w14:paraId="31FAFF9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门扣组：采用优质304不锈钢材质的伸缩滚轮止动门扣组；</w:t>
      </w:r>
    </w:p>
    <w:p w14:paraId="509791D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层板支撑扣：采用厚1.2mm及以上的优质304不锈钢板；</w:t>
      </w:r>
    </w:p>
    <w:p w14:paraId="392146AD">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调整脚：采用高强度ABS材质，可调高度大于20mm，保证整个柜体水平良好；加工工艺优良，确保产品质量良好。</w:t>
      </w:r>
    </w:p>
    <w:p w14:paraId="6A5E996D">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5.2.3</w:t>
      </w:r>
      <w:r>
        <w:rPr>
          <w:rFonts w:hint="eastAsia" w:ascii="宋体" w:hAnsi="宋体" w:eastAsia="宋体" w:cs="宋体"/>
          <w:color w:val="auto"/>
          <w:spacing w:val="0"/>
          <w:sz w:val="24"/>
          <w:szCs w:val="24"/>
          <w:highlight w:val="none"/>
        </w:rPr>
        <w:t>台面：</w:t>
      </w:r>
    </w:p>
    <w:p w14:paraId="3533908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采用≥12.7mm厚耐腐蚀实芯理化板台面（带一体成型阻水边）。</w:t>
      </w:r>
    </w:p>
    <w:p w14:paraId="58351878">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3</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生物安全柜</w:t>
      </w:r>
    </w:p>
    <w:p w14:paraId="410E905B">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（1）系统功能用途描述</w:t>
      </w:r>
    </w:p>
    <w:p w14:paraId="374C65F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防止实验操作处理过程中某些含有危险性或未知性生物微粒发生气溶胶散逸的箱型空气净化负压安全装置。</w:t>
      </w:r>
    </w:p>
    <w:p w14:paraId="1563DC7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（2）技术标准（所有所投产品须符合以下规范标准要求）</w:t>
      </w:r>
    </w:p>
    <w:p w14:paraId="43F7652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中华人民共和国医药行业标准《YY 0569-2011》</w:t>
      </w:r>
    </w:p>
    <w:p w14:paraId="5AB08F8C">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（3）系统配置及技术要求</w:t>
      </w:r>
    </w:p>
    <w:p w14:paraId="386BFD9C">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气流模式：达到30%外排</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70%内循环要求</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A2</w:t>
      </w:r>
      <w:r>
        <w:rPr>
          <w:rFonts w:hint="eastAsia" w:ascii="宋体" w:hAnsi="宋体" w:eastAsia="宋体" w:cs="宋体"/>
          <w:color w:val="auto"/>
          <w:spacing w:val="0"/>
          <w:sz w:val="24"/>
          <w:szCs w:val="24"/>
          <w:highlight w:val="none"/>
          <w:lang w:eastAsia="zh-CN"/>
        </w:rPr>
        <w:t>型）；</w:t>
      </w:r>
      <w:r>
        <w:rPr>
          <w:rFonts w:hint="eastAsia" w:ascii="宋体" w:hAnsi="宋体" w:eastAsia="宋体" w:cs="宋体"/>
          <w:color w:val="auto"/>
          <w:spacing w:val="0"/>
          <w:sz w:val="24"/>
          <w:szCs w:val="24"/>
          <w:highlight w:val="none"/>
          <w:lang w:val="en-US" w:eastAsia="zh-CN"/>
        </w:rPr>
        <w:t>100%外排（B2型）</w:t>
      </w:r>
      <w:r>
        <w:rPr>
          <w:rFonts w:hint="eastAsia" w:ascii="宋体" w:hAnsi="宋体" w:eastAsia="宋体" w:cs="宋体"/>
          <w:color w:val="auto"/>
          <w:spacing w:val="0"/>
          <w:sz w:val="24"/>
          <w:szCs w:val="24"/>
          <w:highlight w:val="none"/>
        </w:rPr>
        <w:t>。</w:t>
      </w:r>
    </w:p>
    <w:p w14:paraId="61EE28EA">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外箱体采用优质冷轧钢板，静电喷塑；操作区三侧采用不锈钢一体化结构，内部可清洗部位采用10mm大圆角处理，便于清理。</w:t>
      </w:r>
    </w:p>
    <w:p w14:paraId="664B8E66">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标配两块ULPA超高效过滤器,针对0.12μm颗粒系达到过滤</w:t>
      </w:r>
      <w:r>
        <w:rPr>
          <w:rFonts w:hint="eastAsia" w:ascii="宋体" w:hAnsi="宋体" w:eastAsia="宋体" w:cs="宋体"/>
          <w:color w:val="auto"/>
          <w:spacing w:val="0"/>
          <w:sz w:val="24"/>
          <w:szCs w:val="24"/>
          <w:highlight w:val="none"/>
          <w:lang w:eastAsia="zh-CN"/>
        </w:rPr>
        <w:t>效率</w:t>
      </w:r>
      <w:r>
        <w:rPr>
          <w:rFonts w:hint="eastAsia" w:ascii="宋体" w:hAnsi="宋体" w:eastAsia="宋体" w:cs="宋体"/>
          <w:color w:val="auto"/>
          <w:spacing w:val="0"/>
          <w:sz w:val="24"/>
          <w:szCs w:val="24"/>
          <w:highlight w:val="none"/>
        </w:rPr>
        <w:t>99.999</w:t>
      </w: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%，过滤膜材质采用无隔板硼硅酸盐玻璃纤维。</w:t>
      </w:r>
    </w:p>
    <w:p w14:paraId="6ACF5209">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控制软件LCD液晶屏显示可显示工作区温度、气流流速、过滤膜使用寿命等系统参数，可调节各项参数设定，蓝色显示屏数字指示各项参数示值，密码修改程序设置，防止误操作。</w:t>
      </w:r>
    </w:p>
    <w:p w14:paraId="2F871E12">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风机自带电压波动补偿功能，具有阻力感应补偿功能，有效地延长超高效过滤器的使用寿命。</w:t>
      </w:r>
    </w:p>
    <w:p w14:paraId="3E9BC31D">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温度传感器：可实时检测并显示温度。</w:t>
      </w:r>
    </w:p>
    <w:p w14:paraId="4EE0FCD4">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rPr>
        <w:t>配备过滤器预失效和破损及阻塞报警技术，配备风机过载报警提示。</w:t>
      </w:r>
    </w:p>
    <w:p w14:paraId="0EE0590B">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rPr>
        <w:t>当移动玻璃门超过规定限高值（200mm）时，警示提醒用户。</w:t>
      </w:r>
    </w:p>
    <w:p w14:paraId="2445CEFA">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w:t>
      </w:r>
      <w:r>
        <w:rPr>
          <w:rFonts w:hint="eastAsia" w:ascii="宋体" w:hAnsi="宋体" w:eastAsia="宋体" w:cs="宋体"/>
          <w:color w:val="auto"/>
          <w:spacing w:val="0"/>
          <w:sz w:val="24"/>
          <w:szCs w:val="24"/>
          <w:highlight w:val="none"/>
        </w:rPr>
        <w:t xml:space="preserve">紫外灯具有定时预约功能。                                 </w:t>
      </w:r>
    </w:p>
    <w:p w14:paraId="2E0A2D77">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前窗一体化滑动移门，可任意定位，且能完全关闭以便杀菌。前窗玻璃门采用不低于6mm厚安全钢化玻璃。</w:t>
      </w:r>
    </w:p>
    <w:p w14:paraId="7CBD9B85">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11）</w:t>
      </w:r>
      <w:r>
        <w:rPr>
          <w:rFonts w:hint="eastAsia" w:ascii="宋体" w:hAnsi="宋体" w:eastAsia="宋体" w:cs="宋体"/>
          <w:color w:val="auto"/>
          <w:spacing w:val="0"/>
          <w:sz w:val="24"/>
          <w:szCs w:val="24"/>
          <w:highlight w:val="none"/>
        </w:rPr>
        <w:t>前窗与杀菌灯连锁设计：当前窗开启时，杀菌灯熄灭。</w:t>
      </w:r>
    </w:p>
    <w:p w14:paraId="5CEC9501">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12）</w:t>
      </w:r>
      <w:r>
        <w:rPr>
          <w:rFonts w:hint="eastAsia" w:ascii="宋体" w:hAnsi="宋体" w:eastAsia="宋体" w:cs="宋体"/>
          <w:color w:val="auto"/>
          <w:spacing w:val="0"/>
          <w:sz w:val="24"/>
          <w:szCs w:val="24"/>
          <w:highlight w:val="none"/>
        </w:rPr>
        <w:t>具有因停电，死机状态数据丢失而保护的参数记忆，来电恢复功能。</w:t>
      </w:r>
    </w:p>
    <w:p w14:paraId="767F1D97">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13）</w:t>
      </w:r>
      <w:r>
        <w:rPr>
          <w:rFonts w:hint="eastAsia" w:ascii="宋体" w:hAnsi="宋体" w:eastAsia="宋体" w:cs="宋体"/>
          <w:color w:val="auto"/>
          <w:spacing w:val="0"/>
          <w:sz w:val="24"/>
          <w:szCs w:val="24"/>
          <w:highlight w:val="none"/>
        </w:rPr>
        <w:t>前吸入口采用回风无阻碍的设计,确保人员在操作时有效防止逆流的形成，提高安全性。</w:t>
      </w:r>
    </w:p>
    <w:p w14:paraId="58CE8F83">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14）</w:t>
      </w:r>
      <w:r>
        <w:rPr>
          <w:rFonts w:hint="eastAsia" w:ascii="宋体" w:hAnsi="宋体" w:eastAsia="宋体" w:cs="宋体"/>
          <w:color w:val="auto"/>
          <w:spacing w:val="0"/>
          <w:sz w:val="24"/>
          <w:szCs w:val="24"/>
          <w:highlight w:val="none"/>
        </w:rPr>
        <w:t>设计10度倾斜，符合人体工程学动力。</w:t>
      </w:r>
    </w:p>
    <w:p w14:paraId="0FDDA2C7">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15）</w:t>
      </w:r>
      <w:r>
        <w:rPr>
          <w:rFonts w:hint="eastAsia" w:ascii="宋体" w:hAnsi="宋体" w:eastAsia="宋体" w:cs="宋体"/>
          <w:color w:val="auto"/>
          <w:spacing w:val="0"/>
          <w:sz w:val="24"/>
          <w:szCs w:val="24"/>
          <w:highlight w:val="none"/>
        </w:rPr>
        <w:t>撞击式采样器的菌落数≤10CFU/次，狭缝式采样器的菌落数≤5CFU/次</w:t>
      </w:r>
      <w:r>
        <w:rPr>
          <w:rFonts w:hint="eastAsia" w:ascii="宋体" w:hAnsi="宋体" w:eastAsia="宋体" w:cs="宋体"/>
          <w:color w:val="auto"/>
          <w:spacing w:val="0"/>
          <w:sz w:val="24"/>
          <w:szCs w:val="24"/>
          <w:highlight w:val="none"/>
          <w:lang w:eastAsia="zh-CN"/>
        </w:rPr>
        <w:t>。</w:t>
      </w:r>
    </w:p>
    <w:p w14:paraId="298D29D6">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16）</w:t>
      </w:r>
      <w:r>
        <w:rPr>
          <w:rFonts w:hint="eastAsia" w:ascii="宋体" w:hAnsi="宋体" w:eastAsia="宋体" w:cs="宋体"/>
          <w:color w:val="auto"/>
          <w:spacing w:val="0"/>
          <w:sz w:val="24"/>
          <w:szCs w:val="24"/>
          <w:highlight w:val="none"/>
        </w:rPr>
        <w:t>菌落数≤5CFU/次，交叉污染安全性：菌落数≤2CFU/次。</w:t>
      </w:r>
    </w:p>
    <w:p w14:paraId="347A78AA">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b/>
          <w:bCs/>
          <w:strike w:val="0"/>
          <w:color w:val="auto"/>
          <w:spacing w:val="0"/>
          <w:sz w:val="24"/>
          <w:szCs w:val="24"/>
          <w:highlight w:val="none"/>
          <w:lang w:eastAsia="zh-CN"/>
        </w:rPr>
      </w:pPr>
      <w:r>
        <w:rPr>
          <w:rFonts w:hint="eastAsia" w:ascii="宋体" w:hAnsi="宋体" w:eastAsia="宋体" w:cs="宋体"/>
          <w:b w:val="0"/>
          <w:bCs w:val="0"/>
          <w:color w:val="auto"/>
          <w:sz w:val="24"/>
          <w:szCs w:val="24"/>
          <w:highlight w:val="none"/>
          <w:u w:val="none"/>
          <w:lang w:val="en-US" w:eastAsia="zh-CN"/>
        </w:rPr>
        <w:t>★</w:t>
      </w:r>
      <w:r>
        <w:rPr>
          <w:rFonts w:hint="eastAsia" w:ascii="宋体" w:hAnsi="宋体" w:eastAsia="宋体" w:cs="宋体"/>
          <w:b/>
          <w:bCs/>
          <w:strike w:val="0"/>
          <w:color w:val="auto"/>
          <w:spacing w:val="0"/>
          <w:sz w:val="24"/>
          <w:szCs w:val="24"/>
          <w:highlight w:val="none"/>
          <w:lang w:val="en-US" w:eastAsia="zh-CN"/>
        </w:rPr>
        <w:t>17）</w:t>
      </w:r>
      <w:r>
        <w:rPr>
          <w:rFonts w:hint="eastAsia" w:ascii="宋体" w:hAnsi="宋体" w:eastAsia="宋体" w:cs="宋体"/>
          <w:b/>
          <w:bCs/>
          <w:strike w:val="0"/>
          <w:color w:val="auto"/>
          <w:spacing w:val="0"/>
          <w:sz w:val="24"/>
          <w:szCs w:val="24"/>
          <w:highlight w:val="none"/>
        </w:rPr>
        <w:t>生产企业取得医疗器械生产许可证，产品取得医疗器械注册证。</w:t>
      </w:r>
      <w:r>
        <w:rPr>
          <w:rFonts w:hint="eastAsia" w:ascii="宋体" w:hAnsi="宋体" w:eastAsia="宋体" w:cs="宋体"/>
          <w:b/>
          <w:bCs/>
          <w:strike w:val="0"/>
          <w:color w:val="auto"/>
          <w:spacing w:val="0"/>
          <w:sz w:val="24"/>
          <w:szCs w:val="24"/>
          <w:highlight w:val="none"/>
          <w:lang w:eastAsia="zh-CN"/>
        </w:rPr>
        <w:t>投标文件中提供</w:t>
      </w:r>
      <w:r>
        <w:rPr>
          <w:rFonts w:hint="eastAsia" w:ascii="宋体" w:hAnsi="宋体" w:eastAsia="宋体" w:cs="宋体"/>
          <w:b/>
          <w:bCs/>
          <w:strike w:val="0"/>
          <w:color w:val="auto"/>
          <w:spacing w:val="0"/>
          <w:sz w:val="24"/>
          <w:szCs w:val="24"/>
          <w:highlight w:val="none"/>
        </w:rPr>
        <w:t>医疗器械生产许可证</w:t>
      </w:r>
      <w:r>
        <w:rPr>
          <w:rFonts w:hint="eastAsia" w:ascii="宋体" w:hAnsi="宋体" w:eastAsia="宋体" w:cs="宋体"/>
          <w:b/>
          <w:bCs/>
          <w:strike w:val="0"/>
          <w:color w:val="auto"/>
          <w:spacing w:val="0"/>
          <w:sz w:val="24"/>
          <w:szCs w:val="24"/>
          <w:highlight w:val="none"/>
          <w:lang w:eastAsia="zh-CN"/>
        </w:rPr>
        <w:t>和</w:t>
      </w:r>
      <w:r>
        <w:rPr>
          <w:rFonts w:hint="eastAsia" w:ascii="宋体" w:hAnsi="宋体" w:eastAsia="宋体" w:cs="宋体"/>
          <w:b/>
          <w:bCs/>
          <w:strike w:val="0"/>
          <w:color w:val="auto"/>
          <w:spacing w:val="0"/>
          <w:sz w:val="24"/>
          <w:szCs w:val="24"/>
          <w:highlight w:val="none"/>
        </w:rPr>
        <w:t>医疗器械注册证</w:t>
      </w:r>
      <w:r>
        <w:rPr>
          <w:rFonts w:hint="eastAsia" w:ascii="宋体" w:hAnsi="宋体" w:eastAsia="宋体" w:cs="宋体"/>
          <w:b/>
          <w:bCs/>
          <w:strike w:val="0"/>
          <w:color w:val="auto"/>
          <w:spacing w:val="0"/>
          <w:sz w:val="24"/>
          <w:szCs w:val="24"/>
          <w:highlight w:val="none"/>
          <w:lang w:eastAsia="zh-CN"/>
        </w:rPr>
        <w:t>扫描件或复印件。</w:t>
      </w:r>
    </w:p>
    <w:p w14:paraId="42B3F6D6">
      <w:pPr>
        <w:pStyle w:val="8"/>
        <w:rPr>
          <w:rFonts w:hint="eastAsia" w:ascii="宋体" w:hAnsi="宋体" w:eastAsia="宋体" w:cs="宋体"/>
          <w:sz w:val="24"/>
          <w:szCs w:val="24"/>
          <w:highlight w:val="none"/>
        </w:rPr>
      </w:pPr>
    </w:p>
    <w:p w14:paraId="2F8EC7BB">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5.4  </w:t>
      </w:r>
      <w:r>
        <w:rPr>
          <w:rFonts w:hint="eastAsia" w:ascii="宋体" w:hAnsi="宋体" w:eastAsia="宋体" w:cs="宋体"/>
          <w:color w:val="auto"/>
          <w:spacing w:val="0"/>
          <w:sz w:val="24"/>
          <w:szCs w:val="24"/>
          <w:highlight w:val="none"/>
          <w:lang w:eastAsia="zh-CN"/>
        </w:rPr>
        <w:t>洁净工作台（超净工作台）</w:t>
      </w:r>
    </w:p>
    <w:p w14:paraId="65E5B9E6">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b/>
          <w:bCs/>
          <w:strike w:val="0"/>
          <w:color w:val="auto"/>
          <w:spacing w:val="0"/>
          <w:sz w:val="24"/>
          <w:szCs w:val="24"/>
          <w:highlight w:val="none"/>
          <w:lang w:eastAsia="zh-CN"/>
        </w:rPr>
      </w:pPr>
      <w:r>
        <w:rPr>
          <w:rFonts w:hint="eastAsia" w:ascii="宋体" w:hAnsi="宋体" w:eastAsia="宋体" w:cs="宋体"/>
          <w:b w:val="0"/>
          <w:bCs w:val="0"/>
          <w:color w:val="auto"/>
          <w:sz w:val="24"/>
          <w:szCs w:val="24"/>
          <w:highlight w:val="none"/>
          <w:u w:val="none"/>
          <w:lang w:val="en-US" w:eastAsia="zh-CN"/>
        </w:rPr>
        <w:t>★</w:t>
      </w:r>
      <w:r>
        <w:rPr>
          <w:rFonts w:hint="eastAsia" w:ascii="宋体" w:hAnsi="宋体" w:eastAsia="宋体" w:cs="宋体"/>
          <w:b/>
          <w:bCs/>
          <w:color w:val="auto"/>
          <w:sz w:val="24"/>
          <w:szCs w:val="24"/>
          <w:highlight w:val="none"/>
          <w:u w:val="none"/>
          <w:lang w:val="en-US" w:eastAsia="zh-CN"/>
        </w:rPr>
        <w:t>1</w:t>
      </w:r>
      <w:r>
        <w:rPr>
          <w:rFonts w:hint="eastAsia" w:ascii="宋体" w:hAnsi="宋体" w:eastAsia="宋体" w:cs="宋体"/>
          <w:b/>
          <w:bCs/>
          <w:strike w:val="0"/>
          <w:color w:val="auto"/>
          <w:spacing w:val="0"/>
          <w:sz w:val="24"/>
          <w:szCs w:val="24"/>
          <w:highlight w:val="none"/>
          <w:lang w:val="en-US" w:eastAsia="zh-CN"/>
        </w:rPr>
        <w:t>）</w:t>
      </w:r>
      <w:r>
        <w:rPr>
          <w:rFonts w:hint="eastAsia" w:ascii="宋体" w:hAnsi="宋体" w:eastAsia="宋体" w:cs="宋体"/>
          <w:b/>
          <w:bCs/>
          <w:strike w:val="0"/>
          <w:color w:val="auto"/>
          <w:spacing w:val="0"/>
          <w:sz w:val="24"/>
          <w:szCs w:val="24"/>
          <w:highlight w:val="none"/>
        </w:rPr>
        <w:t>生产企业取得医疗器械生产许可证，产品取得医疗器械注册证。</w:t>
      </w:r>
      <w:r>
        <w:rPr>
          <w:rFonts w:hint="eastAsia" w:ascii="宋体" w:hAnsi="宋体" w:eastAsia="宋体" w:cs="宋体"/>
          <w:b/>
          <w:bCs/>
          <w:strike w:val="0"/>
          <w:color w:val="auto"/>
          <w:spacing w:val="0"/>
          <w:sz w:val="24"/>
          <w:szCs w:val="24"/>
          <w:highlight w:val="none"/>
          <w:lang w:eastAsia="zh-CN"/>
        </w:rPr>
        <w:t>投标文件中提供</w:t>
      </w:r>
      <w:r>
        <w:rPr>
          <w:rFonts w:hint="eastAsia" w:ascii="宋体" w:hAnsi="宋体" w:eastAsia="宋体" w:cs="宋体"/>
          <w:b/>
          <w:bCs/>
          <w:strike w:val="0"/>
          <w:color w:val="auto"/>
          <w:spacing w:val="0"/>
          <w:sz w:val="24"/>
          <w:szCs w:val="24"/>
          <w:highlight w:val="none"/>
        </w:rPr>
        <w:t>医疗器械生产许可证</w:t>
      </w:r>
      <w:r>
        <w:rPr>
          <w:rFonts w:hint="eastAsia" w:ascii="宋体" w:hAnsi="宋体" w:eastAsia="宋体" w:cs="宋体"/>
          <w:b/>
          <w:bCs/>
          <w:strike w:val="0"/>
          <w:color w:val="auto"/>
          <w:spacing w:val="0"/>
          <w:sz w:val="24"/>
          <w:szCs w:val="24"/>
          <w:highlight w:val="none"/>
          <w:lang w:eastAsia="zh-CN"/>
        </w:rPr>
        <w:t>和</w:t>
      </w:r>
      <w:r>
        <w:rPr>
          <w:rFonts w:hint="eastAsia" w:ascii="宋体" w:hAnsi="宋体" w:eastAsia="宋体" w:cs="宋体"/>
          <w:b/>
          <w:bCs/>
          <w:strike w:val="0"/>
          <w:color w:val="auto"/>
          <w:spacing w:val="0"/>
          <w:sz w:val="24"/>
          <w:szCs w:val="24"/>
          <w:highlight w:val="none"/>
        </w:rPr>
        <w:t>医疗器械注册证</w:t>
      </w:r>
      <w:r>
        <w:rPr>
          <w:rFonts w:hint="eastAsia" w:ascii="宋体" w:hAnsi="宋体" w:eastAsia="宋体" w:cs="宋体"/>
          <w:b/>
          <w:bCs/>
          <w:strike w:val="0"/>
          <w:color w:val="auto"/>
          <w:spacing w:val="0"/>
          <w:sz w:val="24"/>
          <w:szCs w:val="24"/>
          <w:highlight w:val="none"/>
          <w:lang w:eastAsia="zh-CN"/>
        </w:rPr>
        <w:t>扫描件或复印件。</w:t>
      </w:r>
    </w:p>
    <w:p w14:paraId="2D856F23">
      <w:pPr>
        <w:pageBreakBefore w:val="0"/>
        <w:shd w:val="clear"/>
        <w:kinsoku/>
        <w:wordWrap/>
        <w:overflowPunct/>
        <w:topLinePunct w:val="0"/>
        <w:autoSpaceDE/>
        <w:autoSpaceDN/>
        <w:bidi w:val="0"/>
        <w:snapToGrid w:val="0"/>
        <w:spacing w:beforeAutospacing="0" w:afterAutospacing="0" w:line="300" w:lineRule="auto"/>
        <w:ind w:left="0" w:leftChars="0"/>
        <w:rPr>
          <w:rFonts w:hint="eastAsia" w:ascii="宋体" w:hAnsi="宋体" w:eastAsia="宋体" w:cs="宋体"/>
          <w:b/>
          <w:bCs/>
          <w:color w:val="auto"/>
          <w:spacing w:val="0"/>
          <w:sz w:val="24"/>
          <w:szCs w:val="24"/>
          <w:highlight w:val="none"/>
        </w:rPr>
      </w:pPr>
    </w:p>
    <w:p w14:paraId="05A68A00">
      <w:pPr>
        <w:pStyle w:val="2"/>
        <w:pageBreakBefore w:val="0"/>
        <w:numPr>
          <w:ilvl w:val="0"/>
          <w:numId w:val="0"/>
        </w:numPr>
        <w:shd w:val="clear"/>
        <w:kinsoku/>
        <w:wordWrap/>
        <w:overflowPunct/>
        <w:topLinePunct w:val="0"/>
        <w:autoSpaceDE/>
        <w:autoSpaceDN/>
        <w:bidi w:val="0"/>
        <w:snapToGrid w:val="0"/>
        <w:spacing w:before="0" w:beforeAutospacing="0" w:after="0" w:afterAutospacing="0" w:line="300" w:lineRule="auto"/>
        <w:ind w:left="0" w:leftChars="0" w:firstLine="0" w:firstLineChars="0"/>
        <w:rPr>
          <w:rFonts w:hint="eastAsia" w:ascii="宋体" w:hAnsi="宋体" w:eastAsia="宋体" w:cs="宋体"/>
          <w:color w:val="auto"/>
          <w:spacing w:val="0"/>
          <w:sz w:val="24"/>
          <w:szCs w:val="24"/>
          <w:highlight w:val="none"/>
        </w:rPr>
      </w:pPr>
      <w:bookmarkStart w:id="85" w:name="_Toc12469"/>
      <w:r>
        <w:rPr>
          <w:rFonts w:hint="eastAsia" w:ascii="宋体" w:hAnsi="宋体" w:eastAsia="宋体" w:cs="宋体"/>
          <w:b/>
          <w:bCs/>
          <w:color w:val="auto"/>
          <w:spacing w:val="0"/>
          <w:kern w:val="44"/>
          <w:sz w:val="24"/>
          <w:szCs w:val="24"/>
          <w:highlight w:val="none"/>
          <w:lang w:val="en-US" w:eastAsia="zh-CN" w:bidi="ar-SA"/>
        </w:rPr>
        <w:t>6、</w:t>
      </w:r>
      <w:r>
        <w:rPr>
          <w:rFonts w:hint="eastAsia" w:ascii="宋体" w:hAnsi="宋体" w:eastAsia="宋体" w:cs="宋体"/>
          <w:color w:val="auto"/>
          <w:spacing w:val="0"/>
          <w:sz w:val="24"/>
          <w:szCs w:val="24"/>
          <w:highlight w:val="none"/>
        </w:rPr>
        <w:t>暖通系统</w:t>
      </w:r>
      <w:bookmarkEnd w:id="85"/>
    </w:p>
    <w:p w14:paraId="0485B615">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1空调系统技术说明</w:t>
      </w:r>
    </w:p>
    <w:p w14:paraId="7FCFD453">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lang w:val="en-US" w:eastAsia="zh-CN"/>
        </w:rPr>
        <w:t>6.1.1</w:t>
      </w:r>
      <w:r>
        <w:rPr>
          <w:rFonts w:hint="eastAsia" w:ascii="宋体" w:hAnsi="宋体" w:eastAsia="宋体" w:cs="宋体"/>
          <w:color w:val="auto"/>
          <w:spacing w:val="0"/>
          <w:sz w:val="24"/>
          <w:szCs w:val="24"/>
          <w:highlight w:val="none"/>
        </w:rPr>
        <w:t>空调冷、热源系统设计</w:t>
      </w:r>
    </w:p>
    <w:p w14:paraId="4754969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（1）本项目普通舒适性空调区域空调冷、热源为大楼冷热源动力站统一提供，冷冻水供回水温度:7/12℃，热水供回水温度37/32℃。</w:t>
      </w:r>
    </w:p>
    <w:p w14:paraId="1B15A4B9">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空调系统加湿采用电极式加湿方式。各空调设备所需冷热源详见设备表。</w:t>
      </w:r>
    </w:p>
    <w:p w14:paraId="11973C0D">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（2）本项目3层检验科PCR、微生物实验室区域为净化区，净化级别十万级，换气次数为15~18次/h。</w:t>
      </w:r>
    </w:p>
    <w:p w14:paraId="234E5FF5">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十万级净化区域采用净化空调机组加高效过滤送风口系统。组合式空调箱布置于空调机房，末端采用高效送风口，气流组织形式采用上送下侧排，排风主要采用立柱设置排风口，立柱中均要求设置内衬风管并设置保温。回风口采用侧壁单层百叶，百叶风口底部距地200mm。</w:t>
      </w:r>
    </w:p>
    <w:p w14:paraId="1B043178">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人员新风量为每人40cmh，且洁净区内新风量满足补偿排风和保持室内正压所需风量之和。</w:t>
      </w:r>
    </w:p>
    <w:p w14:paraId="3FFE68A3">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办公区采用风机盘管加新风系统，室内机采用吊顶暗装风机盘管，冷热源接入大楼原有冷热源动力房；实验室区域舒适性空调采用多联机加新风系统，室内机采用四面出风嵌入式或风管机，各室内机可以独立控制，通过冷媒管接至多联机室外机组。室外机设置于屋面上或一层室外地面。其中储血室、样本库、UPS等房间设备散热量大，可能冬季也需要供冷，配套空调系统独立设置，可实现全年制冷。</w:t>
      </w:r>
    </w:p>
    <w:p w14:paraId="597B8CAE">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办公室、实验室等人员主要活动场所，以及有工艺排风的房间设置新风，办公区域新风量不小于30</w:t>
      </w:r>
      <w:r>
        <w:rPr>
          <w:rFonts w:hint="eastAsia" w:ascii="宋体" w:hAnsi="宋体" w:eastAsia="宋体" w:cs="宋体"/>
          <w:color w:val="auto"/>
          <w:spacing w:val="0"/>
          <w:sz w:val="24"/>
          <w:szCs w:val="24"/>
          <w:highlight w:val="none"/>
          <w:lang w:eastAsia="zh-CN"/>
        </w:rPr>
        <w:t>m³</w:t>
      </w:r>
      <w:r>
        <w:rPr>
          <w:rFonts w:hint="eastAsia" w:ascii="宋体" w:hAnsi="宋体" w:eastAsia="宋体" w:cs="宋体"/>
          <w:color w:val="auto"/>
          <w:spacing w:val="0"/>
          <w:sz w:val="24"/>
          <w:szCs w:val="24"/>
          <w:highlight w:val="none"/>
        </w:rPr>
        <w:t>/（h·人）。新风通过管道送至各房间,新风机组设置在新风机房或吊顶内。新风机组的新风入口设置电动风阀，风阀与送风机联锁启闭。</w:t>
      </w:r>
    </w:p>
    <w:p w14:paraId="25C975EB">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ind w:left="10" w:leftChars="0" w:hanging="10" w:hangingChars="4"/>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2通风系统技术说明</w:t>
      </w:r>
    </w:p>
    <w:p w14:paraId="19C3EC3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2.1气流组织形式</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 xml:space="preserve">（1）生物安全类实验室采用上送侧下排的气流组织形式，其中有洁净等级要求的生物安全实验室采用顶部高效送风口送风，房间侧下采用单层百叶风口排风。（2）常规洁净实验室采用上送侧下回的气流组织形式，房间顶部采用高效送风口送风，房间侧下部采用单层百叶风口回风。（3）常规实验区新风系统中，普通办公区域、会议室、值班室等采用双层百叶风口顶送风，病区、实验室人员操作区采用顶送风。排风采用单层百叶风口顶排风或排风设备（如垂直定向污气导吸装置）定点排风。 </w:t>
      </w:r>
    </w:p>
    <w:p w14:paraId="347E7CF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2.2实验污染区域的空气处理系统：实验室内通风系统及甲醛、二甲苯等产生气溶胶污染气体的处理、排放。本项目包括采用合理的气流组织和必要的粒子空气环保处理装置，确保理化实验区的甲醛、二甲苯空间有害浓度符合《室内空气质量标准》GB/T18883要求，甲醛浓度不超过0.08mg/</w:t>
      </w:r>
      <w:r>
        <w:rPr>
          <w:rFonts w:hint="eastAsia" w:ascii="宋体" w:hAnsi="宋体" w:eastAsia="宋体" w:cs="宋体"/>
          <w:color w:val="auto"/>
          <w:spacing w:val="0"/>
          <w:sz w:val="24"/>
          <w:szCs w:val="24"/>
          <w:highlight w:val="none"/>
          <w:lang w:eastAsia="zh-CN"/>
        </w:rPr>
        <w:t>m³</w:t>
      </w:r>
      <w:r>
        <w:rPr>
          <w:rFonts w:hint="eastAsia" w:ascii="宋体" w:hAnsi="宋体" w:eastAsia="宋体" w:cs="宋体"/>
          <w:color w:val="auto"/>
          <w:spacing w:val="0"/>
          <w:sz w:val="24"/>
          <w:szCs w:val="24"/>
          <w:highlight w:val="none"/>
        </w:rPr>
        <w:t>，二甲苯浓度不超过0.2mg/</w:t>
      </w:r>
      <w:r>
        <w:rPr>
          <w:rFonts w:hint="eastAsia" w:ascii="宋体" w:hAnsi="宋体" w:eastAsia="宋体" w:cs="宋体"/>
          <w:color w:val="auto"/>
          <w:spacing w:val="0"/>
          <w:sz w:val="24"/>
          <w:szCs w:val="24"/>
          <w:highlight w:val="none"/>
          <w:lang w:eastAsia="zh-CN"/>
        </w:rPr>
        <w:t>m³</w:t>
      </w:r>
      <w:r>
        <w:rPr>
          <w:rFonts w:hint="eastAsia" w:ascii="宋体" w:hAnsi="宋体" w:eastAsia="宋体" w:cs="宋体"/>
          <w:color w:val="auto"/>
          <w:spacing w:val="0"/>
          <w:sz w:val="24"/>
          <w:szCs w:val="24"/>
          <w:highlight w:val="none"/>
        </w:rPr>
        <w:t>，符合有关卫生标准；外排废气采用废气处理装置进行合理处置，满足《大气污染物综合排放标准》GB16297；甲醛浓度不超过0.2mg/</w:t>
      </w:r>
      <w:r>
        <w:rPr>
          <w:rFonts w:hint="eastAsia" w:ascii="宋体" w:hAnsi="宋体" w:eastAsia="宋体" w:cs="宋体"/>
          <w:color w:val="auto"/>
          <w:spacing w:val="0"/>
          <w:sz w:val="24"/>
          <w:szCs w:val="24"/>
          <w:highlight w:val="none"/>
          <w:lang w:eastAsia="zh-CN"/>
        </w:rPr>
        <w:t>m³</w:t>
      </w:r>
      <w:r>
        <w:rPr>
          <w:rFonts w:hint="eastAsia" w:ascii="宋体" w:hAnsi="宋体" w:eastAsia="宋体" w:cs="宋体"/>
          <w:color w:val="auto"/>
          <w:spacing w:val="0"/>
          <w:sz w:val="24"/>
          <w:szCs w:val="24"/>
          <w:highlight w:val="none"/>
        </w:rPr>
        <w:t>，二甲苯浓度不超过1.2mg/</w:t>
      </w:r>
      <w:r>
        <w:rPr>
          <w:rFonts w:hint="eastAsia" w:ascii="宋体" w:hAnsi="宋体" w:eastAsia="宋体" w:cs="宋体"/>
          <w:color w:val="auto"/>
          <w:spacing w:val="0"/>
          <w:sz w:val="24"/>
          <w:szCs w:val="24"/>
          <w:highlight w:val="none"/>
          <w:lang w:eastAsia="zh-CN"/>
        </w:rPr>
        <w:t>m³</w:t>
      </w:r>
      <w:r>
        <w:rPr>
          <w:rFonts w:hint="eastAsia" w:ascii="宋体" w:hAnsi="宋体" w:eastAsia="宋体" w:cs="宋体"/>
          <w:color w:val="auto"/>
          <w:spacing w:val="0"/>
          <w:sz w:val="24"/>
          <w:szCs w:val="24"/>
          <w:highlight w:val="none"/>
        </w:rPr>
        <w:t>，减少外界污染。</w:t>
      </w:r>
    </w:p>
    <w:p w14:paraId="599AB30F">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2.3一般实验室通风换气次数不小于4次/h，有轻度污染的实验室通风换气次数不小于6次/h，有大量污染的实验室通风换气次数不小于8次/h，事故排风换气次数不小于12次/h。</w:t>
      </w:r>
    </w:p>
    <w:p w14:paraId="3836F37B">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 xml:space="preserve">2.4卫生间、更衣淋浴等设机械排风系统，其中卫生间换气次数不小于10次/h、淋浴间通风换气次数不小于5次/h，更衣室通风换气次数不小于3次/h。 </w:t>
      </w:r>
    </w:p>
    <w:p w14:paraId="1CAB65D8">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 xml:space="preserve">2.5病区的换药室、处置室、配餐室、污物室、污洗室、公用卫生间等应设排风，排风换气次数宜为10次/h-15次/h。 </w:t>
      </w:r>
    </w:p>
    <w:p w14:paraId="186DC621">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2.6光学暗室设置机械排风系统，换气次数不小于5次/h；清洗灭菌间、洗消间等设置排风系统进行通风换气，换气次数不小于6次/h。</w:t>
      </w:r>
    </w:p>
    <w:p w14:paraId="0571DD5C">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2.7设置气体灭火的区域，灭火后的防护区应通风换气，地下防护区和无窗或设固定窗扇的地上防护区应设置机械排风装置，排风口设在防护区的下部并直通室外，换气次数不小于5次/h。</w:t>
      </w:r>
    </w:p>
    <w:p w14:paraId="1C000676">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2.8宜在实验室排风侧配置废弃处理装置，优选采用各排风末端分散式氧化处理工艺，处理废气达到无组织排放要求。</w:t>
      </w:r>
    </w:p>
    <w:p w14:paraId="2FA543B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 xml:space="preserve">2.9可能突然放散大量有害气体或有爆炸危险气体的场所应设置事故通风系统，事故通风应符合以下要求： </w:t>
      </w:r>
    </w:p>
    <w:p w14:paraId="661977BC">
      <w:pPr>
        <w:pStyle w:val="3"/>
        <w:keepNext w:val="0"/>
        <w:keepLines w:val="0"/>
        <w:pageBreakBefore w:val="0"/>
        <w:widowControl w:val="0"/>
        <w:numPr>
          <w:ilvl w:val="0"/>
          <w:numId w:val="0"/>
        </w:numPr>
        <w:shd w:val="clear"/>
        <w:tabs>
          <w:tab w:val="clear" w:pos="360"/>
          <w:tab w:val="clear" w:pos="420"/>
        </w:tabs>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（1）排风换气次数≥12次/h或者根据防爆设备排风量计算，以计算值大的项决定；</w:t>
      </w:r>
    </w:p>
    <w:p w14:paraId="6690516E">
      <w:pPr>
        <w:pStyle w:val="3"/>
        <w:keepNext w:val="0"/>
        <w:keepLines w:val="0"/>
        <w:pageBreakBefore w:val="0"/>
        <w:widowControl w:val="0"/>
        <w:numPr>
          <w:ilvl w:val="0"/>
          <w:numId w:val="0"/>
        </w:numPr>
        <w:shd w:val="clear"/>
        <w:tabs>
          <w:tab w:val="clear" w:pos="360"/>
          <w:tab w:val="clear" w:pos="420"/>
        </w:tabs>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（2）设置相应的检测报警及控制系统。事故通风的手动控制装置应在室内外便于操作的地点分别设置；</w:t>
      </w:r>
    </w:p>
    <w:p w14:paraId="447F4F1E">
      <w:pPr>
        <w:pStyle w:val="3"/>
        <w:keepNext w:val="0"/>
        <w:keepLines w:val="0"/>
        <w:pageBreakBefore w:val="0"/>
        <w:widowControl w:val="0"/>
        <w:numPr>
          <w:ilvl w:val="0"/>
          <w:numId w:val="0"/>
        </w:numPr>
        <w:shd w:val="clear"/>
        <w:tabs>
          <w:tab w:val="clear" w:pos="360"/>
          <w:tab w:val="clear" w:pos="420"/>
        </w:tabs>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（3）放散有爆炸危险气体的场所应设置防爆通风设备；</w:t>
      </w:r>
    </w:p>
    <w:p w14:paraId="5B95FFA3">
      <w:pPr>
        <w:pStyle w:val="3"/>
        <w:keepNext w:val="0"/>
        <w:keepLines w:val="0"/>
        <w:pageBreakBefore w:val="0"/>
        <w:widowControl w:val="0"/>
        <w:numPr>
          <w:ilvl w:val="0"/>
          <w:numId w:val="0"/>
        </w:numPr>
        <w:shd w:val="clear"/>
        <w:tabs>
          <w:tab w:val="clear" w:pos="360"/>
          <w:tab w:val="clear" w:pos="420"/>
        </w:tabs>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 xml:space="preserve">（4）排风口与机械送风系统的进风口的水平距离不应小于20m；当水平距离不足20m时，排风口应高出进风口，并不宜小于6m； </w:t>
      </w:r>
    </w:p>
    <w:p w14:paraId="507A5871">
      <w:pPr>
        <w:pStyle w:val="3"/>
        <w:keepNext w:val="0"/>
        <w:keepLines w:val="0"/>
        <w:pageBreakBefore w:val="0"/>
        <w:widowControl w:val="0"/>
        <w:numPr>
          <w:ilvl w:val="0"/>
          <w:numId w:val="0"/>
        </w:numPr>
        <w:shd w:val="clear"/>
        <w:tabs>
          <w:tab w:val="clear" w:pos="360"/>
          <w:tab w:val="clear" w:pos="420"/>
        </w:tabs>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b w:val="0"/>
          <w:bCs w:val="0"/>
          <w:color w:val="auto"/>
          <w:spacing w:val="0"/>
          <w:kern w:val="2"/>
          <w:sz w:val="24"/>
          <w:szCs w:val="24"/>
          <w:highlight w:val="none"/>
        </w:rPr>
      </w:pPr>
      <w:r>
        <w:rPr>
          <w:rFonts w:hint="eastAsia" w:ascii="宋体" w:hAnsi="宋体" w:eastAsia="宋体" w:cs="宋体"/>
          <w:b w:val="0"/>
          <w:bCs w:val="0"/>
          <w:color w:val="auto"/>
          <w:spacing w:val="0"/>
          <w:kern w:val="2"/>
          <w:sz w:val="24"/>
          <w:szCs w:val="24"/>
          <w:highlight w:val="none"/>
        </w:rPr>
        <w:t xml:space="preserve">（5）排风口不应朝向室外空气动力阴影区，不宜朝向空气正压区。 </w:t>
      </w:r>
    </w:p>
    <w:p w14:paraId="00E2E64C">
      <w:pPr>
        <w:pStyle w:val="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3节能设计技术说明</w:t>
      </w:r>
    </w:p>
    <w:p w14:paraId="0F01F055">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3.1通风系统的风量大于10000</w:t>
      </w:r>
      <w:r>
        <w:rPr>
          <w:rFonts w:hint="eastAsia" w:ascii="宋体" w:hAnsi="宋体" w:eastAsia="宋体" w:cs="宋体"/>
          <w:color w:val="auto"/>
          <w:spacing w:val="0"/>
          <w:sz w:val="24"/>
          <w:szCs w:val="24"/>
          <w:highlight w:val="none"/>
          <w:lang w:eastAsia="zh-CN"/>
        </w:rPr>
        <w:t>m³</w:t>
      </w:r>
      <w:r>
        <w:rPr>
          <w:rFonts w:hint="eastAsia" w:ascii="宋体" w:hAnsi="宋体" w:eastAsia="宋体" w:cs="宋体"/>
          <w:color w:val="auto"/>
          <w:spacing w:val="0"/>
          <w:sz w:val="24"/>
          <w:szCs w:val="24"/>
          <w:highlight w:val="none"/>
        </w:rPr>
        <w:t>/h时，除设计有高效过滤器等特定装置的系统外，根据本项目绿建三星要求,风道系统单位风量耗功率Ws(W/(m3/h)均满足节能标准中的限值要求，且比现行国家标准《公共建筑节能设计标准》GB 50189的规定低20%。通风系统选用高效风机，风机效率不低于现行国家标准《通风机能效限定值及能效等级》GB19761规定的通风机能效等级的</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级。</w:t>
      </w:r>
    </w:p>
    <w:p w14:paraId="1213761B">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3.2本项目设计选用高效的制冷设备，采用的电动压缩式冷水机组、风冷（热泵）冷水机组的COP、IPLV分别不小于《建筑节能与可再生能源利用通用规范》（GB55015-2021）表3.2.9-1~2、表3.2.11-1~2的限定值。</w:t>
      </w:r>
    </w:p>
    <w:p w14:paraId="441A241C">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根据本项目绿建三星要求,对电机驱动的蒸气压缩循环冷水(热泵)机组,多联式空调(热泵)机组,其名义制冷工况和规定条件下能效指标比现行国家标准《利用通用规范》GB55015规定值的提高幅度应满足DB331092-2021《浙江省绿色建筑设计标准》表8.4.1的要求且</w:t>
      </w:r>
      <w:r>
        <w:rPr>
          <w:rFonts w:hint="eastAsia" w:ascii="宋体" w:hAnsi="宋体" w:eastAsia="宋体" w:cs="宋体"/>
          <w:b/>
          <w:bCs/>
          <w:color w:val="auto"/>
          <w:spacing w:val="0"/>
          <w:sz w:val="24"/>
          <w:szCs w:val="24"/>
          <w:highlight w:val="none"/>
        </w:rPr>
        <w:t>不低于国家现行有关标准1级能效的要求</w:t>
      </w:r>
      <w:r>
        <w:rPr>
          <w:rFonts w:hint="eastAsia" w:ascii="宋体" w:hAnsi="宋体" w:eastAsia="宋体" w:cs="宋体"/>
          <w:color w:val="auto"/>
          <w:spacing w:val="0"/>
          <w:sz w:val="24"/>
          <w:szCs w:val="24"/>
          <w:highlight w:val="none"/>
        </w:rPr>
        <w:t>。</w:t>
      </w:r>
    </w:p>
    <w:p w14:paraId="7A3F185E">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bCs/>
          <w:color w:val="auto"/>
          <w:spacing w:val="0"/>
          <w:sz w:val="24"/>
          <w:szCs w:val="24"/>
          <w:highlight w:val="none"/>
        </w:rPr>
      </w:pPr>
      <w:r>
        <w:rPr>
          <w:rFonts w:hint="eastAsia" w:ascii="宋体" w:hAnsi="宋体" w:eastAsia="宋体" w:cs="宋体"/>
          <w:color w:val="auto"/>
          <w:spacing w:val="0"/>
          <w:sz w:val="24"/>
          <w:szCs w:val="24"/>
          <w:highlight w:val="none"/>
        </w:rPr>
        <w:t>对于现行国家标准《建筑节能与可再生能源利用通用规范》GB55015</w:t>
      </w:r>
      <w:r>
        <w:rPr>
          <w:rFonts w:hint="eastAsia" w:ascii="宋体" w:hAnsi="宋体" w:eastAsia="宋体" w:cs="宋体"/>
          <w:b/>
          <w:bCs/>
          <w:color w:val="auto"/>
          <w:spacing w:val="0"/>
          <w:sz w:val="24"/>
          <w:szCs w:val="24"/>
          <w:highlight w:val="none"/>
        </w:rPr>
        <w:t>未明确的空调冷、热源机组能效不低于国家现行有关标准1级能效的要求。</w:t>
      </w:r>
    </w:p>
    <w:p w14:paraId="27924F21">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3.3净化空调机组的送风机均采用自动变频控制，用于恒定系统风量。可实现风量无级调节功能及值班工况低风量节能运行功能。</w:t>
      </w:r>
    </w:p>
    <w:p w14:paraId="38EB74D0">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3.4实验室通风柜排风系统采用变频风机，风机根据主风管上的静压监控值进行变风量运行。</w:t>
      </w:r>
    </w:p>
    <w:p w14:paraId="42E43BCC">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3.5本项目普通空调区域供暖空调系统设置室温自动调控装置。</w:t>
      </w:r>
    </w:p>
    <w:p w14:paraId="084A6D01">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3.6空调风管、水管等设置保温，满足节能标准要求。</w:t>
      </w:r>
    </w:p>
    <w:p w14:paraId="5AEE36CC">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环保设计技术说明</w:t>
      </w:r>
    </w:p>
    <w:p w14:paraId="0985E910">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kern w:val="2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kern w:val="20"/>
          <w:sz w:val="24"/>
          <w:szCs w:val="24"/>
          <w:highlight w:val="none"/>
          <w:lang w:val="zh-CN"/>
        </w:rPr>
        <w:t>1冷热源设备、风机、水泵等，在选型上考虑低噪声高效率设备，对于布置与室外的机电设备，若噪声超标，则应进行隔声降噪处理。</w:t>
      </w:r>
    </w:p>
    <w:p w14:paraId="2D710F7F">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kern w:val="2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kern w:val="20"/>
          <w:sz w:val="24"/>
          <w:szCs w:val="24"/>
          <w:highlight w:val="none"/>
          <w:lang w:val="zh-CN"/>
        </w:rPr>
        <w:t>2运转设备均设减振基础，软接头、弹性支吊隔振等措施，减少设备振动对建筑的影响。</w:t>
      </w:r>
    </w:p>
    <w:p w14:paraId="57B3C86A">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kern w:val="2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kern w:val="20"/>
          <w:sz w:val="24"/>
          <w:szCs w:val="24"/>
          <w:highlight w:val="none"/>
          <w:lang w:val="zh-CN"/>
        </w:rPr>
        <w:t>3空调通风系统设消声器、消声弯头、消声静压箱等消声降噪措施。</w:t>
      </w:r>
    </w:p>
    <w:p w14:paraId="36615699">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kern w:val="2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kern w:val="20"/>
          <w:sz w:val="24"/>
          <w:szCs w:val="24"/>
          <w:highlight w:val="none"/>
          <w:lang w:val="zh-CN"/>
        </w:rPr>
        <w:t>4空调机房、风机房等高噪音设备机房墙体吸声处理，机房开向公共区域的门应采用防火隔声门。穿越机房围护结构的所有管道和安装洞口周围的缝隙都严密封堵。</w:t>
      </w:r>
    </w:p>
    <w:p w14:paraId="0A92B77E">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kern w:val="2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kern w:val="20"/>
          <w:sz w:val="24"/>
          <w:szCs w:val="24"/>
          <w:highlight w:val="none"/>
          <w:lang w:val="zh-CN"/>
        </w:rPr>
        <w:t>5制冷剂采用R134a/R410A等环保冷媒。</w:t>
      </w:r>
    </w:p>
    <w:p w14:paraId="2C10C2D4">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kern w:val="2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kern w:val="20"/>
          <w:sz w:val="24"/>
          <w:szCs w:val="24"/>
          <w:highlight w:val="none"/>
          <w:lang w:val="zh-CN"/>
        </w:rPr>
        <w:t>6所有新风口、排风口等均做隔声处理，以确保机房内噪声不传至室外环境。排风口与新风口尽量高度错开设置，保证一定的水平距离，以防止新风排风短路。所有对外的排风口、新风口均设防虫网。</w:t>
      </w:r>
    </w:p>
    <w:p w14:paraId="5A544F4E">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kern w:val="2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kern w:val="20"/>
          <w:sz w:val="24"/>
          <w:szCs w:val="24"/>
          <w:highlight w:val="none"/>
          <w:lang w:val="zh-CN"/>
        </w:rPr>
        <w:t>7排风系统中含有害或污染环境的物质，在排放前须采取通风净化措施，达到国家有关大气环境质量标准和各种污染物排放标准要求后排放。</w:t>
      </w:r>
    </w:p>
    <w:p w14:paraId="5199E102">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kern w:val="20"/>
          <w:sz w:val="24"/>
          <w:szCs w:val="24"/>
          <w:highlight w:val="none"/>
          <w:lang w:val="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kern w:val="20"/>
          <w:sz w:val="24"/>
          <w:szCs w:val="24"/>
          <w:highlight w:val="none"/>
          <w:lang w:val="zh-CN"/>
        </w:rPr>
        <w:t xml:space="preserve">8新风量均按相关卫生标准要求和节能标准要求或其它特殊要求设计，所有新风口均直接取自室外清洁部位。   </w:t>
      </w:r>
    </w:p>
    <w:p w14:paraId="1F547A5E">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5空调通风系统的防火、防爆措施</w:t>
      </w:r>
    </w:p>
    <w:p w14:paraId="66893ECB">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5.1除接触腐蚀性介质的风管和柔性接头采用难燃材料外，其余通风、空气调节系统的风管应采用不燃材料</w:t>
      </w:r>
      <w:r>
        <w:rPr>
          <w:rFonts w:hint="eastAsia" w:ascii="宋体" w:hAnsi="宋体" w:eastAsia="宋体" w:cs="宋体"/>
          <w:color w:val="auto"/>
          <w:spacing w:val="0"/>
          <w:sz w:val="24"/>
          <w:szCs w:val="24"/>
          <w:highlight w:val="none"/>
          <w:lang w:eastAsia="zh-CN"/>
        </w:rPr>
        <w:t>。</w:t>
      </w:r>
    </w:p>
    <w:p w14:paraId="6B87FECB">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5.2设备和风管的绝热材料采用难燃材料，其中风管电加热前后各0.8m范围内、防火阀两侧各2.0m范围内的风管和保温材料采用不燃材料。</w:t>
      </w:r>
    </w:p>
    <w:p w14:paraId="2F35C0C3">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5.3通风、空气调节系统的风管在下列部位应设置公称动作温度为70℃的防火阀</w:t>
      </w:r>
    </w:p>
    <w:p w14:paraId="296E27B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（1）管道穿越防火分区处；</w:t>
      </w:r>
    </w:p>
    <w:p w14:paraId="2F2ADCA5">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（2）穿越通风、空气调节机房的房间隔墙和楼板处；</w:t>
      </w:r>
    </w:p>
    <w:p w14:paraId="43EC98A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（3）穿越重要或火灾危险性大的场所的房间隔墙和楼板处；</w:t>
      </w:r>
    </w:p>
    <w:p w14:paraId="1B34280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（4）穿越防火分隔处的变形缝两侧；</w:t>
      </w:r>
    </w:p>
    <w:p w14:paraId="263DF08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（5）竖向风管与每层水平风管交接处的水平管段上；</w:t>
      </w:r>
    </w:p>
    <w:p w14:paraId="1999949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注：当建筑内每个防火分区的通风、空气调节系统均独立设置时，水平风管与竖向总管的交接处可不设置防火阀。</w:t>
      </w:r>
    </w:p>
    <w:p w14:paraId="7D6FD42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5.4厂房内有爆炸危险场所的排风管道，严禁穿过防火墙和有爆炸危险的房间隔墙。</w:t>
      </w:r>
    </w:p>
    <w:p w14:paraId="3C0C3FA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5.5空气中含有易燃、易爆危险物质的房间，其送、排风系统应采用防爆型的通风设备。</w:t>
      </w:r>
    </w:p>
    <w:p w14:paraId="1828190B">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5.6排除有燃烧或爆炸危险气体、蒸气和粉尘的排风系统，应符合下列规定：</w:t>
      </w:r>
    </w:p>
    <w:p w14:paraId="3C9A4A6A">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（1）排风系统应设置导除静电的接地装置；</w:t>
      </w:r>
    </w:p>
    <w:p w14:paraId="7ED1E33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（2）排风设备不应布置在地下或半地下建筑（室）内；</w:t>
      </w:r>
    </w:p>
    <w:p w14:paraId="1CB432B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（3）排风管道应采用金属管道，并应直接通向室外安全地点，不应暗设。</w:t>
      </w:r>
    </w:p>
    <w:p w14:paraId="1F2293D8">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6抗震设计技术说明</w:t>
      </w:r>
    </w:p>
    <w:p w14:paraId="04D45EF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6.1建筑的非结构构件及附属机电设备，其自身及与结构主体的连接，应进行抗震设防。</w:t>
      </w:r>
    </w:p>
    <w:p w14:paraId="2B4E808A">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6.2建筑附属机电设备不应设置在可能致使其功能障碍等二次灾害的部位；设防地震下需要连续工作的附属设备，应设置在建筑结构地震反应较小的部位。</w:t>
      </w:r>
    </w:p>
    <w:p w14:paraId="39E1DA6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6.3管道、电缆、通风管和设备的洞口设置，应减少对主要承重结构构件的削弱；洞口边缘应有补强措施。管道和设备与建筑结构的连接，应具有足够的变形能力，以满足相对位移的需要。</w:t>
      </w:r>
    </w:p>
    <w:p w14:paraId="3174F01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6.4建筑附属机电设备的基座或支架，以及相关连接件和锚固件应具有足够的刚度和强度，应能将设备承受的地震作用全部传递到建筑结构上。</w:t>
      </w:r>
    </w:p>
    <w:p w14:paraId="3C68566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6.5根据《建筑与市政工程抗震通用规范》(GB55002-2021)第1.0.2规定：抗震设防烈度6度及以上地区的各类新建、扩建、改建建筑与市政工程必须进行抗震设防，工程项目的勘察、设计、施工、使用维护等必须执行本规范。</w:t>
      </w:r>
    </w:p>
    <w:p w14:paraId="1E4D7E0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6.6根据《建筑机电工程抗震设计规范》(GB50981-2014)第3.1.6条及其条文说明，规定暖通空调系统抗震设计范围如下：</w:t>
      </w:r>
    </w:p>
    <w:p w14:paraId="6186478A">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（1）悬吊管道中重力大于1.8kN的设备；</w:t>
      </w:r>
    </w:p>
    <w:p w14:paraId="72102058">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（2）DN65以上的生活给水管道、消防管道系统；</w:t>
      </w:r>
    </w:p>
    <w:p w14:paraId="3CB2AB9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（3）矩形截面面积大于等于0.38</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/和圆形直径大于等于0.7m的风管系统。</w:t>
      </w:r>
    </w:p>
    <w:p w14:paraId="1566C538">
      <w:pPr>
        <w:pageBreakBefore w:val="0"/>
        <w:widowControl/>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6.7抗震支吊架最大设计间距须符合《建筑机电工程抗震设计规范》(GB50981-2014)第8.2.3条规定要求。根据8.2.5条规定，抗震支吊架应根据规范要求进行验算，并调整抗震支吊架间距，直至各个节点均满足抗震荷载要求。抗震设防具体设计由专业公司深化完成。未尽事宜请参照相关设计规范及施工质量验收规范。</w:t>
      </w:r>
    </w:p>
    <w:p w14:paraId="7719CB94">
      <w:pPr>
        <w:pStyle w:val="2"/>
        <w:pageBreakBefore w:val="0"/>
        <w:numPr>
          <w:ilvl w:val="0"/>
          <w:numId w:val="0"/>
        </w:numPr>
        <w:shd w:val="clear"/>
        <w:kinsoku/>
        <w:wordWrap/>
        <w:overflowPunct/>
        <w:topLinePunct w:val="0"/>
        <w:autoSpaceDE/>
        <w:autoSpaceDN/>
        <w:bidi w:val="0"/>
        <w:snapToGrid w:val="0"/>
        <w:spacing w:before="0" w:beforeAutospacing="0" w:after="0" w:afterAutospacing="0" w:line="300" w:lineRule="auto"/>
        <w:ind w:left="0" w:leftChars="0" w:firstLine="0" w:firstLineChars="0"/>
        <w:rPr>
          <w:rFonts w:hint="eastAsia" w:ascii="宋体" w:hAnsi="宋体" w:eastAsia="宋体" w:cs="宋体"/>
          <w:b/>
          <w:bCs/>
          <w:color w:val="auto"/>
          <w:spacing w:val="0"/>
          <w:kern w:val="44"/>
          <w:sz w:val="24"/>
          <w:szCs w:val="24"/>
          <w:highlight w:val="none"/>
          <w:lang w:val="en-US" w:eastAsia="zh-CN" w:bidi="ar-SA"/>
        </w:rPr>
      </w:pPr>
      <w:bookmarkStart w:id="86" w:name="_Toc29047"/>
    </w:p>
    <w:p w14:paraId="09BFA00B">
      <w:pPr>
        <w:pStyle w:val="2"/>
        <w:pageBreakBefore w:val="0"/>
        <w:numPr>
          <w:ilvl w:val="0"/>
          <w:numId w:val="0"/>
        </w:numPr>
        <w:shd w:val="clear"/>
        <w:kinsoku/>
        <w:wordWrap/>
        <w:overflowPunct/>
        <w:topLinePunct w:val="0"/>
        <w:autoSpaceDE/>
        <w:autoSpaceDN/>
        <w:bidi w:val="0"/>
        <w:snapToGrid w:val="0"/>
        <w:spacing w:before="0" w:beforeAutospacing="0" w:after="0" w:afterAutospacing="0" w:line="300" w:lineRule="auto"/>
        <w:ind w:left="0" w:leftChars="0" w:firstLine="0" w:firstLineChars="0"/>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44"/>
          <w:sz w:val="24"/>
          <w:szCs w:val="24"/>
          <w:highlight w:val="none"/>
          <w:lang w:val="en-US" w:eastAsia="zh-CN" w:bidi="ar-SA"/>
        </w:rPr>
        <w:t>7、</w:t>
      </w:r>
      <w:r>
        <w:rPr>
          <w:rFonts w:hint="eastAsia" w:ascii="宋体" w:hAnsi="宋体" w:eastAsia="宋体" w:cs="宋体"/>
          <w:color w:val="auto"/>
          <w:spacing w:val="0"/>
          <w:sz w:val="24"/>
          <w:szCs w:val="24"/>
          <w:highlight w:val="none"/>
        </w:rPr>
        <w:t>实验室智能空气质控系统</w:t>
      </w:r>
      <w:bookmarkEnd w:id="86"/>
    </w:p>
    <w:p w14:paraId="681216F1">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7.1</w:t>
      </w:r>
      <w:r>
        <w:rPr>
          <w:rFonts w:hint="eastAsia" w:ascii="宋体" w:hAnsi="宋体" w:eastAsia="宋体" w:cs="宋体"/>
          <w:color w:val="auto"/>
          <w:spacing w:val="0"/>
          <w:sz w:val="24"/>
          <w:szCs w:val="24"/>
          <w:highlight w:val="none"/>
        </w:rPr>
        <w:t>实验室空气的处理原理</w:t>
      </w:r>
    </w:p>
    <w:p w14:paraId="7AB97846">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7.1.1</w:t>
      </w:r>
      <w:r>
        <w:rPr>
          <w:rFonts w:hint="eastAsia" w:ascii="宋体" w:hAnsi="宋体" w:eastAsia="宋体" w:cs="宋体"/>
          <w:color w:val="auto"/>
          <w:spacing w:val="0"/>
          <w:sz w:val="24"/>
          <w:szCs w:val="24"/>
          <w:highlight w:val="none"/>
        </w:rPr>
        <w:t>实验室整体采用“合理定点送气、高效空气处理、整体气流控制、末端二次处理、系统智能调控”的设计原理，在新风管路系统里安装动态离子衍生装置，该装置根据环境温湿度、空气质量和流量等参数，将空气进行适当程度的离子化激发，用于消解室内空气中的有害物质，灭活空气中和物表的微生物，并控制不产生超标的臭氧。</w:t>
      </w:r>
    </w:p>
    <w:p w14:paraId="79834B98">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bCs/>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7.1.2</w:t>
      </w:r>
      <w:r>
        <w:rPr>
          <w:rFonts w:hint="eastAsia" w:ascii="宋体" w:hAnsi="宋体" w:eastAsia="宋体" w:cs="宋体"/>
          <w:color w:val="auto"/>
          <w:spacing w:val="0"/>
          <w:sz w:val="24"/>
          <w:szCs w:val="24"/>
          <w:highlight w:val="none"/>
        </w:rPr>
        <w:t>该系统同时根据空气动力学模型优化设计室内的气流组织，在完美的气流运动中，没有来得及在室内处理的有机气体进入排风中，在排风主管中采用活性炭吸附装置处理废气，实验室废气达标后排放。</w:t>
      </w:r>
    </w:p>
    <w:p w14:paraId="442E247E">
      <w:pPr>
        <w:pStyle w:val="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7.2</w:t>
      </w:r>
      <w:r>
        <w:rPr>
          <w:rFonts w:hint="eastAsia" w:ascii="宋体" w:hAnsi="宋体" w:eastAsia="宋体" w:cs="宋体"/>
          <w:color w:val="auto"/>
          <w:spacing w:val="0"/>
          <w:sz w:val="24"/>
          <w:szCs w:val="24"/>
          <w:highlight w:val="none"/>
        </w:rPr>
        <w:t>中枢质控柱</w:t>
      </w:r>
    </w:p>
    <w:p w14:paraId="347030D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7.2.1</w:t>
      </w:r>
      <w:r>
        <w:rPr>
          <w:rFonts w:hint="eastAsia" w:ascii="宋体" w:hAnsi="宋体" w:eastAsia="宋体" w:cs="宋体"/>
          <w:color w:val="auto"/>
          <w:spacing w:val="0"/>
          <w:sz w:val="24"/>
          <w:szCs w:val="24"/>
          <w:highlight w:val="none"/>
        </w:rPr>
        <w:t>实验室空气处理系统集成控制中枢，是集成了无线GPRS数据通信、有线RS485通信，智能调节模块等的数据采集管理终端；能实现传感器数据的采集、监测和存储，并具数据云端存储功能。采用触控式人机交互界面，简洁易操控，反应迅速，控制界面能数字化和图形化两种模式显示区域空气质量数据（主要污染的浓度）、风机运行状态、风压参数、温湿度等内容，并可根据特殊场景定制显示其他数据内容。系统可实时收集检测数据并自动计算，然后调节相关设备运行状态，确保系统正常合理自动运行。</w:t>
      </w:r>
    </w:p>
    <w:p w14:paraId="2F9811F1">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7.2.2</w:t>
      </w:r>
      <w:r>
        <w:rPr>
          <w:rFonts w:hint="eastAsia" w:ascii="宋体" w:hAnsi="宋体" w:eastAsia="宋体" w:cs="宋体"/>
          <w:color w:val="auto"/>
          <w:spacing w:val="0"/>
          <w:sz w:val="24"/>
          <w:szCs w:val="24"/>
          <w:highlight w:val="none"/>
        </w:rPr>
        <w:t>功能目标：(1)使系统可靠、高效运行，减轻人员的劳动强度</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(2)确保内部环境满足实验安全要求并满足人员舒适性</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(3)可提供系统优化运行和能耗控制方案，进行节能管理</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(4)及时提供设备运行的有关信息，并进行统计与分析，作为设备管理决策的依据，方便运行维护管理。</w:t>
      </w:r>
    </w:p>
    <w:p w14:paraId="29E7955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7.2.3</w:t>
      </w:r>
      <w:r>
        <w:rPr>
          <w:rFonts w:hint="eastAsia" w:ascii="宋体" w:hAnsi="宋体" w:eastAsia="宋体" w:cs="宋体"/>
          <w:color w:val="auto"/>
          <w:spacing w:val="0"/>
          <w:sz w:val="24"/>
          <w:szCs w:val="24"/>
          <w:highlight w:val="none"/>
        </w:rPr>
        <w:t>参数功能：</w:t>
      </w:r>
    </w:p>
    <w:p w14:paraId="01DCCEEB">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(1)安装尺寸：高2500宽330厚260mm，工作环境温度-10℃-50℃</w:t>
      </w:r>
      <w:r>
        <w:rPr>
          <w:rFonts w:hint="eastAsia" w:ascii="宋体" w:hAnsi="宋体" w:eastAsia="宋体" w:cs="宋体"/>
          <w:color w:val="auto"/>
          <w:spacing w:val="0"/>
          <w:sz w:val="24"/>
          <w:szCs w:val="24"/>
          <w:highlight w:val="none"/>
          <w:lang w:eastAsia="zh-CN"/>
        </w:rPr>
        <w:t>。</w:t>
      </w:r>
    </w:p>
    <w:p w14:paraId="64B6E737">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(2)各部件均采用铝合金一体模压成型，部件之间高精度配合连接，无折弯痕及焊痕，表面通过喷砂并闪银阳极处理。美观不突兀，不破坏装饰效果，安装方便，不占用空间。安装方式为挂壁式安装。</w:t>
      </w:r>
    </w:p>
    <w:p w14:paraId="76A35AD3">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(3)多个系统控制中枢之间可共享数据，降低系统风险，系统规模更加灵活，整体功能更强。</w:t>
      </w:r>
    </w:p>
    <w:p w14:paraId="4A68FECC">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显示监测功能：主要对温度、湿度、压差、流量、空气质量及除味消毒模块进行显示监测；使系统可靠、高效运行，减轻人员的劳动强度，确保实验室环境满足工艺需求且满足人员舒适性。触控式人机界面显示新风、排风系统运行状态和污染物浓度，数字化、图形化监测显示，并记录所有动态信息，生成质控报告。并可根据实时监测污染物的浓度，自动调节除味消毒模块的运行效率。所有监测到的信息传至中央处理中心，中央处理中心运算后在毫秒级内发出执行指令到动态离子衍生装置模块调节电离发生强度。</w:t>
      </w:r>
    </w:p>
    <w:p w14:paraId="42571E0A">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新排风机连锁控制，使系统可靠运行，降低人员劳动强度。新风机与排风机连锁，当系统运行时，先打开排风机组，延时20秒开新风机组；系统停止时，先关闭新风机组，延时10秒关排风机组。当控制器检测到风机运行信后，控制程序投入运行。风机变频器处于值班状态时，变频器低速运行。自由设置工作模式，非工作状态下，可选择两种模式，一种为自动模式，即在上班前1小时自动开启系统，下班后半小时自动关闭系统；另一种为设定值班模式，仅保证实验室维持负压，新风机组处于停机状态，节约能耗。</w:t>
      </w:r>
    </w:p>
    <w:p w14:paraId="05D95549">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(6)包含各种逻辑功能，可自由组合、编排，以随心所欲地实现各种环境参数的实时控制，从而给用户一个完整、可靠、方便实用、个性化、经济性的整体解决方案。模拟量输入，数字化、图形化显示区域空气质量数据，自动数据采集。各种传感器的数据反馈给中央处理中心后，中央处理中心分析比较室内的空气质量发出指令给变频机构，控制风量大小和室内温湿度，节约能耗。</w:t>
      </w:r>
    </w:p>
    <w:p w14:paraId="7AC71F8C">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rPr>
        <w:t>)产品保护电路连续性符合GB/T7251.2-2023《低压成套开关设备和控制设备 第2部分：成套电力开关和控制设备》的要求。产品柜体结构机械强度防护等级≥IP2X、壳体防护等级IP44、接地连续性保护接地电阻≤0.1mΩ、非金属部件阻燃等级≥V-0、绝缘电阻≥100mΩ（500V DC）、端子升温≤70K、机构操作寿命≥5000次循环无故障。</w:t>
      </w:r>
      <w:r>
        <w:rPr>
          <w:rFonts w:hint="eastAsia" w:ascii="宋体" w:hAnsi="宋体" w:eastAsia="宋体" w:cs="宋体"/>
          <w:b/>
          <w:bCs/>
          <w:color w:val="auto"/>
          <w:spacing w:val="0"/>
          <w:sz w:val="24"/>
          <w:szCs w:val="24"/>
          <w:highlight w:val="none"/>
        </w:rPr>
        <w:t>供货时提供具有CMA认证的第三方检测机构出具的检测报告扫描件或复印件</w:t>
      </w:r>
    </w:p>
    <w:p w14:paraId="4C0C28EE">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rPr>
        <w:t>）产品射频电磁场辐射抗扰度符合GB/T17626.3-2016的标准，工作性能水平达a。</w:t>
      </w:r>
    </w:p>
    <w:p w14:paraId="5E3AD2CA">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7.3</w:t>
      </w:r>
      <w:r>
        <w:rPr>
          <w:rFonts w:hint="eastAsia" w:ascii="宋体" w:hAnsi="宋体" w:eastAsia="宋体" w:cs="宋体"/>
          <w:color w:val="auto"/>
          <w:spacing w:val="0"/>
          <w:sz w:val="24"/>
          <w:szCs w:val="24"/>
          <w:highlight w:val="none"/>
        </w:rPr>
        <w:t>温湿度传感器</w:t>
      </w:r>
    </w:p>
    <w:p w14:paraId="676E4275">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7.3.1</w:t>
      </w:r>
      <w:r>
        <w:rPr>
          <w:rFonts w:hint="eastAsia" w:ascii="宋体" w:hAnsi="宋体" w:eastAsia="宋体" w:cs="宋体"/>
          <w:color w:val="auto"/>
          <w:spacing w:val="0"/>
          <w:sz w:val="24"/>
          <w:szCs w:val="24"/>
          <w:highlight w:val="none"/>
        </w:rPr>
        <w:t xml:space="preserve">风管式安装:工作电压 AC/ 24 V或DC /13.5-35 V </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 xml:space="preserve">相对湿度输出信号 DC/0～10V </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温度输出信号：DC/ 0～10 V或LG-Ni/1000或T1舒适性湿度范围内的精度达到±3%。</w:t>
      </w:r>
    </w:p>
    <w:p w14:paraId="07AA40B8">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7.4</w:t>
      </w:r>
      <w:r>
        <w:rPr>
          <w:rFonts w:hint="eastAsia" w:ascii="宋体" w:hAnsi="宋体" w:eastAsia="宋体" w:cs="宋体"/>
          <w:color w:val="auto"/>
          <w:spacing w:val="0"/>
          <w:sz w:val="24"/>
          <w:szCs w:val="24"/>
          <w:highlight w:val="none"/>
        </w:rPr>
        <w:t>臭氧探头</w:t>
      </w:r>
    </w:p>
    <w:p w14:paraId="6721FE33">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要求实时在线监测环境臭氧浓度，采用高精度电化学传感器，检测浓度范围 10~250ppb，保障寿命2年</w:t>
      </w:r>
      <w:r>
        <w:rPr>
          <w:rFonts w:hint="eastAsia" w:ascii="宋体" w:hAnsi="宋体" w:eastAsia="宋体" w:cs="宋体"/>
          <w:color w:val="auto"/>
          <w:spacing w:val="0"/>
          <w:sz w:val="24"/>
          <w:szCs w:val="24"/>
          <w:highlight w:val="none"/>
          <w:lang w:eastAsia="zh-CN"/>
        </w:rPr>
        <w:t>。</w:t>
      </w:r>
    </w:p>
    <w:p w14:paraId="4A42E1C3">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7.5空气质量探头</w:t>
      </w:r>
    </w:p>
    <w:p w14:paraId="3B073241">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bCs/>
          <w:color w:val="auto"/>
          <w:sz w:val="24"/>
          <w:szCs w:val="24"/>
          <w:highlight w:val="none"/>
          <w:lang w:eastAsia="zh-CN"/>
        </w:rPr>
      </w:pPr>
      <w:r>
        <w:rPr>
          <w:rFonts w:hint="eastAsia" w:ascii="宋体" w:hAnsi="宋体" w:eastAsia="宋体" w:cs="宋体"/>
          <w:color w:val="auto"/>
          <w:spacing w:val="0"/>
          <w:sz w:val="24"/>
          <w:szCs w:val="24"/>
          <w:highlight w:val="none"/>
        </w:rPr>
        <w:t>VOC检测浓度范围 0~30PPM；电源：DC24V，0-5VDC 线性输出。工作环境温度-10℃-50℃湿度5～95%（无冷凝）；要求对可挥发性气体高度敏感：氨气、甲苯、甲醛、硫化氢等</w:t>
      </w:r>
      <w:r>
        <w:rPr>
          <w:rFonts w:hint="eastAsia" w:ascii="宋体" w:hAnsi="宋体" w:eastAsia="宋体" w:cs="宋体"/>
          <w:color w:val="auto"/>
          <w:spacing w:val="0"/>
          <w:sz w:val="24"/>
          <w:szCs w:val="24"/>
          <w:highlight w:val="none"/>
          <w:lang w:eastAsia="zh-CN"/>
        </w:rPr>
        <w:t>。</w:t>
      </w:r>
    </w:p>
    <w:p w14:paraId="7F63C4A0">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7.6</w:t>
      </w:r>
      <w:r>
        <w:rPr>
          <w:rFonts w:hint="eastAsia" w:ascii="宋体" w:hAnsi="宋体" w:eastAsia="宋体" w:cs="宋体"/>
          <w:color w:val="auto"/>
          <w:spacing w:val="0"/>
          <w:sz w:val="24"/>
          <w:szCs w:val="24"/>
          <w:highlight w:val="none"/>
        </w:rPr>
        <w:t>动态离子衍生装置</w:t>
      </w:r>
    </w:p>
    <w:p w14:paraId="5F522D0D">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7.6.1  </w:t>
      </w:r>
      <w:r>
        <w:rPr>
          <w:rFonts w:hint="eastAsia" w:ascii="宋体" w:hAnsi="宋体" w:eastAsia="宋体" w:cs="宋体"/>
          <w:color w:val="auto"/>
          <w:spacing w:val="0"/>
          <w:sz w:val="24"/>
          <w:szCs w:val="24"/>
          <w:highlight w:val="none"/>
        </w:rPr>
        <w:t xml:space="preserve">2800V正弦DBD放电机型，低温等离子动态消杀型。该模块用于新风管道单向气流安装环境，不考虑气流循环类空气处理产品；不接受石墨烯类易氧化老化的电极类型。      </w:t>
      </w:r>
    </w:p>
    <w:p w14:paraId="60DFA5E0">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7.6.2</w:t>
      </w:r>
      <w:r>
        <w:rPr>
          <w:rFonts w:hint="eastAsia" w:ascii="宋体" w:hAnsi="宋体" w:eastAsia="宋体" w:cs="宋体"/>
          <w:color w:val="auto"/>
          <w:spacing w:val="0"/>
          <w:sz w:val="24"/>
          <w:szCs w:val="24"/>
          <w:highlight w:val="none"/>
        </w:rPr>
        <w:t>功能目标</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(1)中和实验室内日积月累的有毒有害的挥发性有机物，生成无害的二氧化碳及水；(2)杀灭实验室内的病毒和细菌等微生物，减少其附着尘埃颗粒，达到净化室内空气的效果。</w:t>
      </w:r>
    </w:p>
    <w:p w14:paraId="09B62940">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7.6.3</w:t>
      </w:r>
      <w:r>
        <w:rPr>
          <w:rFonts w:hint="eastAsia" w:ascii="宋体" w:hAnsi="宋体" w:eastAsia="宋体" w:cs="宋体"/>
          <w:color w:val="auto"/>
          <w:spacing w:val="0"/>
          <w:sz w:val="24"/>
          <w:szCs w:val="24"/>
          <w:highlight w:val="none"/>
        </w:rPr>
        <w:t>参数功能</w:t>
      </w:r>
    </w:p>
    <w:p w14:paraId="4350BC0C">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(1)电离管的外电极通过螺丝固定的连接方式接地电线接地，保证不会产生电火花。设备质量满足国内标准。</w:t>
      </w:r>
    </w:p>
    <w:p w14:paraId="45087D84">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电离管与空气流向和风管垂直安装，每两根电离管之间至少有10厘米的距离作为自由气流区域以防止臭氧集聚。当臭氧传感器探测到外界其他臭氧源时，除味消毒模块会发生微弱的理想脉冲，控制离子空气处理主机将过多的臭氧转化为活性氧。为了更好地激活氧气分子，电离管应当垂直插入风管（与气流方向成90度），这样保证送风尽可能多地经过电离管表面。</w:t>
      </w:r>
    </w:p>
    <w:p w14:paraId="2F1255BF">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(3)空气处理系统中安装了离子空气处理主机时，需配套空气质量传感器和臭氧传感器，保证所产生的离子簇与室内空气反应适当，不会产生过多的氧离子，保证臭氧浓度不会超过设定标准。</w:t>
      </w:r>
    </w:p>
    <w:p w14:paraId="274E01CF">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sz w:val="24"/>
          <w:szCs w:val="24"/>
          <w:highlight w:val="none"/>
          <w:lang w:eastAsia="zh-CN"/>
        </w:rPr>
        <w:t>净化效果：要求</w:t>
      </w:r>
      <w:r>
        <w:rPr>
          <w:rFonts w:hint="eastAsia" w:ascii="宋体" w:hAnsi="宋体" w:eastAsia="宋体" w:cs="宋体"/>
          <w:color w:val="auto"/>
          <w:spacing w:val="0"/>
          <w:sz w:val="24"/>
          <w:szCs w:val="24"/>
          <w:highlight w:val="none"/>
        </w:rPr>
        <w:t>大肠杆菌（1小时）净化效率≥99%，黑曲霉（1小时）净化效率≥99%，白色葡萄球菌（1小时）净化效率≥99%，自然菌（1小时）净化效率≥94%，氨（2小时）去除率≥90%，硫化氢（2小时）去除率≥90%，甲型流感病毒A/PR/8/34(1小时）去除率≥99.9%</w:t>
      </w:r>
      <w:r>
        <w:rPr>
          <w:rFonts w:hint="eastAsia" w:ascii="宋体" w:hAnsi="宋体" w:eastAsia="宋体" w:cs="宋体"/>
          <w:b/>
          <w:bCs/>
          <w:color w:val="auto"/>
          <w:sz w:val="24"/>
          <w:szCs w:val="24"/>
          <w:highlight w:val="none"/>
        </w:rPr>
        <w:t>。</w:t>
      </w:r>
    </w:p>
    <w:p w14:paraId="6587EEEB">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(5)产品工作电压、工作频率、工作电流、冲击耐压试验等性能满足GB/T 3797-2016要求，还应满足电磁兼容要求：电磁骚扰发射、抗扰度，对应 GB/T 17626 要求。</w:t>
      </w:r>
      <w:r>
        <w:rPr>
          <w:rFonts w:hint="eastAsia" w:ascii="宋体" w:hAnsi="宋体" w:eastAsia="宋体" w:cs="宋体"/>
          <w:b/>
          <w:bCs/>
          <w:color w:val="auto"/>
          <w:spacing w:val="0"/>
          <w:sz w:val="24"/>
          <w:szCs w:val="24"/>
          <w:highlight w:val="none"/>
        </w:rPr>
        <w:t>投标文件中提供具有CMA认证的第三方检测机构出具的检测报告扫描件或复印件。</w:t>
      </w:r>
    </w:p>
    <w:p w14:paraId="2C0F0F41">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(6)产品具备耐高温性能，依据GB/T2423.2进行2H的≥60℃高温试验，产品外观无变化、各项功能指标正常。</w:t>
      </w:r>
      <w:r>
        <w:rPr>
          <w:rFonts w:hint="eastAsia" w:ascii="宋体" w:hAnsi="宋体" w:eastAsia="宋体" w:cs="宋体"/>
          <w:b/>
          <w:bCs/>
          <w:color w:val="auto"/>
          <w:spacing w:val="0"/>
          <w:sz w:val="24"/>
          <w:szCs w:val="24"/>
          <w:highlight w:val="none"/>
        </w:rPr>
        <w:t>投标文件中提供具有CMA认证的第三方检测机构出具的检测报告扫描件或复印件。</w:t>
      </w:r>
      <w:r>
        <w:rPr>
          <w:rFonts w:hint="eastAsia" w:ascii="宋体" w:hAnsi="宋体" w:eastAsia="宋体" w:cs="宋体"/>
          <w:color w:val="auto"/>
          <w:spacing w:val="0"/>
          <w:sz w:val="24"/>
          <w:szCs w:val="24"/>
          <w:highlight w:val="none"/>
        </w:rPr>
        <w:t xml:space="preserve"> </w:t>
      </w:r>
    </w:p>
    <w:p w14:paraId="72384544">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7.7</w:t>
      </w:r>
      <w:r>
        <w:rPr>
          <w:rFonts w:hint="eastAsia" w:ascii="宋体" w:hAnsi="宋体" w:eastAsia="宋体" w:cs="宋体"/>
          <w:color w:val="auto"/>
          <w:spacing w:val="0"/>
          <w:sz w:val="24"/>
          <w:szCs w:val="24"/>
          <w:highlight w:val="none"/>
        </w:rPr>
        <w:t>远程预警控制软件系统</w:t>
      </w:r>
    </w:p>
    <w:p w14:paraId="148ECB99">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7.7.1</w:t>
      </w:r>
      <w:r>
        <w:rPr>
          <w:rFonts w:hint="eastAsia" w:ascii="宋体" w:hAnsi="宋体" w:eastAsia="宋体" w:cs="宋体"/>
          <w:color w:val="auto"/>
          <w:spacing w:val="0"/>
          <w:sz w:val="24"/>
          <w:szCs w:val="24"/>
          <w:highlight w:val="none"/>
        </w:rPr>
        <w:t>配合中枢质控柱使用，用于实验室空气处理系统所有数据的输入、读取、存储及控制的统筹计算。可根据预设的安全值范围进行监测，并提前预警提示等。</w:t>
      </w:r>
    </w:p>
    <w:p w14:paraId="24A9D34F">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7.7.2</w:t>
      </w:r>
      <w:r>
        <w:rPr>
          <w:rFonts w:hint="eastAsia" w:ascii="宋体" w:hAnsi="宋体" w:eastAsia="宋体" w:cs="宋体"/>
          <w:color w:val="auto"/>
          <w:spacing w:val="0"/>
          <w:sz w:val="24"/>
          <w:szCs w:val="24"/>
          <w:highlight w:val="none"/>
        </w:rPr>
        <w:t>远程维保服务器巡检,及时发现和分析整个系统运行异常信息提交维保部门。</w:t>
      </w:r>
    </w:p>
    <w:p w14:paraId="037000D0">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7.7.3  </w:t>
      </w:r>
      <w:r>
        <w:rPr>
          <w:rFonts w:hint="eastAsia" w:ascii="宋体" w:hAnsi="宋体" w:eastAsia="宋体" w:cs="宋体"/>
          <w:color w:val="auto"/>
          <w:spacing w:val="0"/>
          <w:sz w:val="24"/>
          <w:szCs w:val="24"/>
          <w:highlight w:val="none"/>
        </w:rPr>
        <w:t>7×24小时GPRS值班电话报警，在关键设备故障时对指定手机进行无线反馈。</w:t>
      </w:r>
    </w:p>
    <w:p w14:paraId="220823EF">
      <w:pPr>
        <w:pageBreakBefore w:val="0"/>
        <w:shd w:val="clear"/>
        <w:kinsoku/>
        <w:wordWrap/>
        <w:overflowPunct/>
        <w:topLinePunct w:val="0"/>
        <w:autoSpaceDE/>
        <w:autoSpaceDN/>
        <w:bidi w:val="0"/>
        <w:snapToGrid w:val="0"/>
        <w:spacing w:beforeAutospacing="0" w:afterAutospacing="0" w:line="300" w:lineRule="auto"/>
        <w:ind w:firstLine="480" w:firstLineChars="0"/>
        <w:rPr>
          <w:rFonts w:hint="eastAsia" w:ascii="宋体" w:hAnsi="宋体" w:eastAsia="宋体" w:cs="宋体"/>
          <w:b/>
          <w:bCs/>
          <w:color w:val="auto"/>
          <w:sz w:val="24"/>
          <w:szCs w:val="24"/>
          <w:highlight w:val="none"/>
        </w:rPr>
      </w:pPr>
      <w:r>
        <w:rPr>
          <w:rFonts w:hint="eastAsia" w:ascii="宋体" w:hAnsi="宋体" w:eastAsia="宋体" w:cs="宋体"/>
          <w:color w:val="auto"/>
          <w:spacing w:val="0"/>
          <w:sz w:val="24"/>
          <w:szCs w:val="24"/>
          <w:highlight w:val="none"/>
          <w:lang w:val="en-US" w:eastAsia="zh-CN"/>
        </w:rPr>
        <w:t>7.7.4</w:t>
      </w:r>
      <w:r>
        <w:rPr>
          <w:rFonts w:hint="eastAsia" w:ascii="宋体" w:hAnsi="宋体" w:eastAsia="宋体" w:cs="宋体"/>
          <w:color w:val="auto"/>
          <w:spacing w:val="0"/>
          <w:sz w:val="24"/>
          <w:szCs w:val="24"/>
          <w:highlight w:val="none"/>
        </w:rPr>
        <w:t>远程连接操控模块，在手机端及电脑端均可查看中枢质控柱中的数据，并可对整体系统进行远程控制。</w:t>
      </w:r>
    </w:p>
    <w:p w14:paraId="7C99F071">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7.8</w:t>
      </w:r>
      <w:r>
        <w:rPr>
          <w:rFonts w:hint="eastAsia" w:ascii="宋体" w:hAnsi="宋体" w:eastAsia="宋体" w:cs="宋体"/>
          <w:color w:val="auto"/>
          <w:spacing w:val="0"/>
          <w:sz w:val="24"/>
          <w:szCs w:val="24"/>
          <w:highlight w:val="none"/>
        </w:rPr>
        <w:t>远程均流布气终端</w:t>
      </w:r>
    </w:p>
    <w:p w14:paraId="7F6ACC69">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7.8.1</w:t>
      </w:r>
      <w:r>
        <w:rPr>
          <w:rFonts w:hint="eastAsia" w:ascii="宋体" w:hAnsi="宋体" w:eastAsia="宋体" w:cs="宋体"/>
          <w:color w:val="auto"/>
          <w:spacing w:val="0"/>
          <w:sz w:val="24"/>
          <w:szCs w:val="24"/>
          <w:highlight w:val="none"/>
        </w:rPr>
        <w:t>空气动力学专用设施。设计风量</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300-600m³/h；一体模压耐火绝热高分子材质布气终端，为确保产品使用过程中不产生有害物质，箱体不得使用胶水拼贴，不得</w:t>
      </w:r>
      <w:r>
        <w:rPr>
          <w:rFonts w:hint="eastAsia" w:ascii="宋体" w:hAnsi="宋体" w:eastAsia="宋体" w:cs="宋体"/>
          <w:b w:val="0"/>
          <w:bCs w:val="0"/>
          <w:color w:val="auto"/>
          <w:spacing w:val="0"/>
          <w:sz w:val="24"/>
          <w:szCs w:val="24"/>
          <w:highlight w:val="none"/>
        </w:rPr>
        <w:t>使用金属箱体外贴保温材料</w:t>
      </w:r>
      <w:r>
        <w:rPr>
          <w:rFonts w:hint="eastAsia" w:ascii="宋体" w:hAnsi="宋体" w:eastAsia="宋体" w:cs="宋体"/>
          <w:b w:val="0"/>
          <w:bCs w:val="0"/>
          <w:color w:val="auto"/>
          <w:spacing w:val="0"/>
          <w:sz w:val="24"/>
          <w:szCs w:val="24"/>
          <w:highlight w:val="none"/>
          <w:lang w:eastAsia="zh-CN"/>
        </w:rPr>
        <w:t>。</w:t>
      </w:r>
    </w:p>
    <w:p w14:paraId="0906C442">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z w:val="24"/>
          <w:szCs w:val="24"/>
          <w:highlight w:val="none"/>
          <w:lang w:val="en-US" w:eastAsia="zh-CN"/>
        </w:rPr>
        <w:t>7.8.2具有</w:t>
      </w:r>
      <w:r>
        <w:rPr>
          <w:rFonts w:hint="eastAsia" w:ascii="宋体" w:hAnsi="宋体" w:eastAsia="宋体" w:cs="宋体"/>
          <w:b w:val="0"/>
          <w:bCs w:val="0"/>
          <w:color w:val="auto"/>
          <w:sz w:val="24"/>
          <w:szCs w:val="24"/>
          <w:highlight w:val="none"/>
          <w:lang w:eastAsia="zh-CN"/>
        </w:rPr>
        <w:t>抗</w:t>
      </w:r>
      <w:r>
        <w:rPr>
          <w:rFonts w:hint="eastAsia" w:ascii="宋体" w:hAnsi="宋体" w:eastAsia="宋体" w:cs="宋体"/>
          <w:b w:val="0"/>
          <w:bCs w:val="0"/>
          <w:color w:val="auto"/>
          <w:sz w:val="24"/>
          <w:szCs w:val="24"/>
          <w:highlight w:val="none"/>
        </w:rPr>
        <w:t>自然老化</w:t>
      </w:r>
      <w:r>
        <w:rPr>
          <w:rFonts w:hint="eastAsia" w:ascii="宋体" w:hAnsi="宋体" w:eastAsia="宋体" w:cs="宋体"/>
          <w:b w:val="0"/>
          <w:bCs w:val="0"/>
          <w:color w:val="auto"/>
          <w:sz w:val="24"/>
          <w:szCs w:val="24"/>
          <w:highlight w:val="none"/>
          <w:lang w:eastAsia="zh-CN"/>
        </w:rPr>
        <w:t>能力</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经过耐候性试验要求</w:t>
      </w:r>
      <w:r>
        <w:rPr>
          <w:rFonts w:hint="eastAsia" w:ascii="宋体" w:hAnsi="宋体" w:eastAsia="宋体" w:cs="宋体"/>
          <w:b w:val="0"/>
          <w:bCs w:val="0"/>
          <w:color w:val="auto"/>
          <w:sz w:val="24"/>
          <w:szCs w:val="24"/>
          <w:highlight w:val="none"/>
        </w:rPr>
        <w:t>“连续监测三个月，涂层外观无明显变化”。</w:t>
      </w:r>
      <w:r>
        <w:rPr>
          <w:rFonts w:hint="eastAsia" w:ascii="宋体" w:hAnsi="宋体" w:eastAsia="宋体" w:cs="宋体"/>
          <w:b w:val="0"/>
          <w:bCs w:val="0"/>
          <w:color w:val="auto"/>
          <w:spacing w:val="0"/>
          <w:sz w:val="24"/>
          <w:szCs w:val="24"/>
          <w:highlight w:val="none"/>
        </w:rPr>
        <w:t xml:space="preserve">  </w:t>
      </w:r>
    </w:p>
    <w:p w14:paraId="2511CF4C">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en-US" w:eastAsia="zh-CN"/>
        </w:rPr>
        <w:t>7.8.3</w:t>
      </w:r>
      <w:r>
        <w:rPr>
          <w:rFonts w:hint="eastAsia" w:ascii="宋体" w:hAnsi="宋体" w:eastAsia="宋体" w:cs="宋体"/>
          <w:b w:val="0"/>
          <w:bCs w:val="0"/>
          <w:color w:val="auto"/>
          <w:sz w:val="24"/>
          <w:szCs w:val="24"/>
          <w:highlight w:val="none"/>
        </w:rPr>
        <w:t>产品</w:t>
      </w:r>
      <w:r>
        <w:rPr>
          <w:rFonts w:hint="eastAsia" w:ascii="宋体" w:hAnsi="宋体" w:eastAsia="宋体" w:cs="宋体"/>
          <w:b w:val="0"/>
          <w:bCs w:val="0"/>
          <w:color w:val="auto"/>
          <w:sz w:val="24"/>
          <w:szCs w:val="24"/>
          <w:highlight w:val="none"/>
          <w:lang w:eastAsia="zh-CN"/>
        </w:rPr>
        <w:t>不得含</w:t>
      </w:r>
      <w:r>
        <w:rPr>
          <w:rFonts w:hint="eastAsia" w:ascii="宋体" w:hAnsi="宋体" w:eastAsia="宋体" w:cs="宋体"/>
          <w:b w:val="0"/>
          <w:bCs w:val="0"/>
          <w:color w:val="auto"/>
          <w:sz w:val="24"/>
          <w:szCs w:val="24"/>
          <w:highlight w:val="none"/>
        </w:rPr>
        <w:t>甲醛</w:t>
      </w:r>
      <w:r>
        <w:rPr>
          <w:rFonts w:hint="eastAsia" w:ascii="宋体" w:hAnsi="宋体" w:eastAsia="宋体" w:cs="宋体"/>
          <w:b w:val="0"/>
          <w:bCs w:val="0"/>
          <w:color w:val="auto"/>
          <w:sz w:val="24"/>
          <w:szCs w:val="24"/>
          <w:highlight w:val="none"/>
          <w:lang w:eastAsia="zh-CN"/>
        </w:rPr>
        <w:t>、以及</w:t>
      </w:r>
      <w:r>
        <w:rPr>
          <w:rFonts w:hint="eastAsia" w:ascii="宋体" w:hAnsi="宋体" w:eastAsia="宋体" w:cs="宋体"/>
          <w:b w:val="0"/>
          <w:bCs w:val="0"/>
          <w:color w:val="auto"/>
          <w:sz w:val="24"/>
          <w:szCs w:val="24"/>
          <w:highlight w:val="none"/>
        </w:rPr>
        <w:t>10大重金属(铅、镉、铬、汞、锑、 砷、钡、硒、锰、锡 等可迁移元素)。</w:t>
      </w:r>
    </w:p>
    <w:p w14:paraId="63D3C213">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7.8.4</w:t>
      </w:r>
      <w:r>
        <w:rPr>
          <w:rFonts w:hint="eastAsia" w:ascii="宋体" w:hAnsi="宋体" w:eastAsia="宋体" w:cs="宋体"/>
          <w:b w:val="0"/>
          <w:bCs w:val="0"/>
          <w:color w:val="auto"/>
          <w:sz w:val="24"/>
          <w:szCs w:val="24"/>
          <w:highlight w:val="none"/>
        </w:rPr>
        <w:t xml:space="preserve">产品具有一定的防腐蚀性能，依据GB/T 10125-2021，产品分别进行24H、48H、72H盐雾试验，表面无腐蚀迹象。 </w:t>
      </w:r>
    </w:p>
    <w:p w14:paraId="150CE45F">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b w:val="0"/>
          <w:bCs w:val="0"/>
          <w:color w:val="auto"/>
          <w:sz w:val="24"/>
          <w:szCs w:val="24"/>
          <w:highlight w:val="none"/>
          <w:lang w:val="en-US" w:eastAsia="zh-CN"/>
        </w:rPr>
        <w:t>7.8.5</w:t>
      </w:r>
      <w:r>
        <w:rPr>
          <w:rFonts w:hint="eastAsia" w:ascii="宋体" w:hAnsi="宋体" w:eastAsia="宋体" w:cs="宋体"/>
          <w:b w:val="0"/>
          <w:bCs w:val="0"/>
          <w:color w:val="auto"/>
          <w:sz w:val="24"/>
          <w:szCs w:val="24"/>
          <w:highlight w:val="none"/>
        </w:rPr>
        <w:t>产品具有优异的抗拉性能，根据GB/T 228.1-2010</w:t>
      </w:r>
      <w:r>
        <w:rPr>
          <w:rFonts w:hint="eastAsia" w:ascii="宋体" w:hAnsi="宋体" w:eastAsia="宋体" w:cs="宋体"/>
          <w:b w:val="0"/>
          <w:bCs w:val="0"/>
          <w:color w:val="auto"/>
          <w:sz w:val="24"/>
          <w:szCs w:val="24"/>
          <w:highlight w:val="none"/>
          <w:lang w:eastAsia="zh-CN"/>
        </w:rPr>
        <w:t>进行</w:t>
      </w:r>
      <w:r>
        <w:rPr>
          <w:rFonts w:hint="eastAsia" w:ascii="宋体" w:hAnsi="宋体" w:eastAsia="宋体" w:cs="宋体"/>
          <w:b w:val="0"/>
          <w:bCs w:val="0"/>
          <w:color w:val="auto"/>
          <w:sz w:val="24"/>
          <w:szCs w:val="24"/>
          <w:highlight w:val="none"/>
        </w:rPr>
        <w:t>检测，包含抗拉伸强度Rm≥200MPa,规定塑性延伸强度Rp0.2≥80MPa，断后伸长率A50mm≥15%</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color w:val="auto"/>
          <w:spacing w:val="0"/>
          <w:sz w:val="24"/>
          <w:szCs w:val="24"/>
          <w:highlight w:val="none"/>
        </w:rPr>
        <w:t xml:space="preserve"> </w:t>
      </w:r>
    </w:p>
    <w:p w14:paraId="1564EBF9">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7.9</w:t>
      </w:r>
      <w:r>
        <w:rPr>
          <w:rFonts w:hint="eastAsia" w:ascii="宋体" w:hAnsi="宋体" w:eastAsia="宋体" w:cs="宋体"/>
          <w:color w:val="auto"/>
          <w:spacing w:val="0"/>
          <w:sz w:val="24"/>
          <w:szCs w:val="24"/>
          <w:highlight w:val="none"/>
        </w:rPr>
        <w:t>垂直定向污气导吸装置</w:t>
      </w:r>
    </w:p>
    <w:p w14:paraId="78892569">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空气动力学专用设施，要求整体结构一次成模无接缝，表面做耐候处理。设计风量：300-600m³/h；风阻&lt;50Pa，水平安装。</w:t>
      </w:r>
    </w:p>
    <w:p w14:paraId="264836EB">
      <w:pPr>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b/>
          <w:bCs/>
          <w:color w:val="auto"/>
          <w:sz w:val="24"/>
          <w:szCs w:val="24"/>
          <w:highlight w:val="none"/>
        </w:rPr>
        <w:t>产品具有优异的防腐蚀的性能，表面进行阳极氧化处理，并做相应的耐候处理。</w:t>
      </w:r>
      <w:r>
        <w:rPr>
          <w:rFonts w:hint="eastAsia" w:ascii="宋体" w:hAnsi="宋体" w:eastAsia="宋体" w:cs="宋体"/>
          <w:color w:val="auto"/>
          <w:spacing w:val="0"/>
          <w:sz w:val="24"/>
          <w:szCs w:val="24"/>
          <w:highlight w:val="none"/>
        </w:rPr>
        <w:t xml:space="preserve"> </w:t>
      </w:r>
    </w:p>
    <w:p w14:paraId="65F5D588">
      <w:pPr>
        <w:pStyle w:val="2"/>
        <w:pageBreakBefore w:val="0"/>
        <w:numPr>
          <w:ilvl w:val="0"/>
          <w:numId w:val="0"/>
        </w:numPr>
        <w:shd w:val="clear"/>
        <w:kinsoku/>
        <w:wordWrap/>
        <w:overflowPunct/>
        <w:topLinePunct w:val="0"/>
        <w:autoSpaceDE/>
        <w:autoSpaceDN/>
        <w:bidi w:val="0"/>
        <w:snapToGrid w:val="0"/>
        <w:spacing w:before="0" w:beforeAutospacing="0" w:after="0" w:afterAutospacing="0" w:line="300" w:lineRule="auto"/>
        <w:ind w:left="0" w:leftChars="0" w:firstLine="0" w:firstLineChars="0"/>
        <w:rPr>
          <w:rFonts w:hint="eastAsia" w:ascii="宋体" w:hAnsi="宋体" w:eastAsia="宋体" w:cs="宋体"/>
          <w:color w:val="auto"/>
          <w:spacing w:val="0"/>
          <w:sz w:val="24"/>
          <w:szCs w:val="24"/>
          <w:highlight w:val="none"/>
        </w:rPr>
      </w:pPr>
      <w:bookmarkStart w:id="87" w:name="_Toc16720"/>
      <w:r>
        <w:rPr>
          <w:rFonts w:hint="eastAsia" w:ascii="宋体" w:hAnsi="宋体" w:eastAsia="宋体" w:cs="宋体"/>
          <w:b/>
          <w:bCs/>
          <w:color w:val="auto"/>
          <w:spacing w:val="0"/>
          <w:kern w:val="44"/>
          <w:sz w:val="24"/>
          <w:szCs w:val="24"/>
          <w:highlight w:val="none"/>
          <w:lang w:val="en-US" w:eastAsia="zh-CN" w:bidi="ar-SA"/>
        </w:rPr>
        <w:t>8、</w:t>
      </w:r>
      <w:r>
        <w:rPr>
          <w:rFonts w:hint="eastAsia" w:ascii="宋体" w:hAnsi="宋体" w:eastAsia="宋体" w:cs="宋体"/>
          <w:color w:val="auto"/>
          <w:spacing w:val="0"/>
          <w:sz w:val="24"/>
          <w:szCs w:val="24"/>
          <w:highlight w:val="none"/>
        </w:rPr>
        <w:t>电气系统技术说明</w:t>
      </w:r>
      <w:bookmarkEnd w:id="87"/>
    </w:p>
    <w:p w14:paraId="3BEFC77D">
      <w:pPr>
        <w:pStyle w:val="3"/>
        <w:pageBreakBefore w:val="0"/>
        <w:numPr>
          <w:ilvl w:val="0"/>
          <w:numId w:val="0"/>
        </w:numPr>
        <w:shd w:val="clear"/>
        <w:tabs>
          <w:tab w:val="clear" w:pos="360"/>
          <w:tab w:val="clear" w:pos="420"/>
        </w:tabs>
        <w:kinsoku/>
        <w:wordWrap/>
        <w:overflowPunct/>
        <w:topLinePunct w:val="0"/>
        <w:autoSpaceDE/>
        <w:autoSpaceDN/>
        <w:bidi w:val="0"/>
        <w:snapToGrid w:val="0"/>
        <w:spacing w:beforeAutospacing="0" w:afterAutospacing="0"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8.1</w:t>
      </w:r>
      <w:r>
        <w:rPr>
          <w:rFonts w:hint="eastAsia" w:ascii="宋体" w:hAnsi="宋体" w:eastAsia="宋体" w:cs="宋体"/>
          <w:color w:val="auto"/>
          <w:spacing w:val="0"/>
          <w:sz w:val="24"/>
          <w:szCs w:val="24"/>
          <w:highlight w:val="none"/>
        </w:rPr>
        <w:t>供配电及照明系统</w:t>
      </w:r>
    </w:p>
    <w:p w14:paraId="161D037E">
      <w:pPr>
        <w:pageBreakBefore w:val="0"/>
        <w:shd w:val="clear"/>
        <w:kinsoku/>
        <w:wordWrap/>
        <w:overflowPunct/>
        <w:topLinePunct w:val="0"/>
        <w:autoSpaceDE/>
        <w:autoSpaceDN/>
        <w:bidi w:val="0"/>
        <w:snapToGrid w:val="0"/>
        <w:spacing w:beforeAutospacing="0" w:afterAutospacing="0" w:line="300" w:lineRule="auto"/>
        <w:ind w:left="0" w:leftChars="0" w:firstLine="482" w:firstLineChars="200"/>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8.</w:t>
      </w:r>
      <w:r>
        <w:rPr>
          <w:rFonts w:hint="eastAsia" w:ascii="宋体" w:hAnsi="宋体" w:eastAsia="宋体" w:cs="宋体"/>
          <w:b/>
          <w:bCs/>
          <w:color w:val="auto"/>
          <w:spacing w:val="0"/>
          <w:sz w:val="24"/>
          <w:szCs w:val="24"/>
          <w:highlight w:val="none"/>
        </w:rPr>
        <w:t>1.1 供配电设计</w:t>
      </w:r>
    </w:p>
    <w:p w14:paraId="2FE9FCF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1）实验室内部设置合适数量的配电箱，总包负责将电缆引到各区域总配电箱。</w:t>
      </w:r>
    </w:p>
    <w:p w14:paraId="492140F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2）输入断路器输出端分别供电给仪器设备、辅助设备配电回路（包括空调、维修用电等）、照明回路、防雷器回路及备用回路。</w:t>
      </w:r>
    </w:p>
    <w:p w14:paraId="6E54E15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3）每个输出端在面板上必须标明各自供电对象。</w:t>
      </w:r>
    </w:p>
    <w:p w14:paraId="2D5E9119">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4）供电系统配电箱及供电布线规范、安全、整齐、屏蔽，不得形成对数据信号线路的干扰，各类电源插座必须有明显的区别标志。</w:t>
      </w:r>
    </w:p>
    <w:p w14:paraId="218F4B8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5）单相负荷均匀地分配在三相线路上，并使三相负荷不平衡度小于15％。</w:t>
      </w:r>
    </w:p>
    <w:p w14:paraId="153A619B">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6）220V、380V供电各配空气开关和漏电开关，采用TN-S三相五线制供电系统，动力电和照明电、仪器用电分开设置，供电应充分保证实验室的用电安全。大功率用电器使用一路相线，其他仪器独立使用一路相线，以避免大功率开停对检验仪器的影响。所有用电仪器设备均应良好接地。</w:t>
      </w:r>
    </w:p>
    <w:p w14:paraId="6E32219D">
      <w:pPr>
        <w:pageBreakBefore w:val="0"/>
        <w:shd w:val="clear"/>
        <w:kinsoku/>
        <w:wordWrap/>
        <w:overflowPunct/>
        <w:topLinePunct w:val="0"/>
        <w:autoSpaceDE/>
        <w:autoSpaceDN/>
        <w:bidi w:val="0"/>
        <w:snapToGrid w:val="0"/>
        <w:spacing w:beforeAutospacing="0" w:afterAutospacing="0" w:line="300" w:lineRule="auto"/>
        <w:ind w:left="0" w:leftChars="0" w:firstLine="482" w:firstLineChars="200"/>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8.</w:t>
      </w:r>
      <w:r>
        <w:rPr>
          <w:rFonts w:hint="eastAsia" w:ascii="宋体" w:hAnsi="宋体" w:eastAsia="宋体" w:cs="宋体"/>
          <w:b/>
          <w:bCs/>
          <w:color w:val="auto"/>
          <w:spacing w:val="0"/>
          <w:sz w:val="24"/>
          <w:szCs w:val="24"/>
          <w:highlight w:val="none"/>
        </w:rPr>
        <w:t>1.2 照明系统</w:t>
      </w:r>
    </w:p>
    <w:p w14:paraId="7F03EFB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建筑照明功率密度应符合《建筑节能与可再生能源利用通用规范》GB55015-2021表3.3.7-6的规定；当房间或场所的室形指数值等于或小于1时，其照明功率密度限值可增加，但增加值不应超过限值的20％；当房间或场所的照度标准值提高或降低一级时，其照明功率密度限值应按比例提高或折减。</w:t>
      </w:r>
    </w:p>
    <w:p w14:paraId="1B018546">
      <w:pPr>
        <w:pStyle w:val="73"/>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（2）医疗场所的一般照明的照度均匀度不应低于0.7；统一眩光值UGR不应高于19。</w:t>
      </w:r>
    </w:p>
    <w:p w14:paraId="259D13F5">
      <w:pPr>
        <w:pStyle w:val="73"/>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（3）长时间工作或停留的房间或场所，照明光源的颜色特性应符合下列规定：同类产品的色容差不应大于5SDCM；一般显色指数（Ra）不应低于80；特殊显色指数（R9）不应小于0。</w:t>
      </w:r>
    </w:p>
    <w:p w14:paraId="48EF145A">
      <w:pPr>
        <w:pStyle w:val="73"/>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（4）医疗建筑照明光源颜色的色表特征宜为中间色，其相关色温宜为3300K~5300K。</w:t>
      </w:r>
    </w:p>
    <w:p w14:paraId="3744480A">
      <w:pPr>
        <w:pStyle w:val="73"/>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5）备用照明的照度标准值应符合下列规定：正常照明失效可能危及生命安全，需继续正常工作的医疗场所，备用照明应维持正常照明的照度；正常照明失效可能使患者处于潜在生命危险中的专用医疗场所，安全照明的照度应为正常照明的照度值；</w:t>
      </w:r>
    </w:p>
    <w:p w14:paraId="341980AD">
      <w:pPr>
        <w:pStyle w:val="73"/>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（6）光源选用以LED灯为主，主要功能区、实验区选用42W/18W 洁净气密性灯盘，卫生间等湿区采用9W防潮筒灯。 LED 洁净灯具的光输出波形的波动深度满足现行 国家标准《 LED 室内照明应用技术要求》 GB/T 31831 的规定。人员长期停留的场所应采用符合现行国家标准《灯和灯系统的光生物安全性》 GB/T 20145 规定的无危险类照明产品</w:t>
      </w:r>
      <w:r>
        <w:rPr>
          <w:rFonts w:hint="eastAsia" w:ascii="宋体" w:hAnsi="宋体" w:eastAsia="宋体" w:cs="宋体"/>
          <w:color w:val="auto"/>
          <w:spacing w:val="0"/>
          <w:sz w:val="24"/>
          <w:szCs w:val="24"/>
          <w:highlight w:val="none"/>
          <w:lang w:eastAsia="zh-CN"/>
        </w:rPr>
        <w:t>。</w:t>
      </w:r>
    </w:p>
    <w:p w14:paraId="4322AB7B">
      <w:pPr>
        <w:pageBreakBefore w:val="0"/>
        <w:shd w:val="clear"/>
        <w:kinsoku/>
        <w:wordWrap/>
        <w:overflowPunct/>
        <w:topLinePunct w:val="0"/>
        <w:autoSpaceDE/>
        <w:autoSpaceDN/>
        <w:bidi w:val="0"/>
        <w:snapToGrid w:val="0"/>
        <w:spacing w:beforeAutospacing="0" w:afterAutospacing="0" w:line="300" w:lineRule="auto"/>
        <w:ind w:left="0" w:leftChars="0" w:firstLine="482" w:firstLineChars="200"/>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8.</w:t>
      </w:r>
      <w:r>
        <w:rPr>
          <w:rFonts w:hint="eastAsia" w:ascii="宋体" w:hAnsi="宋体" w:eastAsia="宋体" w:cs="宋体"/>
          <w:b/>
          <w:bCs/>
          <w:color w:val="auto"/>
          <w:spacing w:val="0"/>
          <w:sz w:val="24"/>
          <w:szCs w:val="24"/>
          <w:highlight w:val="none"/>
        </w:rPr>
        <w:t>1.3消毒系统：</w:t>
      </w:r>
    </w:p>
    <w:p w14:paraId="4AD289B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需要消毒的区域，安装紫外线消毒灯（30W紫外线灯，在1.0m处的强度大于70μW/c</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）的数量为平均每立方米不少于1.5W，照射时间不少于30min。数量设置详见图纸，安装方式为吊装，满足消毒规范要求，时控开关设置明显的警示标志，安装高度宜为底边距地1.8m。</w:t>
      </w:r>
    </w:p>
    <w:p w14:paraId="2F4B5167">
      <w:pPr>
        <w:pStyle w:val="73"/>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bCs/>
          <w:color w:val="auto"/>
          <w:spacing w:val="0"/>
          <w:kern w:val="20"/>
          <w:sz w:val="24"/>
          <w:szCs w:val="24"/>
          <w:highlight w:val="none"/>
        </w:rPr>
      </w:pPr>
      <w:r>
        <w:rPr>
          <w:rFonts w:hint="eastAsia" w:ascii="宋体" w:hAnsi="宋体" w:eastAsia="宋体" w:cs="宋体"/>
          <w:b/>
          <w:bCs/>
          <w:color w:val="auto"/>
          <w:spacing w:val="0"/>
          <w:kern w:val="20"/>
          <w:sz w:val="24"/>
          <w:szCs w:val="24"/>
          <w:highlight w:val="none"/>
          <w:lang w:val="en-US" w:eastAsia="zh-CN"/>
        </w:rPr>
        <w:t>8.</w:t>
      </w:r>
      <w:r>
        <w:rPr>
          <w:rFonts w:hint="eastAsia" w:ascii="宋体" w:hAnsi="宋体" w:eastAsia="宋体" w:cs="宋体"/>
          <w:b/>
          <w:bCs/>
          <w:color w:val="auto"/>
          <w:spacing w:val="0"/>
          <w:kern w:val="20"/>
          <w:sz w:val="24"/>
          <w:szCs w:val="24"/>
          <w:highlight w:val="none"/>
        </w:rPr>
        <w:t>1.4低压配电系统：</w:t>
      </w:r>
    </w:p>
    <w:p w14:paraId="6E88F92B">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（1）实验边台的插座安装在台面或者墙面，采用220V/10A五孔插座及220V/16A三孔插座，非摆放在台面的用电设备插座距地300mm暗装；</w:t>
      </w:r>
    </w:p>
    <w:p w14:paraId="7DF07B87">
      <w:pPr>
        <w:pageBreakBefore w:val="0"/>
        <w:shd w:val="clear"/>
        <w:kinsoku/>
        <w:wordWrap/>
        <w:overflowPunct/>
        <w:topLinePunct w:val="0"/>
        <w:autoSpaceDE/>
        <w:autoSpaceDN/>
        <w:bidi w:val="0"/>
        <w:snapToGrid w:val="0"/>
        <w:spacing w:beforeAutospacing="0" w:afterAutospacing="0" w:line="300" w:lineRule="auto"/>
        <w:ind w:left="0" w:leftChars="0" w:firstLine="48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（2）通风柜、生物安全柜等设备按照独立回路敷设，功率以设备实际功率。</w:t>
      </w:r>
    </w:p>
    <w:p w14:paraId="6322E03D">
      <w:pPr>
        <w:pStyle w:val="73"/>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（3）当正常照明灯具安装高度在2.5m及以下，且灯具采用交流低压供电时，应设置剩余电流动作保护电器作为附加防护。</w:t>
      </w:r>
    </w:p>
    <w:p w14:paraId="79E4AFC2">
      <w:pPr>
        <w:pStyle w:val="73"/>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（4）额定电流不超过32A的下列回路应装设剩余电流动作保护电器:供一般人员使用的电源插座回路；室内移动电气设备；人员可触及的室外电气设备。</w:t>
      </w:r>
    </w:p>
    <w:p w14:paraId="3446DD8C">
      <w:pPr>
        <w:pStyle w:val="73"/>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20"/>
          <w:sz w:val="24"/>
          <w:szCs w:val="24"/>
          <w:highlight w:val="none"/>
          <w:lang w:val="en-US" w:eastAsia="zh-CN"/>
        </w:rPr>
        <w:t>8.</w:t>
      </w:r>
      <w:r>
        <w:rPr>
          <w:rFonts w:hint="eastAsia" w:ascii="宋体" w:hAnsi="宋体" w:eastAsia="宋体" w:cs="宋体"/>
          <w:b/>
          <w:bCs/>
          <w:color w:val="auto"/>
          <w:spacing w:val="0"/>
          <w:kern w:val="20"/>
          <w:sz w:val="24"/>
          <w:szCs w:val="24"/>
          <w:highlight w:val="none"/>
        </w:rPr>
        <w:t>1.5线缆选择及线路敷设：</w:t>
      </w:r>
    </w:p>
    <w:p w14:paraId="46463D3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1）各层平面中从竖井至各配电箱的线路沿金属槽式桥架或穿JDG(φ40及以下)/SC(φ40以上)管，沿吊顶内敷设。</w:t>
      </w:r>
    </w:p>
    <w:p w14:paraId="121380E1">
      <w:pPr>
        <w:pStyle w:val="73"/>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2）低压线路：低压电力电缆采用铜芯低烟无卤聚乙烯绝缘电力电缆WDZB-YJY-0.6/1KV，普通照明及插座采用铜芯低烟无卤电线WDZB-BYJ-0.45/0.75KV。</w:t>
      </w:r>
    </w:p>
    <w:p w14:paraId="2BAB96E1">
      <w:pPr>
        <w:pStyle w:val="73"/>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3）本项目设计采用电线电缆选用燃烧性能B1级、产烟毒性t1级、燃烧滴落物/微粒等级为d1级。</w:t>
      </w:r>
    </w:p>
    <w:p w14:paraId="26D1043B">
      <w:pPr>
        <w:pStyle w:val="73"/>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4）电力桥架动力区（空调机房）采用梯型桥架，其他区域采用有孔托盘式带盖板桥架。桥架内电缆总截面积与桥架横断面面积之比，电力电缆不应大于40%，控制电缆不应大于50%。桥架需保持电气贯通，确保接地的连续性。</w:t>
      </w:r>
    </w:p>
    <w:p w14:paraId="3EDB48ED">
      <w:pPr>
        <w:pStyle w:val="73"/>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5）室外桥架需进行防腐处理。室外桥架及所有垂直桥架（包括电气竖井内桥架、与配电箱连接垂直段桥架）需加不带孔的槽式金属盖板。</w:t>
      </w:r>
    </w:p>
    <w:p w14:paraId="2910888C">
      <w:pPr>
        <w:pStyle w:val="73"/>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 xml:space="preserve">6）室外敷设的电线电缆敷设采用焊接钢管作为保护。  </w:t>
      </w:r>
    </w:p>
    <w:p w14:paraId="5AD255E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线路、电线材质均符合国标及仪器设备使用要求。</w:t>
      </w:r>
    </w:p>
    <w:p w14:paraId="13B616DE">
      <w:pPr>
        <w:pStyle w:val="73"/>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bCs/>
          <w:color w:val="auto"/>
          <w:spacing w:val="0"/>
          <w:kern w:val="20"/>
          <w:sz w:val="24"/>
          <w:szCs w:val="24"/>
          <w:highlight w:val="none"/>
        </w:rPr>
      </w:pPr>
      <w:r>
        <w:rPr>
          <w:rFonts w:hint="eastAsia" w:ascii="宋体" w:hAnsi="宋体" w:eastAsia="宋体" w:cs="宋体"/>
          <w:b/>
          <w:bCs/>
          <w:color w:val="auto"/>
          <w:spacing w:val="0"/>
          <w:kern w:val="20"/>
          <w:sz w:val="24"/>
          <w:szCs w:val="24"/>
          <w:highlight w:val="none"/>
          <w:lang w:val="en-US" w:eastAsia="zh-CN"/>
        </w:rPr>
        <w:t>8.</w:t>
      </w:r>
      <w:r>
        <w:rPr>
          <w:rFonts w:hint="eastAsia" w:ascii="宋体" w:hAnsi="宋体" w:eastAsia="宋体" w:cs="宋体"/>
          <w:b/>
          <w:bCs/>
          <w:color w:val="auto"/>
          <w:spacing w:val="0"/>
          <w:kern w:val="20"/>
          <w:sz w:val="24"/>
          <w:szCs w:val="24"/>
          <w:highlight w:val="none"/>
        </w:rPr>
        <w:t>1.6接地及安全措施：</w:t>
      </w:r>
    </w:p>
    <w:p w14:paraId="06788ED6">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（1）</w:t>
      </w:r>
      <w:r>
        <w:rPr>
          <w:rFonts w:hint="eastAsia" w:ascii="宋体" w:hAnsi="宋体" w:eastAsia="宋体" w:cs="宋体"/>
          <w:color w:val="auto"/>
          <w:spacing w:val="0"/>
          <w:kern w:val="20"/>
          <w:sz w:val="24"/>
          <w:szCs w:val="24"/>
          <w:highlight w:val="none"/>
        </w:rPr>
        <w:t>本工程配电系统的接地形式为TN-S系统。本建筑采用综合接地系统，利用建筑物基础接地，建筑物内所有设备保护接地等共用同一接地系统，接地电阻要求≤1Ω。</w:t>
      </w:r>
    </w:p>
    <w:p w14:paraId="0BDB9B56">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（2）</w:t>
      </w:r>
      <w:r>
        <w:rPr>
          <w:rFonts w:hint="eastAsia" w:ascii="宋体" w:hAnsi="宋体" w:eastAsia="宋体" w:cs="宋体"/>
          <w:color w:val="auto"/>
          <w:spacing w:val="0"/>
          <w:kern w:val="20"/>
          <w:sz w:val="24"/>
          <w:szCs w:val="24"/>
          <w:highlight w:val="none"/>
        </w:rPr>
        <w:t>若有不间断电源UPS，则UPS输出侧中性线应与PE做重复接地。</w:t>
      </w:r>
    </w:p>
    <w:p w14:paraId="7DBAE83D">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（3）</w:t>
      </w:r>
      <w:r>
        <w:rPr>
          <w:rFonts w:hint="eastAsia" w:ascii="宋体" w:hAnsi="宋体" w:eastAsia="宋体" w:cs="宋体"/>
          <w:color w:val="auto"/>
          <w:spacing w:val="0"/>
          <w:kern w:val="20"/>
          <w:sz w:val="24"/>
          <w:szCs w:val="24"/>
          <w:highlight w:val="none"/>
        </w:rPr>
        <w:t>电缆进线处设重复接地装置，接地电阻不大于1欧姆。做法按《建筑电气通用图集》09BD-13防雷与接地装置。</w:t>
      </w:r>
    </w:p>
    <w:p w14:paraId="6AE5D042">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（4）</w:t>
      </w:r>
      <w:r>
        <w:rPr>
          <w:rFonts w:hint="eastAsia" w:ascii="宋体" w:hAnsi="宋体" w:eastAsia="宋体" w:cs="宋体"/>
          <w:color w:val="auto"/>
          <w:spacing w:val="0"/>
          <w:kern w:val="20"/>
          <w:sz w:val="24"/>
          <w:szCs w:val="24"/>
          <w:highlight w:val="none"/>
        </w:rPr>
        <w:t>低压配电柜、动力配电箱穿线钢管、电机设备等外露可导电部分以及2.4米以下灯具的金属外壳均应可靠接地。</w:t>
      </w:r>
    </w:p>
    <w:p w14:paraId="59DE5E46">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（5）</w:t>
      </w:r>
      <w:r>
        <w:rPr>
          <w:rFonts w:hint="eastAsia" w:ascii="宋体" w:hAnsi="宋体" w:eastAsia="宋体" w:cs="宋体"/>
          <w:color w:val="auto"/>
          <w:spacing w:val="0"/>
          <w:kern w:val="20"/>
          <w:sz w:val="24"/>
          <w:szCs w:val="24"/>
          <w:highlight w:val="none"/>
        </w:rPr>
        <w:t>将新增电源进线连至等电位联结端子箱（LEB），各种进出建筑物的金属管道（水、气管等）、电缆的铠装层，建筑物金属构件，防雷接地，电气设备接地，弱电系统的接地等，均需就近与等电位联结端子箱相连，进出建筑物的金属总等电位联结均采用等电位卡子，禁止在金属管道上焊接。等电位联结端子箱做法及等电位联结线与各种金属管道、构件、设备的金属外壳等的连接做法详见国标图集15D502，P28~P42。</w:t>
      </w:r>
    </w:p>
    <w:p w14:paraId="1A5FB60E">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（6）</w:t>
      </w:r>
      <w:r>
        <w:rPr>
          <w:rFonts w:hint="eastAsia" w:ascii="宋体" w:hAnsi="宋体" w:eastAsia="宋体" w:cs="宋体"/>
          <w:color w:val="auto"/>
          <w:spacing w:val="0"/>
          <w:kern w:val="20"/>
          <w:sz w:val="24"/>
          <w:szCs w:val="24"/>
          <w:highlight w:val="none"/>
        </w:rPr>
        <w:t>为防止雷电波侵入，在设备的配电箱和屋面配电箱及总配电箱内设电涌保护器（SPD）。</w:t>
      </w:r>
    </w:p>
    <w:p w14:paraId="7E9A39B2">
      <w:pPr>
        <w:pStyle w:val="73"/>
        <w:pageBreakBefore w:val="0"/>
        <w:shd w:val="clear"/>
        <w:kinsoku/>
        <w:wordWrap/>
        <w:overflowPunct/>
        <w:topLinePunct w:val="0"/>
        <w:autoSpaceDE/>
        <w:autoSpaceDN/>
        <w:bidi w:val="0"/>
        <w:snapToGrid w:val="0"/>
        <w:spacing w:beforeAutospacing="0" w:afterAutospacing="0" w:line="300" w:lineRule="auto"/>
        <w:ind w:left="0" w:leftChars="0" w:firstLine="480"/>
        <w:rPr>
          <w:rFonts w:hint="eastAsia" w:ascii="宋体" w:hAnsi="宋体" w:eastAsia="宋体" w:cs="宋体"/>
          <w:b/>
          <w:bCs/>
          <w:color w:val="auto"/>
          <w:spacing w:val="0"/>
          <w:kern w:val="20"/>
          <w:sz w:val="24"/>
          <w:szCs w:val="24"/>
          <w:highlight w:val="none"/>
        </w:rPr>
      </w:pPr>
      <w:r>
        <w:rPr>
          <w:rFonts w:hint="eastAsia" w:ascii="宋体" w:hAnsi="宋体" w:eastAsia="宋体" w:cs="宋体"/>
          <w:b/>
          <w:bCs/>
          <w:color w:val="auto"/>
          <w:spacing w:val="0"/>
          <w:kern w:val="20"/>
          <w:sz w:val="24"/>
          <w:szCs w:val="24"/>
          <w:highlight w:val="none"/>
          <w:lang w:val="en-US" w:eastAsia="zh-CN"/>
        </w:rPr>
        <w:t>8.</w:t>
      </w:r>
      <w:r>
        <w:rPr>
          <w:rFonts w:hint="eastAsia" w:ascii="宋体" w:hAnsi="宋体" w:eastAsia="宋体" w:cs="宋体"/>
          <w:b/>
          <w:bCs/>
          <w:color w:val="auto"/>
          <w:spacing w:val="0"/>
          <w:kern w:val="20"/>
          <w:sz w:val="24"/>
          <w:szCs w:val="24"/>
          <w:highlight w:val="none"/>
        </w:rPr>
        <w:t>1.7电气施工部分：</w:t>
      </w:r>
    </w:p>
    <w:p w14:paraId="75E76DAF">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（1）</w:t>
      </w:r>
      <w:r>
        <w:rPr>
          <w:rFonts w:hint="eastAsia" w:ascii="宋体" w:hAnsi="宋体" w:eastAsia="宋体" w:cs="宋体"/>
          <w:color w:val="auto"/>
          <w:spacing w:val="0"/>
          <w:kern w:val="20"/>
          <w:sz w:val="24"/>
          <w:szCs w:val="24"/>
          <w:highlight w:val="none"/>
        </w:rPr>
        <w:t>本工程电气安装线路均采用暗管敷设，将线管敷设在墙板、吊顶以内；强电全部采用钢管敷设；</w:t>
      </w:r>
    </w:p>
    <w:p w14:paraId="40A3399D">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（2）</w:t>
      </w:r>
      <w:r>
        <w:rPr>
          <w:rFonts w:hint="eastAsia" w:ascii="宋体" w:hAnsi="宋体" w:eastAsia="宋体" w:cs="宋体"/>
          <w:color w:val="auto"/>
          <w:spacing w:val="0"/>
          <w:kern w:val="20"/>
          <w:sz w:val="24"/>
          <w:szCs w:val="24"/>
          <w:highlight w:val="none"/>
        </w:rPr>
        <w:t>所安装的管口必须刮光，无毛刺，管内无杂屑。</w:t>
      </w:r>
    </w:p>
    <w:p w14:paraId="131F572F">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（3）</w:t>
      </w:r>
      <w:r>
        <w:rPr>
          <w:rFonts w:hint="eastAsia" w:ascii="宋体" w:hAnsi="宋体" w:eastAsia="宋体" w:cs="宋体"/>
          <w:color w:val="auto"/>
          <w:spacing w:val="0"/>
          <w:kern w:val="20"/>
          <w:sz w:val="24"/>
          <w:szCs w:val="24"/>
          <w:highlight w:val="none"/>
        </w:rPr>
        <w:t>配线的保护管或电缆桥架穿越隔墙处应作可靠的密封处理，防止交叉感染。</w:t>
      </w:r>
    </w:p>
    <w:p w14:paraId="146304B2">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（4）</w:t>
      </w:r>
      <w:r>
        <w:rPr>
          <w:rFonts w:hint="eastAsia" w:ascii="宋体" w:hAnsi="宋体" w:eastAsia="宋体" w:cs="宋体"/>
          <w:color w:val="auto"/>
          <w:spacing w:val="0"/>
          <w:kern w:val="20"/>
          <w:sz w:val="24"/>
          <w:szCs w:val="24"/>
          <w:highlight w:val="none"/>
        </w:rPr>
        <w:t>线路安装完毕应采用不低于楼板耐火极限的不燃烧材料或防火封堵材料将各层竖井内的孔洞和线管穿楼板孔洞做好防火封堵处理。</w:t>
      </w:r>
    </w:p>
    <w:p w14:paraId="6282B86F">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（5）</w:t>
      </w:r>
      <w:r>
        <w:rPr>
          <w:rFonts w:hint="eastAsia" w:ascii="宋体" w:hAnsi="宋体" w:eastAsia="宋体" w:cs="宋体"/>
          <w:color w:val="auto"/>
          <w:spacing w:val="0"/>
          <w:kern w:val="20"/>
          <w:sz w:val="24"/>
          <w:szCs w:val="24"/>
          <w:highlight w:val="none"/>
        </w:rPr>
        <w:t>凡管线经过伸缩逢、沉降缝时应做伸缩补偿装置，并做好防火封堵。</w:t>
      </w:r>
    </w:p>
    <w:p w14:paraId="0F1CDF9F">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（6）</w:t>
      </w:r>
      <w:r>
        <w:rPr>
          <w:rFonts w:hint="eastAsia" w:ascii="宋体" w:hAnsi="宋体" w:eastAsia="宋体" w:cs="宋体"/>
          <w:color w:val="auto"/>
          <w:spacing w:val="0"/>
          <w:kern w:val="20"/>
          <w:sz w:val="24"/>
          <w:szCs w:val="24"/>
          <w:highlight w:val="none"/>
        </w:rPr>
        <w:t>穿楼板的线缆应加保护管，管内应采用不燃材料密封。进入实验室内的线缆敷设后，管口应采用无腐蚀、不燃、弹性密封材料封堵。</w:t>
      </w:r>
    </w:p>
    <w:p w14:paraId="71B994B1">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（7）</w:t>
      </w:r>
      <w:r>
        <w:rPr>
          <w:rFonts w:hint="eastAsia" w:ascii="宋体" w:hAnsi="宋体" w:eastAsia="宋体" w:cs="宋体"/>
          <w:color w:val="auto"/>
          <w:spacing w:val="0"/>
          <w:kern w:val="20"/>
          <w:sz w:val="24"/>
          <w:szCs w:val="24"/>
          <w:highlight w:val="none"/>
        </w:rPr>
        <w:t xml:space="preserve">线管管路敷设较长或有弯时，应适当加装接线盒，两个拉线点之间的距离应符合以下要求：①对无弯的管路，不超过30米；②两个拉线点之间有一个弯时，不超过20米；③两个拉线点之间有两个弯时，不超过15米；④两个拉线点之间有三个弯时，不超过8米。                    </w:t>
      </w:r>
    </w:p>
    <w:p w14:paraId="53FE710D">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（8）</w:t>
      </w:r>
      <w:r>
        <w:rPr>
          <w:rFonts w:hint="eastAsia" w:ascii="宋体" w:hAnsi="宋体" w:eastAsia="宋体" w:cs="宋体"/>
          <w:color w:val="auto"/>
          <w:spacing w:val="0"/>
          <w:kern w:val="20"/>
          <w:sz w:val="24"/>
          <w:szCs w:val="24"/>
          <w:highlight w:val="none"/>
        </w:rPr>
        <w:t xml:space="preserve">敷设方式：照明与插座的线缆敷设采用∅20和∅25镀锌线管敷设，分线箱电缆沿桥架敷设至总配电箱。 </w:t>
      </w:r>
    </w:p>
    <w:p w14:paraId="304CA79F">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（9）</w:t>
      </w:r>
      <w:r>
        <w:rPr>
          <w:rFonts w:hint="eastAsia" w:ascii="宋体" w:hAnsi="宋体" w:eastAsia="宋体" w:cs="宋体"/>
          <w:color w:val="auto"/>
          <w:spacing w:val="0"/>
          <w:kern w:val="20"/>
          <w:sz w:val="24"/>
          <w:szCs w:val="24"/>
          <w:highlight w:val="none"/>
        </w:rPr>
        <w:t>施工中，当钢质桥架、线槽系统直线段敷设长度超过30m时，应设置20~30mm的补偿余量，其连接应采用伸缩连接板。金属桥架、线槽系统应至少2处可靠接地，接地电阻不大于1欧姆。桥架为热镀锌或双金属复合涂层封闭槽式，尺寸详各平面图，桥架水平部分为槽式，接头等配件由现场放样确定。</w:t>
      </w:r>
    </w:p>
    <w:p w14:paraId="400D4439">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kern w:val="20"/>
          <w:sz w:val="24"/>
          <w:szCs w:val="24"/>
          <w:highlight w:val="none"/>
        </w:rPr>
      </w:pPr>
      <w:r>
        <w:rPr>
          <w:rFonts w:hint="eastAsia" w:ascii="宋体" w:hAnsi="宋体" w:eastAsia="宋体" w:cs="宋体"/>
          <w:color w:val="auto"/>
          <w:spacing w:val="0"/>
          <w:kern w:val="20"/>
          <w:sz w:val="24"/>
          <w:szCs w:val="24"/>
          <w:highlight w:val="none"/>
          <w:lang w:val="en-US" w:eastAsia="zh-CN" w:bidi="ar-SA"/>
        </w:rPr>
        <w:t>（10）</w:t>
      </w:r>
      <w:r>
        <w:rPr>
          <w:rFonts w:hint="eastAsia" w:ascii="宋体" w:hAnsi="宋体" w:eastAsia="宋体" w:cs="宋体"/>
          <w:color w:val="auto"/>
          <w:spacing w:val="0"/>
          <w:kern w:val="20"/>
          <w:sz w:val="24"/>
          <w:szCs w:val="24"/>
          <w:highlight w:val="none"/>
        </w:rPr>
        <w:t>内线工程参照标准图集《室内管线安装》D301-1~2相关部分施工；桥架安装参照标准图集《电缆桥架安装》04D701-3。</w:t>
      </w:r>
    </w:p>
    <w:p w14:paraId="61714F69">
      <w:pPr>
        <w:pStyle w:val="73"/>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2"/>
          <w:sz w:val="24"/>
          <w:szCs w:val="24"/>
          <w:highlight w:val="none"/>
          <w:lang w:val="en-US" w:eastAsia="zh-CN" w:bidi="ar-SA"/>
        </w:rPr>
        <w:t>（11）</w:t>
      </w:r>
      <w:r>
        <w:rPr>
          <w:rFonts w:hint="eastAsia" w:ascii="宋体" w:hAnsi="宋体" w:eastAsia="宋体" w:cs="宋体"/>
          <w:color w:val="auto"/>
          <w:spacing w:val="0"/>
          <w:kern w:val="20"/>
          <w:sz w:val="24"/>
          <w:szCs w:val="24"/>
          <w:highlight w:val="none"/>
        </w:rPr>
        <w:t>金属桥架及线槽在吊顶内，主梁下0.30m安装。如有相关风管及其他管道阻挡，高度可由现场适当调整。</w:t>
      </w:r>
    </w:p>
    <w:p w14:paraId="39277737">
      <w:pPr>
        <w:pStyle w:val="2"/>
        <w:pageBreakBefore w:val="0"/>
        <w:numPr>
          <w:ilvl w:val="0"/>
          <w:numId w:val="0"/>
        </w:numPr>
        <w:shd w:val="clear"/>
        <w:kinsoku/>
        <w:wordWrap/>
        <w:overflowPunct/>
        <w:topLinePunct w:val="0"/>
        <w:autoSpaceDE/>
        <w:autoSpaceDN/>
        <w:bidi w:val="0"/>
        <w:snapToGrid w:val="0"/>
        <w:spacing w:before="0" w:beforeAutospacing="0" w:after="0" w:afterAutospacing="0" w:line="300" w:lineRule="auto"/>
        <w:ind w:left="0" w:leftChars="0" w:firstLine="0" w:firstLineChars="0"/>
        <w:rPr>
          <w:rFonts w:hint="eastAsia" w:ascii="宋体" w:hAnsi="宋体" w:eastAsia="宋体" w:cs="宋体"/>
          <w:color w:val="auto"/>
          <w:spacing w:val="0"/>
          <w:sz w:val="24"/>
          <w:szCs w:val="24"/>
          <w:highlight w:val="none"/>
        </w:rPr>
      </w:pPr>
      <w:bookmarkStart w:id="88" w:name="_Toc16346"/>
      <w:r>
        <w:rPr>
          <w:rFonts w:hint="eastAsia" w:ascii="宋体" w:hAnsi="宋体" w:eastAsia="宋体" w:cs="宋体"/>
          <w:b/>
          <w:bCs/>
          <w:color w:val="auto"/>
          <w:spacing w:val="0"/>
          <w:kern w:val="44"/>
          <w:sz w:val="24"/>
          <w:szCs w:val="24"/>
          <w:highlight w:val="none"/>
          <w:lang w:val="en-US" w:eastAsia="zh-CN" w:bidi="ar-SA"/>
        </w:rPr>
        <w:t>9、</w:t>
      </w:r>
      <w:r>
        <w:rPr>
          <w:rFonts w:hint="eastAsia" w:ascii="宋体" w:hAnsi="宋体" w:eastAsia="宋体" w:cs="宋体"/>
          <w:color w:val="auto"/>
          <w:spacing w:val="0"/>
          <w:sz w:val="24"/>
          <w:szCs w:val="24"/>
          <w:highlight w:val="none"/>
        </w:rPr>
        <w:t>给排水系统技术说明</w:t>
      </w:r>
      <w:bookmarkEnd w:id="88"/>
    </w:p>
    <w:p w14:paraId="229BF65E">
      <w:pPr>
        <w:pageBreakBefore w:val="0"/>
        <w:shd w:val="clear"/>
        <w:kinsoku/>
        <w:wordWrap/>
        <w:overflowPunct/>
        <w:topLinePunct w:val="0"/>
        <w:autoSpaceDE/>
        <w:autoSpaceDN/>
        <w:bidi w:val="0"/>
        <w:snapToGrid w:val="0"/>
        <w:spacing w:beforeAutospacing="0" w:afterAutospacing="0" w:line="300" w:lineRule="auto"/>
        <w:ind w:left="0" w:leftChars="0" w:firstLine="482" w:firstLineChars="200"/>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9.1</w:t>
      </w:r>
      <w:r>
        <w:rPr>
          <w:rFonts w:hint="eastAsia" w:ascii="宋体" w:hAnsi="宋体" w:eastAsia="宋体" w:cs="宋体"/>
          <w:b/>
          <w:bCs/>
          <w:color w:val="auto"/>
          <w:spacing w:val="0"/>
          <w:sz w:val="24"/>
          <w:szCs w:val="24"/>
          <w:highlight w:val="none"/>
        </w:rPr>
        <w:t>给水系统</w:t>
      </w:r>
    </w:p>
    <w:p w14:paraId="1C1F305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9.1.</w:t>
      </w:r>
      <w:r>
        <w:rPr>
          <w:rFonts w:hint="eastAsia" w:ascii="宋体" w:hAnsi="宋体" w:eastAsia="宋体" w:cs="宋体"/>
          <w:color w:val="auto"/>
          <w:spacing w:val="0"/>
          <w:sz w:val="24"/>
          <w:szCs w:val="24"/>
          <w:highlight w:val="none"/>
        </w:rPr>
        <w:t>1室内生活给水管道，横管安装时宜有0.002~0.005的坡度向泄水装置。</w:t>
      </w:r>
    </w:p>
    <w:p w14:paraId="01779875">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9.1.</w:t>
      </w:r>
      <w:r>
        <w:rPr>
          <w:rFonts w:hint="eastAsia" w:ascii="宋体" w:hAnsi="宋体" w:eastAsia="宋体" w:cs="宋体"/>
          <w:color w:val="auto"/>
          <w:spacing w:val="0"/>
          <w:sz w:val="24"/>
          <w:szCs w:val="24"/>
          <w:highlight w:val="none"/>
        </w:rPr>
        <w:t>2角阀采用30408不锈钢材质，装饰环采用304不锈钢。</w:t>
      </w:r>
    </w:p>
    <w:p w14:paraId="05BC8B0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9.1.</w:t>
      </w:r>
      <w:r>
        <w:rPr>
          <w:rFonts w:hint="eastAsia" w:ascii="宋体" w:hAnsi="宋体" w:eastAsia="宋体" w:cs="宋体"/>
          <w:color w:val="auto"/>
          <w:spacing w:val="0"/>
          <w:sz w:val="24"/>
          <w:szCs w:val="24"/>
          <w:highlight w:val="none"/>
        </w:rPr>
        <w:t>3</w:t>
      </w:r>
      <w:r>
        <w:rPr>
          <w:rFonts w:hint="eastAsia" w:ascii="宋体" w:hAnsi="宋体" w:eastAsia="宋体" w:cs="宋体"/>
          <w:b/>
          <w:bCs/>
          <w:color w:val="auto"/>
          <w:spacing w:val="0"/>
          <w:sz w:val="24"/>
          <w:szCs w:val="24"/>
          <w:highlight w:val="none"/>
        </w:rPr>
        <w:t>室内给水管:室内给水冷热水管采用S30408薄壁不锈钢管(与主体保持一致),</w:t>
      </w:r>
      <w:r>
        <w:rPr>
          <w:rFonts w:hint="eastAsia" w:ascii="宋体" w:hAnsi="宋体" w:eastAsia="宋体" w:cs="宋体"/>
          <w:color w:val="auto"/>
          <w:spacing w:val="0"/>
          <w:sz w:val="24"/>
          <w:szCs w:val="24"/>
          <w:highlight w:val="none"/>
        </w:rPr>
        <w:t>压力等级为1.0MPa,管径≤DN150时,采用环压式连接:管径&gt;DN150时,采用沟槽式卡籍连接其化学成分应符合GB/T12771-2019及YB/T4204-2020的相关规定:环压式连接管件应符合GB/T33926-2017中的相关要求。管道安装技术规范应符合10S407-2,CECS305-2011,GB/T29038-2012中相关要求。</w:t>
      </w:r>
    </w:p>
    <w:p w14:paraId="05A3351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9.1.</w:t>
      </w:r>
      <w:r>
        <w:rPr>
          <w:rFonts w:hint="eastAsia" w:ascii="宋体" w:hAnsi="宋体" w:eastAsia="宋体" w:cs="宋体"/>
          <w:color w:val="auto"/>
          <w:spacing w:val="0"/>
          <w:sz w:val="24"/>
          <w:szCs w:val="24"/>
          <w:highlight w:val="none"/>
        </w:rPr>
        <w:t>4管道试验压力：配水管网，试验压力为工作压力1.5倍。</w:t>
      </w:r>
    </w:p>
    <w:p w14:paraId="33DEFBD4">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9.1.</w:t>
      </w:r>
      <w:r>
        <w:rPr>
          <w:rFonts w:hint="eastAsia" w:ascii="宋体" w:hAnsi="宋体" w:eastAsia="宋体" w:cs="宋体"/>
          <w:color w:val="auto"/>
          <w:spacing w:val="0"/>
          <w:sz w:val="24"/>
          <w:szCs w:val="24"/>
          <w:highlight w:val="none"/>
        </w:rPr>
        <w:t>5管道穿越建筑物顶棚、楼板、墙壁和基础时应预留孔洞并加保护套管，管道安装完后均用1:2.5水泥砂浆填塞洞口，做到不渗漏。</w:t>
      </w:r>
    </w:p>
    <w:p w14:paraId="6BB9EA6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9.1.</w:t>
      </w:r>
      <w:r>
        <w:rPr>
          <w:rFonts w:hint="eastAsia" w:ascii="宋体" w:hAnsi="宋体" w:eastAsia="宋体" w:cs="宋体"/>
          <w:color w:val="auto"/>
          <w:spacing w:val="0"/>
          <w:sz w:val="24"/>
          <w:szCs w:val="24"/>
          <w:highlight w:val="none"/>
        </w:rPr>
        <w:t>6为避免结露，非嵌墙暗敷的生活给水、排水管道采用20mm厚难燃型橡塑发泡保温管防结露保温。</w:t>
      </w:r>
    </w:p>
    <w:p w14:paraId="6036F58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9.1.</w:t>
      </w:r>
      <w:r>
        <w:rPr>
          <w:rFonts w:hint="eastAsia" w:ascii="宋体" w:hAnsi="宋体" w:eastAsia="宋体" w:cs="宋体"/>
          <w:color w:val="auto"/>
          <w:spacing w:val="0"/>
          <w:sz w:val="24"/>
          <w:szCs w:val="24"/>
          <w:highlight w:val="none"/>
        </w:rPr>
        <w:t>7给水管均墙面开槽暗敷接入用水点，用水点距墙体较远的部分管道垫层内敷设。</w:t>
      </w:r>
    </w:p>
    <w:p w14:paraId="322FD9FE">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9.1.</w:t>
      </w:r>
      <w:r>
        <w:rPr>
          <w:rFonts w:hint="eastAsia" w:ascii="宋体" w:hAnsi="宋体" w:eastAsia="宋体" w:cs="宋体"/>
          <w:color w:val="auto"/>
          <w:spacing w:val="0"/>
          <w:sz w:val="24"/>
          <w:szCs w:val="24"/>
          <w:highlight w:val="none"/>
        </w:rPr>
        <w:t>8实验室内洗手盆宜采用感应自动水龙头。实验室给水供洗手盆、通风柜、紧急喷淋等；实验室热水供洗手盆，24小时供应热水。</w:t>
      </w:r>
    </w:p>
    <w:p w14:paraId="3DA02048">
      <w:pPr>
        <w:pageBreakBefore w:val="0"/>
        <w:shd w:val="clear"/>
        <w:kinsoku/>
        <w:wordWrap/>
        <w:overflowPunct/>
        <w:topLinePunct w:val="0"/>
        <w:autoSpaceDE/>
        <w:autoSpaceDN/>
        <w:bidi w:val="0"/>
        <w:snapToGrid w:val="0"/>
        <w:spacing w:beforeAutospacing="0" w:afterAutospacing="0" w:line="300" w:lineRule="auto"/>
        <w:ind w:left="0" w:leftChars="0" w:firstLine="482" w:firstLineChars="200"/>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9.2</w:t>
      </w:r>
      <w:r>
        <w:rPr>
          <w:rFonts w:hint="eastAsia" w:ascii="宋体" w:hAnsi="宋体" w:eastAsia="宋体" w:cs="宋体"/>
          <w:b/>
          <w:bCs/>
          <w:color w:val="auto"/>
          <w:spacing w:val="0"/>
          <w:sz w:val="24"/>
          <w:szCs w:val="24"/>
          <w:highlight w:val="none"/>
        </w:rPr>
        <w:t>排水工程：</w:t>
      </w:r>
    </w:p>
    <w:p w14:paraId="73769221">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9.2.1</w:t>
      </w:r>
      <w:r>
        <w:rPr>
          <w:rFonts w:hint="eastAsia" w:ascii="宋体" w:hAnsi="宋体" w:eastAsia="宋体" w:cs="宋体"/>
          <w:color w:val="auto"/>
          <w:spacing w:val="0"/>
          <w:sz w:val="24"/>
          <w:szCs w:val="24"/>
          <w:highlight w:val="none"/>
        </w:rPr>
        <w:t>实验废水及通气管采用耐腐蚀高密度聚乙烯双壁中空(HDPE)超静音排水管DN≤DN75沟槽螺纹锁紧式柔性连接，DN ≥DN100,ABS压环柔性连接。其余生活污废水的立管、横支管、主横管采用W 型离心浇铸排水铸铁管。管道规格参见《建筑生活排水柔性接口铸铁管道与钢塑复合管道安装》。</w:t>
      </w:r>
    </w:p>
    <w:p w14:paraId="24C4546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9.2.2</w:t>
      </w:r>
      <w:r>
        <w:rPr>
          <w:rFonts w:hint="eastAsia" w:ascii="宋体" w:hAnsi="宋体" w:eastAsia="宋体" w:cs="宋体"/>
          <w:color w:val="auto"/>
          <w:spacing w:val="0"/>
          <w:sz w:val="24"/>
          <w:szCs w:val="24"/>
          <w:highlight w:val="none"/>
        </w:rPr>
        <w:t>接有大便器的污水管道系统，若已设专用通气管或主通气立管时，在排水横管管底以上0.7米内的立管管段上不得接排水支管。排水管道的横管与横管，立管与横管之间的连接，宜采用45°三通或45°四通和90°斜三通或90°斜四通。立管底部与排出管连接应采用两个45°弯头或采用弯曲半径不小于4倍管径的90°弯头连接。</w:t>
      </w:r>
    </w:p>
    <w:p w14:paraId="36DC7C6F">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9.2.3</w:t>
      </w:r>
      <w:r>
        <w:rPr>
          <w:rFonts w:hint="eastAsia" w:ascii="宋体" w:hAnsi="宋体" w:eastAsia="宋体" w:cs="宋体"/>
          <w:color w:val="auto"/>
          <w:spacing w:val="0"/>
          <w:sz w:val="24"/>
          <w:szCs w:val="24"/>
          <w:highlight w:val="none"/>
        </w:rPr>
        <w:t>所有卫生器具必须自带或配备存水弯，其水封深度不少于50毫米，不大于100毫米，地漏应采用带过滤网的无水封直通型地漏加存水弯。</w:t>
      </w:r>
    </w:p>
    <w:p w14:paraId="1B9C244A">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9.2.4</w:t>
      </w:r>
      <w:r>
        <w:rPr>
          <w:rFonts w:hint="eastAsia" w:ascii="宋体" w:hAnsi="宋体" w:eastAsia="宋体" w:cs="宋体"/>
          <w:color w:val="auto"/>
          <w:spacing w:val="0"/>
          <w:sz w:val="24"/>
          <w:szCs w:val="24"/>
          <w:highlight w:val="none"/>
        </w:rPr>
        <w:t>排水管道上设置的清扫口应与管道相同材质。地漏采用304不锈钢材质。</w:t>
      </w:r>
    </w:p>
    <w:p w14:paraId="5D467A92">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9.2.5</w:t>
      </w:r>
      <w:r>
        <w:rPr>
          <w:rFonts w:hint="eastAsia" w:ascii="宋体" w:hAnsi="宋体" w:eastAsia="宋体" w:cs="宋体"/>
          <w:color w:val="auto"/>
          <w:spacing w:val="0"/>
          <w:sz w:val="24"/>
          <w:szCs w:val="24"/>
          <w:highlight w:val="none"/>
        </w:rPr>
        <w:t>排水立管用管卡定位，管卡距离不得超过3米。承插管一般每根直管均应设管卡，多层建筑立管底部应设支座或吊卡。</w:t>
      </w:r>
    </w:p>
    <w:p w14:paraId="488C34B7">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9.2.6</w:t>
      </w:r>
      <w:r>
        <w:rPr>
          <w:rFonts w:hint="eastAsia" w:ascii="宋体" w:hAnsi="宋体" w:eastAsia="宋体" w:cs="宋体"/>
          <w:color w:val="auto"/>
          <w:spacing w:val="0"/>
          <w:sz w:val="24"/>
          <w:szCs w:val="24"/>
          <w:highlight w:val="none"/>
        </w:rPr>
        <w:t>排水管穿越承重墙楼板或基础时，应预留孔洞，孔洞尺寸见下表：</w:t>
      </w:r>
    </w:p>
    <w:p w14:paraId="40220573">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管径（mm）50~75 \75~100\125~150\200~300</w:t>
      </w:r>
    </w:p>
    <w:p w14:paraId="764E77A0">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孔洞尺寸（mm）100~100\200~200\300~300\400~400</w:t>
      </w:r>
    </w:p>
    <w:p w14:paraId="440ACE8D">
      <w:pPr>
        <w:pageBreakBefore w:val="0"/>
        <w:numPr>
          <w:ilvl w:val="0"/>
          <w:numId w:val="0"/>
        </w:numPr>
        <w:shd w:val="clear"/>
        <w:kinsoku/>
        <w:wordWrap/>
        <w:overflowPunct/>
        <w:topLinePunct w:val="0"/>
        <w:autoSpaceDE/>
        <w:autoSpaceDN/>
        <w:bidi w:val="0"/>
        <w:snapToGrid w:val="0"/>
        <w:spacing w:beforeAutospacing="0" w:afterAutospacing="0" w:line="300" w:lineRule="auto"/>
        <w:ind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9.2.7</w:t>
      </w:r>
      <w:r>
        <w:rPr>
          <w:rFonts w:hint="eastAsia" w:ascii="宋体" w:hAnsi="宋体" w:eastAsia="宋体" w:cs="宋体"/>
          <w:color w:val="auto"/>
          <w:spacing w:val="0"/>
          <w:sz w:val="24"/>
          <w:szCs w:val="24"/>
          <w:highlight w:val="none"/>
        </w:rPr>
        <w:t>排水立管在每层设一个伸缩节,伸缩节之间的最大距离不得超过4米,立管穿越楼板处应设止水翼环和防火圈。</w:t>
      </w:r>
    </w:p>
    <w:p w14:paraId="43DC1D16">
      <w:pPr>
        <w:pageBreakBefore w:val="0"/>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9.2.8</w:t>
      </w:r>
      <w:r>
        <w:rPr>
          <w:rFonts w:hint="eastAsia" w:ascii="宋体" w:hAnsi="宋体" w:eastAsia="宋体" w:cs="宋体"/>
          <w:color w:val="auto"/>
          <w:spacing w:val="0"/>
          <w:sz w:val="24"/>
          <w:szCs w:val="24"/>
          <w:highlight w:val="none"/>
        </w:rPr>
        <w:t>排水管安装后应做灌水试验，暗装或埋地排水管在隐蔽前必须做灌水试验。其灌水高度应不低于底层卫生器具的上边缘或底层地面高度。满水15min后，再灌满延续5min，液面不降为合格。</w:t>
      </w:r>
    </w:p>
    <w:p w14:paraId="42933E3F">
      <w:pPr>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2"/>
          <w:sz w:val="24"/>
          <w:szCs w:val="24"/>
          <w:highlight w:val="none"/>
          <w:lang w:val="en-US" w:eastAsia="zh-CN" w:bidi="ar-SA"/>
        </w:rPr>
        <w:t>9.2.9</w:t>
      </w:r>
      <w:r>
        <w:rPr>
          <w:rFonts w:hint="eastAsia" w:ascii="宋体" w:hAnsi="宋体" w:eastAsia="宋体" w:cs="宋体"/>
          <w:color w:val="auto"/>
          <w:spacing w:val="0"/>
          <w:sz w:val="24"/>
          <w:szCs w:val="24"/>
          <w:highlight w:val="none"/>
        </w:rPr>
        <w:t>净化区域、生物安全实验室防护区、电气机房等上方尽量避免排水管穿越。</w:t>
      </w:r>
    </w:p>
    <w:p w14:paraId="4ADDC69E">
      <w:pPr>
        <w:pageBreakBefore w:val="0"/>
        <w:numPr>
          <w:ilvl w:val="0"/>
          <w:numId w:val="0"/>
        </w:numPr>
        <w:shd w:val="clear"/>
        <w:kinsoku/>
        <w:wordWrap/>
        <w:overflowPunct/>
        <w:topLinePunct w:val="0"/>
        <w:autoSpaceDE/>
        <w:autoSpaceDN/>
        <w:bidi w:val="0"/>
        <w:snapToGrid w:val="0"/>
        <w:spacing w:beforeAutospacing="0" w:afterAutospacing="0" w:line="300" w:lineRule="auto"/>
        <w:ind w:left="0" w:leftChars="0"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2"/>
          <w:sz w:val="24"/>
          <w:szCs w:val="24"/>
          <w:highlight w:val="none"/>
          <w:lang w:val="en-US" w:eastAsia="zh-CN" w:bidi="ar-SA"/>
        </w:rPr>
        <w:t>9.2.10</w:t>
      </w:r>
      <w:r>
        <w:rPr>
          <w:rFonts w:hint="eastAsia" w:ascii="宋体" w:hAnsi="宋体" w:eastAsia="宋体" w:cs="宋体"/>
          <w:color w:val="auto"/>
          <w:spacing w:val="0"/>
          <w:sz w:val="24"/>
          <w:szCs w:val="24"/>
          <w:highlight w:val="none"/>
        </w:rPr>
        <w:t>实验区与办公区排水分开排放，实验区排水单独排至污水预处理设备，办公区排水排至园区污水管网。</w:t>
      </w:r>
    </w:p>
    <w:p w14:paraId="03F3CCCA">
      <w:pPr>
        <w:pStyle w:val="2"/>
        <w:pageBreakBefore w:val="0"/>
        <w:numPr>
          <w:ilvl w:val="0"/>
          <w:numId w:val="0"/>
        </w:numPr>
        <w:shd w:val="clear"/>
        <w:kinsoku/>
        <w:wordWrap/>
        <w:overflowPunct/>
        <w:topLinePunct w:val="0"/>
        <w:bidi w:val="0"/>
        <w:snapToGrid w:val="0"/>
        <w:spacing w:before="0" w:after="0" w:line="300" w:lineRule="auto"/>
        <w:ind w:firstLine="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10、参考品牌清单</w:t>
      </w:r>
    </w:p>
    <w:tbl>
      <w:tblPr>
        <w:tblStyle w:val="27"/>
        <w:tblW w:w="89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12"/>
        <w:gridCol w:w="2192"/>
        <w:gridCol w:w="5791"/>
      </w:tblGrid>
      <w:tr w14:paraId="79A48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CDAD0">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序号</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7E486">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项目类别</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6F395">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eastAsia="zh-CN"/>
              </w:rPr>
              <w:t>参考</w:t>
            </w:r>
            <w:r>
              <w:rPr>
                <w:rFonts w:hint="eastAsia" w:ascii="宋体" w:hAnsi="宋体" w:eastAsia="宋体" w:cs="宋体"/>
                <w:b/>
                <w:bCs/>
                <w:color w:val="auto"/>
                <w:sz w:val="24"/>
                <w:szCs w:val="24"/>
                <w:highlight w:val="none"/>
              </w:rPr>
              <w:t>品牌</w:t>
            </w:r>
          </w:p>
        </w:tc>
      </w:tr>
      <w:tr w14:paraId="39DD8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CF9D1">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56315">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风冷机组</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328FC">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约克、开利、麦克维尔</w:t>
            </w:r>
            <w:r>
              <w:rPr>
                <w:rFonts w:hint="eastAsia" w:ascii="宋体" w:hAnsi="宋体" w:eastAsia="宋体" w:cs="宋体"/>
                <w:color w:val="auto"/>
                <w:sz w:val="24"/>
                <w:szCs w:val="24"/>
                <w:highlight w:val="none"/>
                <w:lang w:val="en-US" w:eastAsia="zh-CN"/>
              </w:rPr>
              <w:t>或同档次及以上</w:t>
            </w:r>
          </w:p>
        </w:tc>
      </w:tr>
      <w:tr w14:paraId="6EE3F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28F0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47B65">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多联机组</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9EB36">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大金、日立、三菱电机</w:t>
            </w:r>
            <w:r>
              <w:rPr>
                <w:rFonts w:hint="eastAsia" w:ascii="宋体" w:hAnsi="宋体" w:eastAsia="宋体" w:cs="宋体"/>
                <w:color w:val="auto"/>
                <w:sz w:val="24"/>
                <w:szCs w:val="24"/>
                <w:highlight w:val="none"/>
                <w:lang w:val="en-US" w:eastAsia="zh-CN"/>
              </w:rPr>
              <w:t>或同档次及以上</w:t>
            </w:r>
          </w:p>
        </w:tc>
      </w:tr>
      <w:tr w14:paraId="04CB6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90B9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D1E6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排风机</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EEBE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亿利达、松下、科禄格</w:t>
            </w:r>
            <w:r>
              <w:rPr>
                <w:rFonts w:hint="eastAsia" w:ascii="宋体" w:hAnsi="宋体" w:eastAsia="宋体" w:cs="宋体"/>
                <w:color w:val="auto"/>
                <w:sz w:val="24"/>
                <w:szCs w:val="24"/>
                <w:highlight w:val="none"/>
                <w:lang w:val="en-US" w:eastAsia="zh-CN"/>
              </w:rPr>
              <w:t>或同档次及以上</w:t>
            </w:r>
          </w:p>
        </w:tc>
      </w:tr>
      <w:tr w14:paraId="0270E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1F9C4">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49FF6">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空气质量系统</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88A12">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菲兰、洁盟、特锐德</w:t>
            </w:r>
            <w:r>
              <w:rPr>
                <w:rFonts w:hint="eastAsia" w:ascii="宋体" w:hAnsi="宋体" w:eastAsia="宋体" w:cs="宋体"/>
                <w:color w:val="auto"/>
                <w:sz w:val="24"/>
                <w:szCs w:val="24"/>
                <w:highlight w:val="none"/>
                <w:lang w:val="en-US" w:eastAsia="zh-CN"/>
              </w:rPr>
              <w:t>或同档次及以上</w:t>
            </w:r>
          </w:p>
        </w:tc>
      </w:tr>
      <w:tr w14:paraId="75C9A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4CDF">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3C554">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配电箱</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B3EAB">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新峰电控、华安电器、浙江鸿博或同档次及以上</w:t>
            </w:r>
          </w:p>
        </w:tc>
      </w:tr>
      <w:tr w14:paraId="438B4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55DD5">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21F34">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柜内元器件</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F784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施耐德、ABB、西门子</w:t>
            </w:r>
            <w:r>
              <w:rPr>
                <w:rFonts w:hint="eastAsia" w:ascii="宋体" w:hAnsi="宋体" w:eastAsia="宋体" w:cs="宋体"/>
                <w:color w:val="auto"/>
                <w:sz w:val="24"/>
                <w:szCs w:val="24"/>
                <w:highlight w:val="none"/>
                <w:lang w:val="en-US" w:eastAsia="zh-CN"/>
              </w:rPr>
              <w:t>或同档次及以上</w:t>
            </w:r>
          </w:p>
        </w:tc>
      </w:tr>
      <w:tr w14:paraId="6EEEC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46C37">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4928D">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照明灯具</w:t>
            </w:r>
          </w:p>
        </w:tc>
        <w:tc>
          <w:tcPr>
            <w:tcW w:w="5791" w:type="dxa"/>
            <w:tcBorders>
              <w:top w:val="single" w:color="000000" w:sz="4" w:space="0"/>
              <w:left w:val="single" w:color="000000" w:sz="4" w:space="0"/>
              <w:bottom w:val="single" w:color="000000" w:sz="4" w:space="0"/>
              <w:right w:val="nil"/>
            </w:tcBorders>
            <w:shd w:val="clear" w:color="auto" w:fill="auto"/>
            <w:vAlign w:val="center"/>
          </w:tcPr>
          <w:p w14:paraId="146AC501">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三雄极光、</w:t>
            </w:r>
            <w:r>
              <w:rPr>
                <w:rFonts w:hint="eastAsia" w:ascii="宋体" w:hAnsi="宋体" w:eastAsia="宋体" w:cs="宋体"/>
                <w:color w:val="auto"/>
                <w:sz w:val="24"/>
                <w:szCs w:val="24"/>
                <w:highlight w:val="none"/>
                <w:lang w:val="en-US" w:eastAsia="zh-CN"/>
              </w:rPr>
              <w:t>西顿照明、三思照明或同档次及以上</w:t>
            </w:r>
          </w:p>
        </w:tc>
      </w:tr>
      <w:tr w14:paraId="51BC6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7DFB6">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CC8C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综合布线系统</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D8CA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美国西蒙、德特威勒、泛达</w:t>
            </w:r>
            <w:r>
              <w:rPr>
                <w:rFonts w:hint="eastAsia" w:ascii="宋体" w:hAnsi="宋体" w:eastAsia="宋体" w:cs="宋体"/>
                <w:color w:val="auto"/>
                <w:sz w:val="24"/>
                <w:szCs w:val="24"/>
                <w:highlight w:val="none"/>
                <w:lang w:val="en-US" w:eastAsia="zh-CN"/>
              </w:rPr>
              <w:t>或同档次及以上</w:t>
            </w:r>
          </w:p>
        </w:tc>
      </w:tr>
      <w:tr w14:paraId="50D7C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29D7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4EFC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门禁系统</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D30FE">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大华、宇视、海康威视</w:t>
            </w:r>
            <w:r>
              <w:rPr>
                <w:rFonts w:hint="eastAsia" w:ascii="宋体" w:hAnsi="宋体" w:eastAsia="宋体" w:cs="宋体"/>
                <w:color w:val="auto"/>
                <w:sz w:val="24"/>
                <w:szCs w:val="24"/>
                <w:highlight w:val="none"/>
                <w:lang w:val="en-US" w:eastAsia="zh-CN"/>
              </w:rPr>
              <w:t>或同档次及以上</w:t>
            </w:r>
          </w:p>
        </w:tc>
      </w:tr>
      <w:tr w14:paraId="07175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81DA4">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0AB5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视频监控系统</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090C1">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大华、宇视、海康威视</w:t>
            </w:r>
            <w:r>
              <w:rPr>
                <w:rFonts w:hint="eastAsia" w:ascii="宋体" w:hAnsi="宋体" w:eastAsia="宋体" w:cs="宋体"/>
                <w:color w:val="auto"/>
                <w:sz w:val="24"/>
                <w:szCs w:val="24"/>
                <w:highlight w:val="none"/>
                <w:lang w:val="en-US" w:eastAsia="zh-CN"/>
              </w:rPr>
              <w:t>或同档次及以上</w:t>
            </w:r>
          </w:p>
        </w:tc>
      </w:tr>
      <w:tr w14:paraId="2013F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0D8AF">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0C6B4">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UPS不间断电源</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ABDDD">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维谛、华为、科士达</w:t>
            </w:r>
            <w:r>
              <w:rPr>
                <w:rFonts w:hint="eastAsia" w:ascii="宋体" w:hAnsi="宋体" w:eastAsia="宋体" w:cs="宋体"/>
                <w:color w:val="auto"/>
                <w:sz w:val="24"/>
                <w:szCs w:val="24"/>
                <w:highlight w:val="none"/>
                <w:lang w:val="en-US" w:eastAsia="zh-CN"/>
              </w:rPr>
              <w:t>或同档次及以上</w:t>
            </w:r>
          </w:p>
        </w:tc>
      </w:tr>
      <w:tr w14:paraId="1CE31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5B85D">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78738">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卫生洁具</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038A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科勒、TOTO、美标</w:t>
            </w:r>
            <w:r>
              <w:rPr>
                <w:rFonts w:hint="eastAsia" w:ascii="宋体" w:hAnsi="宋体" w:eastAsia="宋体" w:cs="宋体"/>
                <w:color w:val="auto"/>
                <w:sz w:val="24"/>
                <w:szCs w:val="24"/>
                <w:highlight w:val="none"/>
                <w:lang w:val="en-US" w:eastAsia="zh-CN"/>
              </w:rPr>
              <w:t>或同档次及以上</w:t>
            </w:r>
          </w:p>
        </w:tc>
      </w:tr>
      <w:tr w14:paraId="5989F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A5AE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25A62">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风管材料（镀锌钢板）</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83C70">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武钢、宝武钢、首钢</w:t>
            </w:r>
            <w:r>
              <w:rPr>
                <w:rFonts w:hint="eastAsia" w:ascii="宋体" w:hAnsi="宋体" w:eastAsia="宋体" w:cs="宋体"/>
                <w:color w:val="auto"/>
                <w:sz w:val="24"/>
                <w:szCs w:val="24"/>
                <w:highlight w:val="none"/>
                <w:lang w:val="en-US" w:eastAsia="zh-CN"/>
              </w:rPr>
              <w:t>或同档次及以上</w:t>
            </w:r>
          </w:p>
        </w:tc>
      </w:tr>
      <w:tr w14:paraId="6ECD0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2EEFD">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0D971">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橡塑保温材料</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FD730">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阿乐斯、华美、伯乐尔</w:t>
            </w:r>
            <w:r>
              <w:rPr>
                <w:rFonts w:hint="eastAsia" w:ascii="宋体" w:hAnsi="宋体" w:eastAsia="宋体" w:cs="宋体"/>
                <w:color w:val="auto"/>
                <w:sz w:val="24"/>
                <w:szCs w:val="24"/>
                <w:highlight w:val="none"/>
                <w:lang w:val="en-US" w:eastAsia="zh-CN"/>
              </w:rPr>
              <w:t>或同档次及以上</w:t>
            </w:r>
          </w:p>
        </w:tc>
      </w:tr>
      <w:tr w14:paraId="47046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A4DBC">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104A4">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水管各类阀门</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C5FB1">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珠华、WEFLO、上海冠龙</w:t>
            </w:r>
            <w:r>
              <w:rPr>
                <w:rFonts w:hint="eastAsia" w:ascii="宋体" w:hAnsi="宋体" w:eastAsia="宋体" w:cs="宋体"/>
                <w:color w:val="auto"/>
                <w:sz w:val="24"/>
                <w:szCs w:val="24"/>
                <w:highlight w:val="none"/>
                <w:lang w:val="en-US" w:eastAsia="zh-CN"/>
              </w:rPr>
              <w:t>或同档次及以上</w:t>
            </w:r>
          </w:p>
        </w:tc>
      </w:tr>
      <w:tr w14:paraId="1BAB8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D086E">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26535">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循坏水泵</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6E667">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威乐、格兰富、凯泉</w:t>
            </w:r>
            <w:r>
              <w:rPr>
                <w:rFonts w:hint="eastAsia" w:ascii="宋体" w:hAnsi="宋体" w:eastAsia="宋体" w:cs="宋体"/>
                <w:color w:val="auto"/>
                <w:sz w:val="24"/>
                <w:szCs w:val="24"/>
                <w:highlight w:val="none"/>
                <w:lang w:val="en-US" w:eastAsia="zh-CN"/>
              </w:rPr>
              <w:t>或同档次及以上</w:t>
            </w:r>
          </w:p>
        </w:tc>
      </w:tr>
      <w:tr w14:paraId="6E65A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0096E">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17</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1CA0F">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无缝钢管</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09D6E">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包钢、华菱钢铁、鞍钢</w:t>
            </w:r>
            <w:r>
              <w:rPr>
                <w:rFonts w:hint="eastAsia" w:ascii="宋体" w:hAnsi="宋体" w:eastAsia="宋体" w:cs="宋体"/>
                <w:color w:val="auto"/>
                <w:sz w:val="24"/>
                <w:szCs w:val="24"/>
                <w:highlight w:val="none"/>
                <w:lang w:val="en-US" w:eastAsia="zh-CN"/>
              </w:rPr>
              <w:t>或同档次及以上</w:t>
            </w:r>
          </w:p>
        </w:tc>
      </w:tr>
      <w:tr w14:paraId="6E7F1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20387">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18</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3EB14">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镀锌钢管</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2CCB4">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浙江金洲、天津利达、天津友发</w:t>
            </w:r>
            <w:r>
              <w:rPr>
                <w:rFonts w:hint="eastAsia" w:ascii="宋体" w:hAnsi="宋体" w:eastAsia="宋体" w:cs="宋体"/>
                <w:color w:val="auto"/>
                <w:sz w:val="24"/>
                <w:szCs w:val="24"/>
                <w:highlight w:val="none"/>
                <w:lang w:val="en-US" w:eastAsia="zh-CN"/>
              </w:rPr>
              <w:t>或同档次及以上</w:t>
            </w:r>
          </w:p>
        </w:tc>
      </w:tr>
      <w:tr w14:paraId="62595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18051">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19</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E034F">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PVC管</w:t>
            </w:r>
          </w:p>
        </w:tc>
        <w:tc>
          <w:tcPr>
            <w:tcW w:w="5791" w:type="dxa"/>
            <w:tcBorders>
              <w:top w:val="single" w:color="000000" w:sz="4" w:space="0"/>
              <w:left w:val="single" w:color="000000" w:sz="4" w:space="0"/>
              <w:bottom w:val="single" w:color="000000" w:sz="4" w:space="0"/>
              <w:right w:val="nil"/>
            </w:tcBorders>
            <w:shd w:val="clear" w:color="auto" w:fill="auto"/>
            <w:vAlign w:val="center"/>
          </w:tcPr>
          <w:p w14:paraId="69FC22E9">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中财、同正、伟星</w:t>
            </w:r>
            <w:r>
              <w:rPr>
                <w:rFonts w:hint="eastAsia" w:ascii="宋体" w:hAnsi="宋体" w:eastAsia="宋体" w:cs="宋体"/>
                <w:color w:val="auto"/>
                <w:sz w:val="24"/>
                <w:szCs w:val="24"/>
                <w:highlight w:val="none"/>
                <w:lang w:val="en-US" w:eastAsia="zh-CN"/>
              </w:rPr>
              <w:t>或同档次及以上</w:t>
            </w:r>
          </w:p>
        </w:tc>
      </w:tr>
      <w:tr w14:paraId="4AFDE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6C051">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8D56C">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不锈钢管及管件</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951CD">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金羊、南京金口、华杰</w:t>
            </w:r>
            <w:r>
              <w:rPr>
                <w:rFonts w:hint="eastAsia" w:ascii="宋体" w:hAnsi="宋体" w:eastAsia="宋体" w:cs="宋体"/>
                <w:color w:val="auto"/>
                <w:sz w:val="24"/>
                <w:szCs w:val="24"/>
                <w:highlight w:val="none"/>
                <w:lang w:val="en-US" w:eastAsia="zh-CN"/>
              </w:rPr>
              <w:t>或同档次及以上</w:t>
            </w:r>
          </w:p>
        </w:tc>
      </w:tr>
      <w:tr w14:paraId="3E7BF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E483B">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21ED7">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桥架、金属线槽</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C4D18">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宁波燎原、宁波信杰、宁波新吉宁</w:t>
            </w:r>
            <w:r>
              <w:rPr>
                <w:rFonts w:hint="eastAsia" w:ascii="宋体" w:hAnsi="宋体" w:eastAsia="宋体" w:cs="宋体"/>
                <w:color w:val="auto"/>
                <w:sz w:val="24"/>
                <w:szCs w:val="24"/>
                <w:highlight w:val="none"/>
                <w:lang w:val="en-US" w:eastAsia="zh-CN"/>
              </w:rPr>
              <w:t>或同档次及以上</w:t>
            </w:r>
          </w:p>
        </w:tc>
      </w:tr>
      <w:tr w14:paraId="7886C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43246">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2790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开关、插座</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3B1F7">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西门子、施耐德、ABB</w:t>
            </w:r>
            <w:r>
              <w:rPr>
                <w:rFonts w:hint="eastAsia" w:ascii="宋体" w:hAnsi="宋体" w:eastAsia="宋体" w:cs="宋体"/>
                <w:color w:val="auto"/>
                <w:sz w:val="24"/>
                <w:szCs w:val="24"/>
                <w:highlight w:val="none"/>
                <w:lang w:val="en-US" w:eastAsia="zh-CN"/>
              </w:rPr>
              <w:t>或同档次及以上</w:t>
            </w:r>
          </w:p>
        </w:tc>
      </w:tr>
      <w:tr w14:paraId="7441F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2D3CF">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23</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895D6">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电线电缆</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48EC0">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远东、宝胜、上上</w:t>
            </w:r>
            <w:r>
              <w:rPr>
                <w:rFonts w:hint="eastAsia" w:ascii="宋体" w:hAnsi="宋体" w:eastAsia="宋体" w:cs="宋体"/>
                <w:color w:val="auto"/>
                <w:sz w:val="24"/>
                <w:szCs w:val="24"/>
                <w:highlight w:val="none"/>
                <w:lang w:val="en-US" w:eastAsia="zh-CN"/>
              </w:rPr>
              <w:t>或同档次及以上</w:t>
            </w:r>
          </w:p>
        </w:tc>
      </w:tr>
      <w:tr w14:paraId="6B454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FE6ED">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24</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DAE7C">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净化灯具</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33DD0">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西顿照明、三思照明、</w:t>
            </w:r>
            <w:r>
              <w:rPr>
                <w:rFonts w:hint="eastAsia" w:ascii="宋体" w:hAnsi="宋体" w:eastAsia="宋体" w:cs="宋体"/>
                <w:i w:val="0"/>
                <w:iCs w:val="0"/>
                <w:color w:val="auto"/>
                <w:kern w:val="0"/>
                <w:sz w:val="24"/>
                <w:szCs w:val="24"/>
                <w:highlight w:val="none"/>
                <w:u w:val="none"/>
                <w:lang w:val="en-US" w:eastAsia="zh-CN" w:bidi="ar"/>
              </w:rPr>
              <w:t>三雄极光</w:t>
            </w:r>
            <w:r>
              <w:rPr>
                <w:rFonts w:hint="eastAsia" w:ascii="宋体" w:hAnsi="宋体" w:eastAsia="宋体" w:cs="宋体"/>
                <w:color w:val="auto"/>
                <w:sz w:val="24"/>
                <w:szCs w:val="24"/>
                <w:highlight w:val="none"/>
                <w:lang w:val="en-US" w:eastAsia="zh-CN"/>
              </w:rPr>
              <w:t>或同档次及以上</w:t>
            </w:r>
          </w:p>
        </w:tc>
      </w:tr>
      <w:tr w14:paraId="6A4F1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47CE6">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1322E">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器械柜、药品柜、麻醉柜、收纳柜、传递窗等不锈钢制品</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72690">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铭炫、浩东、布尔特</w:t>
            </w:r>
            <w:r>
              <w:rPr>
                <w:rFonts w:hint="eastAsia" w:ascii="宋体" w:hAnsi="宋体" w:eastAsia="宋体" w:cs="宋体"/>
                <w:color w:val="auto"/>
                <w:sz w:val="24"/>
                <w:szCs w:val="24"/>
                <w:highlight w:val="none"/>
                <w:lang w:val="en-US" w:eastAsia="zh-CN"/>
              </w:rPr>
              <w:t>或同档次及以上</w:t>
            </w:r>
          </w:p>
        </w:tc>
      </w:tr>
      <w:tr w14:paraId="7E15D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7D2E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26</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301F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实验边台、中央台及通风柜</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5257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赛默飞、派尔、泰尔</w:t>
            </w:r>
            <w:r>
              <w:rPr>
                <w:rFonts w:hint="eastAsia" w:ascii="宋体" w:hAnsi="宋体" w:eastAsia="宋体" w:cs="宋体"/>
                <w:color w:val="auto"/>
                <w:sz w:val="24"/>
                <w:szCs w:val="24"/>
                <w:highlight w:val="none"/>
                <w:lang w:val="en-US" w:eastAsia="zh-CN"/>
              </w:rPr>
              <w:t>或同档次及以上</w:t>
            </w:r>
          </w:p>
        </w:tc>
      </w:tr>
      <w:tr w14:paraId="6B54D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68CB6">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27</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AB27F">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气密钢质门</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7D2D5">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欧尼克、格满林、欧宝</w:t>
            </w:r>
            <w:r>
              <w:rPr>
                <w:rFonts w:hint="eastAsia" w:ascii="宋体" w:hAnsi="宋体" w:eastAsia="宋体" w:cs="宋体"/>
                <w:color w:val="auto"/>
                <w:sz w:val="24"/>
                <w:szCs w:val="24"/>
                <w:highlight w:val="none"/>
                <w:lang w:val="en-US" w:eastAsia="zh-CN"/>
              </w:rPr>
              <w:t>或同档次及以上</w:t>
            </w:r>
          </w:p>
        </w:tc>
      </w:tr>
      <w:tr w14:paraId="68487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9255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28</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D24D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无机预涂板</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8664F">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卡利、森旺、帝龙</w:t>
            </w:r>
            <w:r>
              <w:rPr>
                <w:rFonts w:hint="eastAsia" w:ascii="宋体" w:hAnsi="宋体" w:eastAsia="宋体" w:cs="宋体"/>
                <w:color w:val="auto"/>
                <w:sz w:val="24"/>
                <w:szCs w:val="24"/>
                <w:highlight w:val="none"/>
                <w:lang w:val="en-US" w:eastAsia="zh-CN"/>
              </w:rPr>
              <w:t>或同档次及以上</w:t>
            </w:r>
          </w:p>
        </w:tc>
      </w:tr>
      <w:tr w14:paraId="2CD7B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C43EB">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29</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36916">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PVC地胶板</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0EBE3">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丽杰 Rikett、盟多、阿姆斯壮</w:t>
            </w:r>
            <w:r>
              <w:rPr>
                <w:rFonts w:hint="eastAsia" w:ascii="宋体" w:hAnsi="宋体" w:eastAsia="宋体" w:cs="宋体"/>
                <w:color w:val="auto"/>
                <w:sz w:val="24"/>
                <w:szCs w:val="24"/>
                <w:highlight w:val="none"/>
                <w:lang w:val="en-US" w:eastAsia="zh-CN"/>
              </w:rPr>
              <w:t>或同档次及以上</w:t>
            </w:r>
          </w:p>
        </w:tc>
      </w:tr>
      <w:tr w14:paraId="03B72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3DD78">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31</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DF190">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铝扣板</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F522B">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ARET、浙江墙煌、浙江和美</w:t>
            </w:r>
            <w:r>
              <w:rPr>
                <w:rFonts w:hint="eastAsia" w:ascii="宋体" w:hAnsi="宋体" w:eastAsia="宋体" w:cs="宋体"/>
                <w:color w:val="auto"/>
                <w:sz w:val="24"/>
                <w:szCs w:val="24"/>
                <w:highlight w:val="none"/>
                <w:lang w:val="en-US" w:eastAsia="zh-CN"/>
              </w:rPr>
              <w:t>或同档次及以上</w:t>
            </w:r>
          </w:p>
        </w:tc>
      </w:tr>
      <w:tr w14:paraId="72B36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4AD8B">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32</w:t>
            </w:r>
          </w:p>
        </w:tc>
        <w:tc>
          <w:tcPr>
            <w:tcW w:w="2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60DD2">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地砖、墙砖</w:t>
            </w:r>
          </w:p>
        </w:tc>
        <w:tc>
          <w:tcPr>
            <w:tcW w:w="5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5925A">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冠军、蒙娜丽莎、</w:t>
            </w:r>
            <w:r>
              <w:rPr>
                <w:rFonts w:hint="eastAsia" w:ascii="宋体" w:hAnsi="宋体" w:eastAsia="宋体" w:cs="宋体"/>
                <w:color w:val="auto"/>
                <w:sz w:val="24"/>
                <w:szCs w:val="24"/>
                <w:highlight w:val="none"/>
                <w:lang w:val="en-US" w:eastAsia="zh-CN"/>
              </w:rPr>
              <w:t>诺贝尔或同档次及以上</w:t>
            </w:r>
          </w:p>
        </w:tc>
      </w:tr>
    </w:tbl>
    <w:p w14:paraId="43867F30">
      <w:pPr>
        <w:pStyle w:val="20"/>
        <w:pageBreakBefore w:val="0"/>
        <w:shd w:val="clear"/>
        <w:kinsoku/>
        <w:wordWrap/>
        <w:overflowPunct/>
        <w:topLinePunct w:val="0"/>
        <w:bidi w:val="0"/>
        <w:snapToGrid w:val="0"/>
        <w:spacing w:line="300" w:lineRule="auto"/>
        <w:rPr>
          <w:rFonts w:hint="eastAsia" w:ascii="宋体" w:hAnsi="宋体" w:eastAsia="宋体" w:cs="宋体"/>
          <w:color w:val="auto"/>
          <w:sz w:val="24"/>
          <w:szCs w:val="24"/>
          <w:highlight w:val="none"/>
          <w:lang w:val="en-US" w:eastAsia="zh-CN"/>
        </w:rPr>
      </w:pPr>
    </w:p>
    <w:p w14:paraId="47BD2777">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textAlignment w:val="auto"/>
        <w:rPr>
          <w:rFonts w:hint="eastAsia" w:ascii="宋体" w:hAnsi="宋体" w:eastAsia="宋体" w:cs="宋体"/>
          <w:i w:val="0"/>
          <w:iCs w:val="0"/>
          <w:color w:val="auto"/>
          <w:spacing w:val="0"/>
          <w:sz w:val="24"/>
          <w:szCs w:val="24"/>
          <w:highlight w:val="none"/>
          <w:lang w:val="en-US" w:eastAsia="zh-CN"/>
        </w:rPr>
      </w:pPr>
    </w:p>
    <w:p w14:paraId="493E1A6A">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0" w:firstLineChars="0"/>
        <w:jc w:val="center"/>
        <w:textAlignment w:val="auto"/>
        <w:rPr>
          <w:rFonts w:hint="eastAsia" w:ascii="宋体" w:hAnsi="宋体" w:eastAsia="宋体" w:cs="宋体"/>
          <w:b/>
          <w:bCs/>
          <w:i w:val="0"/>
          <w:iCs w:val="0"/>
          <w:color w:val="auto"/>
          <w:spacing w:val="0"/>
          <w:sz w:val="24"/>
          <w:szCs w:val="24"/>
          <w:highlight w:val="none"/>
          <w:lang w:val="en-US" w:eastAsia="zh-CN"/>
        </w:rPr>
      </w:pPr>
      <w:r>
        <w:rPr>
          <w:rFonts w:hint="eastAsia" w:ascii="宋体" w:hAnsi="宋体" w:eastAsia="宋体" w:cs="宋体"/>
          <w:b/>
          <w:bCs/>
          <w:i w:val="0"/>
          <w:iCs w:val="0"/>
          <w:color w:val="auto"/>
          <w:spacing w:val="0"/>
          <w:sz w:val="24"/>
          <w:szCs w:val="24"/>
          <w:highlight w:val="none"/>
          <w:lang w:val="en-US" w:eastAsia="zh-CN"/>
        </w:rPr>
        <w:t>（三）放射防护工程</w:t>
      </w:r>
    </w:p>
    <w:p w14:paraId="4A96BF3F">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482" w:firstLineChars="200"/>
        <w:jc w:val="left"/>
        <w:textAlignment w:val="auto"/>
        <w:rPr>
          <w:rFonts w:hint="eastAsia" w:ascii="宋体" w:hAnsi="宋体" w:eastAsia="宋体" w:cs="宋体"/>
          <w:b/>
          <w:bCs/>
          <w:i w:val="0"/>
          <w:iCs w:val="0"/>
          <w:color w:val="auto"/>
          <w:spacing w:val="0"/>
          <w:sz w:val="24"/>
          <w:szCs w:val="24"/>
          <w:highlight w:val="none"/>
          <w:lang w:val="en-US" w:eastAsia="zh-CN"/>
        </w:rPr>
      </w:pPr>
      <w:r>
        <w:rPr>
          <w:rFonts w:hint="eastAsia" w:ascii="宋体" w:hAnsi="宋体" w:eastAsia="宋体" w:cs="宋体"/>
          <w:b/>
          <w:bCs/>
          <w:i w:val="0"/>
          <w:iCs w:val="0"/>
          <w:color w:val="auto"/>
          <w:spacing w:val="0"/>
          <w:sz w:val="24"/>
          <w:szCs w:val="24"/>
          <w:highlight w:val="none"/>
          <w:lang w:val="en-US" w:eastAsia="zh-CN"/>
        </w:rPr>
        <w:t>1、概况：</w:t>
      </w:r>
      <w:r>
        <w:rPr>
          <w:rFonts w:hint="eastAsia" w:ascii="宋体" w:hAnsi="宋体" w:eastAsia="宋体" w:cs="宋体"/>
          <w:snapToGrid w:val="0"/>
          <w:color w:val="auto"/>
          <w:spacing w:val="0"/>
          <w:kern w:val="2"/>
          <w:sz w:val="24"/>
          <w:szCs w:val="24"/>
          <w:highlight w:val="none"/>
          <w:lang w:val="en-US" w:eastAsia="zh-CN" w:bidi="ar-SA"/>
        </w:rPr>
        <w:t>放射防护内容详见施工图纸和工程量清单。具体包括X线机房(地下二层)、DR机房1(一层影像科)、DR机房2 (一层影像科)、骨密度机房(一层影像科)、CT机房1 (一层影像科)、 CT机房2一层影像科)、 钼靶机房 (一层影像科)、口腔CT机房 (一层影像科)、CT机房3(一层影像科)。</w:t>
      </w:r>
    </w:p>
    <w:p w14:paraId="746D6FA6">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jc w:val="left"/>
        <w:textAlignment w:val="auto"/>
        <w:rPr>
          <w:rFonts w:hint="eastAsia" w:ascii="宋体" w:hAnsi="宋体" w:eastAsia="宋体" w:cs="宋体"/>
          <w:snapToGrid w:val="0"/>
          <w:color w:val="auto"/>
          <w:spacing w:val="0"/>
          <w:kern w:val="2"/>
          <w:sz w:val="24"/>
          <w:szCs w:val="24"/>
          <w:highlight w:val="none"/>
          <w:lang w:val="en-US" w:eastAsia="zh-CN" w:bidi="ar-SA"/>
        </w:rPr>
      </w:pPr>
      <w:r>
        <w:rPr>
          <w:rFonts w:hint="eastAsia" w:ascii="宋体" w:hAnsi="宋体" w:eastAsia="宋体" w:cs="宋体"/>
          <w:snapToGrid w:val="0"/>
          <w:color w:val="auto"/>
          <w:spacing w:val="0"/>
          <w:kern w:val="2"/>
          <w:sz w:val="24"/>
          <w:szCs w:val="24"/>
          <w:highlight w:val="none"/>
          <w:lang w:val="en-US" w:eastAsia="zh-CN" w:bidi="ar-SA"/>
        </w:rPr>
        <w:t>2、施工界面：</w:t>
      </w:r>
    </w:p>
    <w:p w14:paraId="268FEC47">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jc w:val="left"/>
        <w:textAlignment w:val="auto"/>
        <w:rPr>
          <w:rFonts w:hint="eastAsia" w:ascii="宋体" w:hAnsi="宋体" w:eastAsia="宋体" w:cs="宋体"/>
          <w:snapToGrid w:val="0"/>
          <w:color w:val="auto"/>
          <w:spacing w:val="0"/>
          <w:kern w:val="2"/>
          <w:sz w:val="24"/>
          <w:szCs w:val="24"/>
          <w:highlight w:val="none"/>
          <w:lang w:val="en-US" w:eastAsia="zh-CN" w:bidi="ar-SA"/>
        </w:rPr>
      </w:pPr>
      <w:r>
        <w:rPr>
          <w:rFonts w:hint="eastAsia" w:ascii="宋体" w:hAnsi="宋体" w:eastAsia="宋体" w:cs="宋体"/>
          <w:snapToGrid w:val="0"/>
          <w:color w:val="auto"/>
          <w:spacing w:val="0"/>
          <w:kern w:val="2"/>
          <w:sz w:val="24"/>
          <w:szCs w:val="24"/>
          <w:highlight w:val="none"/>
          <w:lang w:val="en-US" w:eastAsia="zh-CN" w:bidi="ar-SA"/>
        </w:rPr>
        <w:t>（1）包含放射防护区域范围内的防护墙体、防护地面、防护上层地面以及防护门、铅玻璃观察窗，不含房间内装饰、磁共振机房。</w:t>
      </w:r>
    </w:p>
    <w:p w14:paraId="74EEB5C5">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00" w:lineRule="auto"/>
        <w:ind w:left="0" w:leftChars="0" w:firstLine="480" w:firstLineChars="200"/>
        <w:jc w:val="left"/>
        <w:textAlignment w:val="auto"/>
        <w:rPr>
          <w:rFonts w:hint="eastAsia" w:ascii="宋体" w:hAnsi="宋体" w:eastAsia="宋体" w:cs="宋体"/>
          <w:snapToGrid w:val="0"/>
          <w:color w:val="auto"/>
          <w:spacing w:val="0"/>
          <w:kern w:val="2"/>
          <w:sz w:val="24"/>
          <w:szCs w:val="24"/>
          <w:highlight w:val="none"/>
          <w:lang w:val="en-US" w:eastAsia="zh-CN" w:bidi="ar-SA"/>
        </w:rPr>
      </w:pPr>
      <w:r>
        <w:rPr>
          <w:rFonts w:hint="eastAsia" w:ascii="宋体" w:hAnsi="宋体" w:eastAsia="宋体" w:cs="宋体"/>
          <w:snapToGrid w:val="0"/>
          <w:color w:val="auto"/>
          <w:spacing w:val="0"/>
          <w:kern w:val="2"/>
          <w:sz w:val="24"/>
          <w:szCs w:val="24"/>
          <w:highlight w:val="none"/>
          <w:lang w:val="en-US" w:eastAsia="zh-CN" w:bidi="ar-SA"/>
        </w:rPr>
        <w:t>（3）配合完成放射设备安装调试及相关检测验收，界面以防护区域结构边界为准。</w:t>
      </w:r>
    </w:p>
    <w:p w14:paraId="5F59CD4C">
      <w:pPr>
        <w:pStyle w:val="26"/>
        <w:pageBreakBefore w:val="0"/>
        <w:numPr>
          <w:ilvl w:val="-1"/>
          <w:numId w:val="0"/>
        </w:numPr>
        <w:shd w:val="clear"/>
        <w:kinsoku/>
        <w:wordWrap/>
        <w:overflowPunct/>
        <w:topLinePunct w:val="0"/>
        <w:bidi w:val="0"/>
        <w:snapToGrid w:val="0"/>
        <w:spacing w:after="0" w:line="300" w:lineRule="auto"/>
        <w:ind w:firstLine="480" w:firstLineChars="20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3、参考品牌清单</w:t>
      </w:r>
    </w:p>
    <w:tbl>
      <w:tblPr>
        <w:tblStyle w:val="27"/>
        <w:tblW w:w="492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43"/>
        <w:gridCol w:w="1745"/>
        <w:gridCol w:w="6464"/>
      </w:tblGrid>
      <w:tr w14:paraId="5F5D6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696" w:type="dxa"/>
            <w:tcBorders>
              <w:top w:val="single" w:color="000000" w:sz="4" w:space="0"/>
              <w:left w:val="single" w:color="000000" w:sz="4" w:space="0"/>
              <w:bottom w:val="single" w:color="000000" w:sz="4" w:space="0"/>
              <w:right w:val="single" w:color="000000" w:sz="4" w:space="0"/>
            </w:tcBorders>
            <w:noWrap/>
            <w:vAlign w:val="top"/>
          </w:tcPr>
          <w:p w14:paraId="28675194">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rPr>
              <w:t>序号</w:t>
            </w:r>
          </w:p>
        </w:tc>
        <w:tc>
          <w:tcPr>
            <w:tcW w:w="1635" w:type="dxa"/>
            <w:tcBorders>
              <w:top w:val="single" w:color="000000" w:sz="4" w:space="0"/>
              <w:left w:val="single" w:color="000000" w:sz="4" w:space="0"/>
              <w:bottom w:val="single" w:color="000000" w:sz="4" w:space="0"/>
              <w:right w:val="single" w:color="000000" w:sz="4" w:space="0"/>
            </w:tcBorders>
            <w:noWrap/>
            <w:vAlign w:val="top"/>
          </w:tcPr>
          <w:p w14:paraId="31C3B8CC">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rPr>
              <w:t>项目类别</w:t>
            </w:r>
          </w:p>
        </w:tc>
        <w:tc>
          <w:tcPr>
            <w:tcW w:w="6056" w:type="dxa"/>
            <w:tcBorders>
              <w:top w:val="single" w:color="000000" w:sz="4" w:space="0"/>
              <w:left w:val="single" w:color="000000" w:sz="4" w:space="0"/>
              <w:bottom w:val="single" w:color="000000" w:sz="4" w:space="0"/>
              <w:right w:val="single" w:color="000000" w:sz="4" w:space="0"/>
            </w:tcBorders>
            <w:noWrap/>
            <w:vAlign w:val="top"/>
          </w:tcPr>
          <w:p w14:paraId="415F9C50">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sz w:val="24"/>
                <w:szCs w:val="24"/>
                <w:highlight w:val="none"/>
                <w:lang w:eastAsia="zh-CN"/>
              </w:rPr>
              <w:t>参考</w:t>
            </w:r>
            <w:r>
              <w:rPr>
                <w:rFonts w:hint="eastAsia" w:ascii="宋体" w:hAnsi="宋体" w:eastAsia="宋体" w:cs="宋体"/>
                <w:b/>
                <w:bCs/>
                <w:color w:val="auto"/>
                <w:sz w:val="24"/>
                <w:szCs w:val="24"/>
                <w:highlight w:val="none"/>
              </w:rPr>
              <w:t>品牌</w:t>
            </w:r>
          </w:p>
        </w:tc>
      </w:tr>
      <w:tr w14:paraId="02267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696" w:type="dxa"/>
            <w:tcBorders>
              <w:top w:val="single" w:color="000000" w:sz="4" w:space="0"/>
              <w:left w:val="single" w:color="000000" w:sz="4" w:space="0"/>
              <w:bottom w:val="single" w:color="000000" w:sz="4" w:space="0"/>
              <w:right w:val="single" w:color="000000" w:sz="4" w:space="0"/>
            </w:tcBorders>
            <w:noWrap/>
            <w:vAlign w:val="top"/>
          </w:tcPr>
          <w:p w14:paraId="6BB22147">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1</w:t>
            </w:r>
          </w:p>
        </w:tc>
        <w:tc>
          <w:tcPr>
            <w:tcW w:w="1635" w:type="dxa"/>
            <w:tcBorders>
              <w:top w:val="single" w:color="000000" w:sz="4" w:space="0"/>
              <w:left w:val="single" w:color="000000" w:sz="4" w:space="0"/>
              <w:bottom w:val="single" w:color="000000" w:sz="4" w:space="0"/>
              <w:right w:val="single" w:color="000000" w:sz="4" w:space="0"/>
            </w:tcBorders>
            <w:noWrap/>
            <w:vAlign w:val="top"/>
          </w:tcPr>
          <w:p w14:paraId="7EBCC97D">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铅板</w:t>
            </w:r>
          </w:p>
        </w:tc>
        <w:tc>
          <w:tcPr>
            <w:tcW w:w="6056" w:type="dxa"/>
            <w:tcBorders>
              <w:top w:val="single" w:color="000000" w:sz="4" w:space="0"/>
              <w:left w:val="single" w:color="000000" w:sz="4" w:space="0"/>
              <w:bottom w:val="single" w:color="000000" w:sz="4" w:space="0"/>
              <w:right w:val="single" w:color="000000" w:sz="4" w:space="0"/>
            </w:tcBorders>
            <w:noWrap/>
            <w:vAlign w:val="center"/>
          </w:tcPr>
          <w:p w14:paraId="1F78BE69">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吉美、源泰、华科</w:t>
            </w:r>
            <w:r>
              <w:rPr>
                <w:rFonts w:hint="eastAsia" w:ascii="宋体" w:hAnsi="宋体" w:eastAsia="宋体" w:cs="宋体"/>
                <w:color w:val="auto"/>
                <w:sz w:val="24"/>
                <w:szCs w:val="24"/>
                <w:highlight w:val="none"/>
                <w:lang w:val="en-US" w:eastAsia="zh-CN"/>
              </w:rPr>
              <w:t>或同档次及以上</w:t>
            </w:r>
          </w:p>
        </w:tc>
      </w:tr>
      <w:tr w14:paraId="17EA4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696" w:type="dxa"/>
            <w:tcBorders>
              <w:top w:val="single" w:color="000000" w:sz="4" w:space="0"/>
              <w:left w:val="single" w:color="000000" w:sz="4" w:space="0"/>
              <w:bottom w:val="single" w:color="000000" w:sz="4" w:space="0"/>
              <w:right w:val="single" w:color="000000" w:sz="4" w:space="0"/>
            </w:tcBorders>
            <w:noWrap/>
            <w:vAlign w:val="top"/>
          </w:tcPr>
          <w:p w14:paraId="4779F2AC">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2</w:t>
            </w:r>
          </w:p>
        </w:tc>
        <w:tc>
          <w:tcPr>
            <w:tcW w:w="1635" w:type="dxa"/>
            <w:tcBorders>
              <w:top w:val="single" w:color="000000" w:sz="4" w:space="0"/>
              <w:left w:val="single" w:color="000000" w:sz="4" w:space="0"/>
              <w:bottom w:val="single" w:color="000000" w:sz="4" w:space="0"/>
              <w:right w:val="single" w:color="000000" w:sz="4" w:space="0"/>
            </w:tcBorders>
            <w:noWrap/>
            <w:vAlign w:val="center"/>
          </w:tcPr>
          <w:p w14:paraId="770DA927">
            <w:pPr>
              <w:keepNext w:val="0"/>
              <w:keepLines w:val="0"/>
              <w:pageBreakBefore w:val="0"/>
              <w:widowControl w:val="0"/>
              <w:suppressLineNumbers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val="0"/>
                <w:bCs w:val="0"/>
                <w:i w:val="0"/>
                <w:iCs w:val="0"/>
                <w:color w:val="auto"/>
                <w:kern w:val="2"/>
                <w:sz w:val="24"/>
                <w:szCs w:val="24"/>
                <w:highlight w:val="none"/>
                <w:u w:val="none"/>
                <w:lang w:val="en-US" w:eastAsia="zh-CN" w:bidi="ar-SA"/>
              </w:rPr>
            </w:pPr>
            <w:r>
              <w:rPr>
                <w:rFonts w:hint="eastAsia" w:ascii="宋体" w:hAnsi="宋体" w:eastAsia="宋体" w:cs="宋体"/>
                <w:b w:val="0"/>
                <w:bCs w:val="0"/>
                <w:i w:val="0"/>
                <w:iCs w:val="0"/>
                <w:color w:val="auto"/>
                <w:kern w:val="2"/>
                <w:sz w:val="24"/>
                <w:szCs w:val="24"/>
                <w:highlight w:val="none"/>
                <w:u w:val="none"/>
                <w:lang w:val="en-US" w:eastAsia="zh-CN" w:bidi="ar"/>
              </w:rPr>
              <w:t>自动门的电动装置</w:t>
            </w:r>
          </w:p>
        </w:tc>
        <w:tc>
          <w:tcPr>
            <w:tcW w:w="6056" w:type="dxa"/>
            <w:tcBorders>
              <w:top w:val="single" w:color="000000" w:sz="4" w:space="0"/>
              <w:left w:val="single" w:color="000000" w:sz="4" w:space="0"/>
              <w:bottom w:val="single" w:color="000000" w:sz="4" w:space="0"/>
              <w:right w:val="single" w:color="000000" w:sz="4" w:space="0"/>
            </w:tcBorders>
            <w:noWrap/>
            <w:vAlign w:val="center"/>
          </w:tcPr>
          <w:p w14:paraId="0B2B3C7C">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欧尼克、欧宝、格满林</w:t>
            </w:r>
            <w:r>
              <w:rPr>
                <w:rFonts w:hint="eastAsia" w:ascii="宋体" w:hAnsi="宋体" w:eastAsia="宋体" w:cs="宋体"/>
                <w:color w:val="auto"/>
                <w:sz w:val="24"/>
                <w:szCs w:val="24"/>
                <w:highlight w:val="none"/>
                <w:lang w:val="en-US" w:eastAsia="zh-CN"/>
              </w:rPr>
              <w:t>或同档次及以上</w:t>
            </w:r>
          </w:p>
        </w:tc>
      </w:tr>
      <w:tr w14:paraId="68346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696" w:type="dxa"/>
            <w:tcBorders>
              <w:top w:val="single" w:color="000000" w:sz="4" w:space="0"/>
              <w:left w:val="single" w:color="000000" w:sz="4" w:space="0"/>
              <w:bottom w:val="single" w:color="000000" w:sz="4" w:space="0"/>
              <w:right w:val="single" w:color="000000" w:sz="4" w:space="0"/>
            </w:tcBorders>
            <w:noWrap/>
            <w:vAlign w:val="top"/>
          </w:tcPr>
          <w:p w14:paraId="5B882249">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3</w:t>
            </w:r>
          </w:p>
        </w:tc>
        <w:tc>
          <w:tcPr>
            <w:tcW w:w="1635" w:type="dxa"/>
            <w:tcBorders>
              <w:top w:val="single" w:color="000000" w:sz="4" w:space="0"/>
              <w:left w:val="single" w:color="000000" w:sz="4" w:space="0"/>
              <w:bottom w:val="single" w:color="000000" w:sz="4" w:space="0"/>
              <w:right w:val="single" w:color="000000" w:sz="4" w:space="0"/>
            </w:tcBorders>
            <w:noWrap/>
            <w:vAlign w:val="top"/>
          </w:tcPr>
          <w:p w14:paraId="4CE38175">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防辐射防护门</w:t>
            </w:r>
          </w:p>
        </w:tc>
        <w:tc>
          <w:tcPr>
            <w:tcW w:w="6056" w:type="dxa"/>
            <w:tcBorders>
              <w:top w:val="single" w:color="000000" w:sz="4" w:space="0"/>
              <w:left w:val="single" w:color="000000" w:sz="4" w:space="0"/>
              <w:bottom w:val="single" w:color="000000" w:sz="4" w:space="0"/>
              <w:right w:val="single" w:color="000000" w:sz="4" w:space="0"/>
            </w:tcBorders>
            <w:noWrap/>
            <w:vAlign w:val="center"/>
          </w:tcPr>
          <w:p w14:paraId="515108C7">
            <w:pPr>
              <w:keepNext w:val="0"/>
              <w:keepLines w:val="0"/>
              <w:pageBreakBefore w:val="0"/>
              <w:widowControl/>
              <w:suppressLineNumbers w:val="0"/>
              <w:shd w:val="clear"/>
              <w:kinsoku/>
              <w:wordWrap/>
              <w:overflowPunct/>
              <w:topLinePunct w:val="0"/>
              <w:autoSpaceDE/>
              <w:autoSpaceDN/>
              <w:bidi w:val="0"/>
              <w:snapToGrid w:val="0"/>
              <w:spacing w:line="300" w:lineRule="auto"/>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欧尼克、欧宝、格满林</w:t>
            </w:r>
            <w:r>
              <w:rPr>
                <w:rFonts w:hint="eastAsia" w:ascii="宋体" w:hAnsi="宋体" w:eastAsia="宋体" w:cs="宋体"/>
                <w:color w:val="auto"/>
                <w:sz w:val="24"/>
                <w:szCs w:val="24"/>
                <w:highlight w:val="none"/>
                <w:lang w:val="en-US" w:eastAsia="zh-CN"/>
              </w:rPr>
              <w:t>或同档次及以上</w:t>
            </w:r>
          </w:p>
        </w:tc>
      </w:tr>
      <w:tr w14:paraId="00F3D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696" w:type="dxa"/>
            <w:tcBorders>
              <w:top w:val="single" w:color="000000" w:sz="4" w:space="0"/>
              <w:left w:val="single" w:color="000000" w:sz="4" w:space="0"/>
              <w:bottom w:val="single" w:color="000000" w:sz="4" w:space="0"/>
              <w:right w:val="single" w:color="000000" w:sz="4" w:space="0"/>
            </w:tcBorders>
            <w:noWrap/>
            <w:vAlign w:val="top"/>
          </w:tcPr>
          <w:p w14:paraId="52FAFEE9">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4</w:t>
            </w:r>
          </w:p>
        </w:tc>
        <w:tc>
          <w:tcPr>
            <w:tcW w:w="1635" w:type="dxa"/>
            <w:tcBorders>
              <w:top w:val="single" w:color="000000" w:sz="4" w:space="0"/>
              <w:left w:val="single" w:color="000000" w:sz="4" w:space="0"/>
              <w:bottom w:val="single" w:color="000000" w:sz="4" w:space="0"/>
              <w:right w:val="single" w:color="000000" w:sz="4" w:space="0"/>
            </w:tcBorders>
            <w:noWrap/>
            <w:vAlign w:val="top"/>
          </w:tcPr>
          <w:p w14:paraId="639FE076">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铅玻璃</w:t>
            </w:r>
          </w:p>
        </w:tc>
        <w:tc>
          <w:tcPr>
            <w:tcW w:w="6056" w:type="dxa"/>
            <w:tcBorders>
              <w:top w:val="single" w:color="000000" w:sz="4" w:space="0"/>
              <w:left w:val="single" w:color="000000" w:sz="4" w:space="0"/>
              <w:bottom w:val="single" w:color="000000" w:sz="4" w:space="0"/>
              <w:right w:val="single" w:color="000000" w:sz="4" w:space="0"/>
            </w:tcBorders>
            <w:noWrap/>
            <w:vAlign w:val="top"/>
          </w:tcPr>
          <w:p w14:paraId="08FE4218">
            <w:pPr>
              <w:keepNext w:val="0"/>
              <w:keepLines w:val="0"/>
              <w:pageBreakBefore w:val="0"/>
              <w:widowControl w:val="0"/>
              <w:shd w:val="clear"/>
              <w:kinsoku/>
              <w:wordWrap/>
              <w:overflowPunct/>
              <w:topLinePunct w:val="0"/>
              <w:autoSpaceDE/>
              <w:autoSpaceDN/>
              <w:bidi w:val="0"/>
              <w:adjustRightInd/>
              <w:snapToGrid w:val="0"/>
              <w:spacing w:line="300" w:lineRule="auto"/>
              <w:jc w:val="center"/>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宏健、神网、东陈</w:t>
            </w:r>
            <w:r>
              <w:rPr>
                <w:rFonts w:hint="eastAsia" w:ascii="宋体" w:hAnsi="宋体" w:eastAsia="宋体" w:cs="宋体"/>
                <w:color w:val="auto"/>
                <w:sz w:val="24"/>
                <w:szCs w:val="24"/>
                <w:highlight w:val="none"/>
                <w:lang w:val="en-US" w:eastAsia="zh-CN"/>
              </w:rPr>
              <w:t>或同档次及以上</w:t>
            </w:r>
          </w:p>
        </w:tc>
      </w:tr>
    </w:tbl>
    <w:p w14:paraId="5B4359F4">
      <w:pPr>
        <w:pStyle w:val="8"/>
        <w:pageBreakBefore w:val="0"/>
        <w:shd w:val="clear"/>
        <w:kinsoku/>
        <w:wordWrap/>
        <w:overflowPunct/>
        <w:topLinePunct w:val="0"/>
        <w:bidi w:val="0"/>
        <w:snapToGrid w:val="0"/>
        <w:spacing w:line="300" w:lineRule="auto"/>
        <w:ind w:firstLine="480" w:firstLineChars="200"/>
        <w:rPr>
          <w:rFonts w:hint="eastAsia" w:ascii="宋体" w:hAnsi="宋体" w:eastAsia="宋体" w:cs="宋体"/>
          <w:color w:val="auto"/>
          <w:spacing w:val="0"/>
          <w:sz w:val="24"/>
          <w:szCs w:val="24"/>
          <w:highlight w:val="none"/>
          <w:lang w:val="en-US" w:eastAsia="zh-CN"/>
        </w:rPr>
      </w:pPr>
    </w:p>
    <w:p w14:paraId="3733C2AA">
      <w:pPr>
        <w:pageBreakBefore w:val="0"/>
        <w:numPr>
          <w:ilvl w:val="0"/>
          <w:numId w:val="0"/>
        </w:numPr>
        <w:shd w:val="clear"/>
        <w:kinsoku/>
        <w:wordWrap/>
        <w:overflowPunct/>
        <w:topLinePunct w:val="0"/>
        <w:autoSpaceDE/>
        <w:autoSpaceDN/>
        <w:bidi w:val="0"/>
        <w:snapToGrid w:val="0"/>
        <w:spacing w:line="300" w:lineRule="auto"/>
        <w:ind w:firstLine="482" w:firstLineChars="200"/>
        <w:jc w:val="center"/>
        <w:rPr>
          <w:rFonts w:hint="eastAsia" w:ascii="宋体" w:hAnsi="宋体" w:eastAsia="宋体" w:cs="宋体"/>
          <w:b/>
          <w:bCs/>
          <w:i w:val="0"/>
          <w:iCs w:val="0"/>
          <w:color w:val="auto"/>
          <w:spacing w:val="0"/>
          <w:sz w:val="24"/>
          <w:szCs w:val="24"/>
          <w:highlight w:val="none"/>
          <w:lang w:val="en-US" w:eastAsia="zh-CN"/>
        </w:rPr>
      </w:pPr>
      <w:r>
        <w:rPr>
          <w:rFonts w:hint="eastAsia" w:ascii="宋体" w:hAnsi="宋体" w:eastAsia="宋体" w:cs="宋体"/>
          <w:b/>
          <w:bCs/>
          <w:i w:val="0"/>
          <w:iCs w:val="0"/>
          <w:color w:val="auto"/>
          <w:spacing w:val="0"/>
          <w:sz w:val="24"/>
          <w:szCs w:val="24"/>
          <w:highlight w:val="none"/>
          <w:lang w:val="en-US" w:eastAsia="zh-CN"/>
        </w:rPr>
        <w:t>（四）其他要求</w:t>
      </w:r>
    </w:p>
    <w:p w14:paraId="46B6E54D">
      <w:pPr>
        <w:pStyle w:val="8"/>
        <w:pageBreakBefore w:val="0"/>
        <w:shd w:val="clear"/>
        <w:kinsoku/>
        <w:wordWrap/>
        <w:overflowPunct/>
        <w:topLinePunct w:val="0"/>
        <w:bidi w:val="0"/>
        <w:snapToGrid w:val="0"/>
        <w:spacing w:line="300" w:lineRule="auto"/>
        <w:ind w:firstLine="480" w:firstLineChars="20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1、关于参考品牌：本项目推荐的设备及材料品牌为参考范围，投标人所投产品品牌可在上述品牌范围内选择一种，或选择“同档次及以上”品牌。</w:t>
      </w:r>
    </w:p>
    <w:p w14:paraId="23B1461A">
      <w:pPr>
        <w:pStyle w:val="8"/>
        <w:pageBreakBefore w:val="0"/>
        <w:shd w:val="clear"/>
        <w:kinsoku/>
        <w:wordWrap/>
        <w:overflowPunct/>
        <w:topLinePunct w:val="0"/>
        <w:bidi w:val="0"/>
        <w:snapToGrid w:val="0"/>
        <w:spacing w:line="300" w:lineRule="auto"/>
        <w:ind w:firstLine="480" w:firstLineChars="200"/>
        <w:rPr>
          <w:rFonts w:hint="eastAsia" w:ascii="宋体" w:hAnsi="宋体" w:eastAsia="宋体" w:cs="宋体"/>
          <w:b w:val="0"/>
          <w:color w:val="auto"/>
          <w:sz w:val="24"/>
          <w:szCs w:val="24"/>
          <w:highlight w:val="none"/>
          <w:shd w:val="clear"/>
          <w:lang w:val="en-US"/>
        </w:rPr>
      </w:pPr>
      <w:r>
        <w:rPr>
          <w:rFonts w:hint="eastAsia" w:ascii="宋体" w:hAnsi="宋体" w:eastAsia="宋体" w:cs="宋体"/>
          <w:b w:val="0"/>
          <w:color w:val="auto"/>
          <w:sz w:val="24"/>
          <w:szCs w:val="24"/>
          <w:highlight w:val="none"/>
          <w:shd w:val="clear"/>
          <w:lang w:val="en-US" w:eastAsia="zh-CN"/>
        </w:rPr>
        <w:t>2、若本项目</w:t>
      </w:r>
      <w:r>
        <w:rPr>
          <w:rFonts w:hint="eastAsia" w:ascii="宋体" w:hAnsi="宋体" w:eastAsia="宋体" w:cs="宋体"/>
          <w:b w:val="0"/>
          <w:color w:val="auto"/>
          <w:sz w:val="24"/>
          <w:szCs w:val="24"/>
          <w:highlight w:val="none"/>
          <w:shd w:val="clear"/>
          <w:lang w:val="en-US"/>
        </w:rPr>
        <w:t>部分机房第一次投入使用的时间较长，</w:t>
      </w:r>
      <w:r>
        <w:rPr>
          <w:rFonts w:hint="eastAsia" w:ascii="宋体" w:hAnsi="宋体" w:eastAsia="宋体" w:cs="宋体"/>
          <w:b w:val="0"/>
          <w:color w:val="auto"/>
          <w:sz w:val="24"/>
          <w:szCs w:val="24"/>
          <w:highlight w:val="none"/>
          <w:shd w:val="clear"/>
          <w:lang w:val="en-US" w:eastAsia="zh-CN"/>
        </w:rPr>
        <w:t>则中标方</w:t>
      </w:r>
      <w:r>
        <w:rPr>
          <w:rFonts w:hint="eastAsia" w:ascii="宋体" w:hAnsi="宋体" w:eastAsia="宋体" w:cs="宋体"/>
          <w:b w:val="0"/>
          <w:color w:val="auto"/>
          <w:sz w:val="24"/>
          <w:szCs w:val="24"/>
          <w:highlight w:val="none"/>
          <w:shd w:val="clear"/>
          <w:lang w:val="en-US"/>
        </w:rPr>
        <w:t>需在机房内设备第一次安装时提供必要的协助，费用自行考虑</w:t>
      </w:r>
      <w:r>
        <w:rPr>
          <w:rFonts w:hint="eastAsia" w:ascii="宋体" w:hAnsi="宋体" w:eastAsia="宋体" w:cs="宋体"/>
          <w:b w:val="0"/>
          <w:color w:val="auto"/>
          <w:sz w:val="24"/>
          <w:szCs w:val="24"/>
          <w:highlight w:val="none"/>
          <w:shd w:val="clear"/>
          <w:lang w:val="en-US" w:eastAsia="zh-CN"/>
        </w:rPr>
        <w:t>在投标报价中</w:t>
      </w:r>
      <w:r>
        <w:rPr>
          <w:rFonts w:hint="eastAsia" w:ascii="宋体" w:hAnsi="宋体" w:eastAsia="宋体" w:cs="宋体"/>
          <w:b w:val="0"/>
          <w:color w:val="auto"/>
          <w:sz w:val="24"/>
          <w:szCs w:val="24"/>
          <w:highlight w:val="none"/>
          <w:shd w:val="clear"/>
          <w:lang w:val="en-US"/>
        </w:rPr>
        <w:t>。</w:t>
      </w:r>
    </w:p>
    <w:p w14:paraId="6B9AA869">
      <w:pPr>
        <w:pStyle w:val="8"/>
        <w:pageBreakBefore w:val="0"/>
        <w:shd w:val="clear"/>
        <w:kinsoku/>
        <w:wordWrap/>
        <w:overflowPunct/>
        <w:topLinePunct w:val="0"/>
        <w:bidi w:val="0"/>
        <w:snapToGrid w:val="0"/>
        <w:spacing w:line="300" w:lineRule="auto"/>
        <w:ind w:firstLine="480" w:firstLineChars="20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3、本项目招标项目汇总表。</w:t>
      </w:r>
    </w:p>
    <w:tbl>
      <w:tblPr>
        <w:tblStyle w:val="27"/>
        <w:tblW w:w="510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937"/>
        <w:gridCol w:w="3164"/>
      </w:tblGrid>
      <w:tr w14:paraId="4BAD8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2480A08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4EDC393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单项工程名称</w:t>
            </w:r>
          </w:p>
        </w:tc>
      </w:tr>
      <w:tr w14:paraId="60113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6EC7F615">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71161717">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净化专项</w:t>
            </w:r>
          </w:p>
        </w:tc>
      </w:tr>
      <w:tr w14:paraId="184AC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2DEB462F">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2DB6ADC2">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装饰装修工程</w:t>
            </w:r>
          </w:p>
        </w:tc>
      </w:tr>
      <w:tr w14:paraId="2BE42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5FDF9B45">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0829038B">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空调暖通工程</w:t>
            </w:r>
          </w:p>
        </w:tc>
      </w:tr>
      <w:tr w14:paraId="78462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3FC38CAA">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0417BBC5">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强电工程</w:t>
            </w:r>
          </w:p>
        </w:tc>
      </w:tr>
      <w:tr w14:paraId="1C9F7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76E4BF6B">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0664BF19">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弱电工程</w:t>
            </w:r>
          </w:p>
        </w:tc>
      </w:tr>
      <w:tr w14:paraId="028AC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0282562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05988DA9">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医用气体工程</w:t>
            </w:r>
          </w:p>
        </w:tc>
      </w:tr>
      <w:tr w14:paraId="3FF28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6A672E26">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2C347BC4">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给排水工程</w:t>
            </w:r>
          </w:p>
        </w:tc>
      </w:tr>
      <w:tr w14:paraId="3126C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auto"/>
            <w:vAlign w:val="center"/>
          </w:tcPr>
          <w:p w14:paraId="04BEF630">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3164" w:type="dxa"/>
            <w:tcBorders>
              <w:top w:val="single" w:color="auto" w:sz="4" w:space="0"/>
              <w:left w:val="single" w:color="auto" w:sz="4" w:space="0"/>
              <w:bottom w:val="single" w:color="auto" w:sz="4" w:space="0"/>
              <w:right w:val="single" w:color="auto" w:sz="4" w:space="0"/>
            </w:tcBorders>
            <w:shd w:val="clear" w:color="auto" w:fill="auto"/>
            <w:vAlign w:val="center"/>
          </w:tcPr>
          <w:p w14:paraId="153E977C">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抗震支架</w:t>
            </w:r>
          </w:p>
        </w:tc>
      </w:tr>
      <w:tr w14:paraId="01F34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FFFFFF"/>
            <w:vAlign w:val="center"/>
          </w:tcPr>
          <w:p w14:paraId="0FB0A81E">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sz w:val="24"/>
                <w:szCs w:val="24"/>
                <w:highlight w:val="none"/>
                <w:u w:val="none"/>
                <w:lang w:bidi="ar"/>
              </w:rPr>
            </w:pPr>
            <w:r>
              <w:rPr>
                <w:rFonts w:hint="eastAsia" w:ascii="宋体" w:hAnsi="宋体" w:eastAsia="宋体" w:cs="宋体"/>
                <w:b/>
                <w:bCs/>
                <w:i w:val="0"/>
                <w:iCs w:val="0"/>
                <w:color w:val="auto"/>
                <w:kern w:val="2"/>
                <w:sz w:val="24"/>
                <w:szCs w:val="24"/>
                <w:highlight w:val="none"/>
                <w:u w:val="none"/>
                <w:lang w:val="en-US" w:eastAsia="zh-CN" w:bidi="ar"/>
              </w:rPr>
              <w:t>2</w:t>
            </w:r>
          </w:p>
        </w:tc>
        <w:tc>
          <w:tcPr>
            <w:tcW w:w="3164" w:type="dxa"/>
            <w:tcBorders>
              <w:top w:val="single" w:color="auto" w:sz="4" w:space="0"/>
              <w:left w:val="single" w:color="auto" w:sz="4" w:space="0"/>
              <w:bottom w:val="single" w:color="auto" w:sz="4" w:space="0"/>
              <w:right w:val="single" w:color="auto" w:sz="4" w:space="0"/>
            </w:tcBorders>
            <w:shd w:val="clear" w:color="auto" w:fill="FFFFFF"/>
            <w:vAlign w:val="center"/>
          </w:tcPr>
          <w:p w14:paraId="50F3B0DD">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b/>
                <w:bCs/>
                <w:i w:val="0"/>
                <w:iCs w:val="0"/>
                <w:color w:val="auto"/>
                <w:kern w:val="0"/>
                <w:sz w:val="24"/>
                <w:szCs w:val="24"/>
                <w:highlight w:val="none"/>
                <w:u w:val="none"/>
                <w:lang w:bidi="ar"/>
              </w:rPr>
            </w:pPr>
            <w:r>
              <w:rPr>
                <w:rFonts w:hint="eastAsia" w:ascii="宋体" w:hAnsi="宋体" w:eastAsia="宋体" w:cs="宋体"/>
                <w:b/>
                <w:bCs/>
                <w:i w:val="0"/>
                <w:iCs w:val="0"/>
                <w:color w:val="auto"/>
                <w:kern w:val="0"/>
                <w:sz w:val="24"/>
                <w:szCs w:val="24"/>
                <w:highlight w:val="none"/>
                <w:u w:val="none"/>
                <w:lang w:val="en-US" w:eastAsia="zh-CN" w:bidi="ar"/>
              </w:rPr>
              <w:t>实验室专项</w:t>
            </w:r>
          </w:p>
        </w:tc>
      </w:tr>
      <w:tr w14:paraId="58C72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FFFFFF"/>
            <w:vAlign w:val="center"/>
          </w:tcPr>
          <w:p w14:paraId="321AD309">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kern w:val="2"/>
                <w:sz w:val="24"/>
                <w:szCs w:val="24"/>
                <w:highlight w:val="none"/>
                <w:u w:val="none"/>
                <w:lang w:val="en-US" w:eastAsia="zh-CN" w:bidi="ar"/>
              </w:rPr>
              <w:t>2.1</w:t>
            </w:r>
          </w:p>
        </w:tc>
        <w:tc>
          <w:tcPr>
            <w:tcW w:w="3164" w:type="dxa"/>
            <w:tcBorders>
              <w:top w:val="single" w:color="auto" w:sz="4" w:space="0"/>
              <w:left w:val="single" w:color="auto" w:sz="4" w:space="0"/>
              <w:bottom w:val="single" w:color="auto" w:sz="4" w:space="0"/>
              <w:right w:val="single" w:color="auto" w:sz="4" w:space="0"/>
            </w:tcBorders>
            <w:shd w:val="clear" w:color="auto" w:fill="FFFFFF"/>
            <w:vAlign w:val="center"/>
          </w:tcPr>
          <w:p w14:paraId="43AB6EF5">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kern w:val="0"/>
                <w:sz w:val="24"/>
                <w:szCs w:val="24"/>
                <w:highlight w:val="none"/>
                <w:u w:val="none"/>
                <w:lang w:bidi="ar"/>
              </w:rPr>
            </w:pPr>
            <w:r>
              <w:rPr>
                <w:rFonts w:hint="eastAsia" w:ascii="宋体" w:hAnsi="宋体" w:eastAsia="宋体" w:cs="宋体"/>
                <w:i w:val="0"/>
                <w:iCs w:val="0"/>
                <w:color w:val="auto"/>
                <w:kern w:val="0"/>
                <w:sz w:val="24"/>
                <w:szCs w:val="24"/>
                <w:highlight w:val="none"/>
                <w:u w:val="none"/>
                <w:lang w:val="en-US" w:eastAsia="zh-CN" w:bidi="ar"/>
              </w:rPr>
              <w:t>装饰工程</w:t>
            </w:r>
          </w:p>
        </w:tc>
      </w:tr>
      <w:tr w14:paraId="4F5A3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FFFFFF"/>
            <w:vAlign w:val="center"/>
          </w:tcPr>
          <w:p w14:paraId="0A964ABF">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kern w:val="2"/>
                <w:sz w:val="24"/>
                <w:szCs w:val="24"/>
                <w:highlight w:val="none"/>
                <w:u w:val="none"/>
                <w:lang w:val="en-US" w:eastAsia="zh-CN" w:bidi="ar"/>
              </w:rPr>
              <w:t>2.2</w:t>
            </w:r>
          </w:p>
        </w:tc>
        <w:tc>
          <w:tcPr>
            <w:tcW w:w="3164" w:type="dxa"/>
            <w:tcBorders>
              <w:top w:val="single" w:color="auto" w:sz="4" w:space="0"/>
              <w:left w:val="single" w:color="auto" w:sz="4" w:space="0"/>
              <w:bottom w:val="single" w:color="auto" w:sz="4" w:space="0"/>
              <w:right w:val="single" w:color="auto" w:sz="4" w:space="0"/>
            </w:tcBorders>
            <w:shd w:val="clear" w:color="auto" w:fill="FFFFFF"/>
            <w:vAlign w:val="center"/>
          </w:tcPr>
          <w:p w14:paraId="13E770C7">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kern w:val="0"/>
                <w:sz w:val="24"/>
                <w:szCs w:val="24"/>
                <w:highlight w:val="none"/>
                <w:u w:val="none"/>
                <w:lang w:bidi="ar"/>
              </w:rPr>
            </w:pPr>
            <w:r>
              <w:rPr>
                <w:rFonts w:hint="eastAsia" w:ascii="宋体" w:hAnsi="宋体" w:eastAsia="宋体" w:cs="宋体"/>
                <w:i w:val="0"/>
                <w:iCs w:val="0"/>
                <w:color w:val="auto"/>
                <w:kern w:val="0"/>
                <w:sz w:val="24"/>
                <w:szCs w:val="24"/>
                <w:highlight w:val="none"/>
                <w:u w:val="none"/>
                <w:lang w:val="en-US" w:eastAsia="zh-CN" w:bidi="ar"/>
              </w:rPr>
              <w:t>暖通工程</w:t>
            </w:r>
          </w:p>
        </w:tc>
      </w:tr>
      <w:tr w14:paraId="1A491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FFFFFF"/>
            <w:vAlign w:val="center"/>
          </w:tcPr>
          <w:p w14:paraId="2BD20AD5">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kern w:val="2"/>
                <w:sz w:val="24"/>
                <w:szCs w:val="24"/>
                <w:highlight w:val="none"/>
                <w:u w:val="none"/>
                <w:lang w:val="en-US" w:eastAsia="zh-CN" w:bidi="ar"/>
              </w:rPr>
              <w:t>2.3</w:t>
            </w:r>
          </w:p>
        </w:tc>
        <w:tc>
          <w:tcPr>
            <w:tcW w:w="3164" w:type="dxa"/>
            <w:tcBorders>
              <w:top w:val="single" w:color="auto" w:sz="4" w:space="0"/>
              <w:left w:val="single" w:color="auto" w:sz="4" w:space="0"/>
              <w:bottom w:val="single" w:color="auto" w:sz="4" w:space="0"/>
              <w:right w:val="single" w:color="auto" w:sz="4" w:space="0"/>
            </w:tcBorders>
            <w:shd w:val="clear" w:color="auto" w:fill="FFFFFF"/>
            <w:vAlign w:val="center"/>
          </w:tcPr>
          <w:p w14:paraId="668A1BF2">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kern w:val="0"/>
                <w:sz w:val="24"/>
                <w:szCs w:val="24"/>
                <w:highlight w:val="none"/>
                <w:u w:val="none"/>
                <w:lang w:bidi="ar"/>
              </w:rPr>
            </w:pPr>
            <w:r>
              <w:rPr>
                <w:rFonts w:hint="eastAsia" w:ascii="宋体" w:hAnsi="宋体" w:eastAsia="宋体" w:cs="宋体"/>
                <w:i w:val="0"/>
                <w:iCs w:val="0"/>
                <w:color w:val="auto"/>
                <w:kern w:val="0"/>
                <w:sz w:val="24"/>
                <w:szCs w:val="24"/>
                <w:highlight w:val="none"/>
                <w:u w:val="none"/>
                <w:lang w:val="en-US" w:eastAsia="zh-CN" w:bidi="ar"/>
              </w:rPr>
              <w:t>电气工程</w:t>
            </w:r>
          </w:p>
        </w:tc>
      </w:tr>
      <w:tr w14:paraId="484BC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FFFFFF"/>
            <w:vAlign w:val="center"/>
          </w:tcPr>
          <w:p w14:paraId="14D599C3">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kern w:val="2"/>
                <w:sz w:val="24"/>
                <w:szCs w:val="24"/>
                <w:highlight w:val="none"/>
                <w:u w:val="none"/>
                <w:lang w:val="en-US" w:eastAsia="zh-CN" w:bidi="ar"/>
              </w:rPr>
              <w:t>2.4</w:t>
            </w:r>
          </w:p>
        </w:tc>
        <w:tc>
          <w:tcPr>
            <w:tcW w:w="3164" w:type="dxa"/>
            <w:tcBorders>
              <w:top w:val="single" w:color="auto" w:sz="4" w:space="0"/>
              <w:left w:val="single" w:color="auto" w:sz="4" w:space="0"/>
              <w:bottom w:val="single" w:color="auto" w:sz="4" w:space="0"/>
              <w:right w:val="single" w:color="auto" w:sz="4" w:space="0"/>
            </w:tcBorders>
            <w:shd w:val="clear" w:color="auto" w:fill="FFFFFF"/>
            <w:vAlign w:val="center"/>
          </w:tcPr>
          <w:p w14:paraId="1B8261F3">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kern w:val="0"/>
                <w:sz w:val="24"/>
                <w:szCs w:val="24"/>
                <w:highlight w:val="none"/>
                <w:u w:val="none"/>
                <w:lang w:bidi="ar"/>
              </w:rPr>
            </w:pPr>
            <w:r>
              <w:rPr>
                <w:rFonts w:hint="eastAsia" w:ascii="宋体" w:hAnsi="宋体" w:eastAsia="宋体" w:cs="宋体"/>
                <w:i w:val="0"/>
                <w:iCs w:val="0"/>
                <w:color w:val="auto"/>
                <w:kern w:val="0"/>
                <w:sz w:val="24"/>
                <w:szCs w:val="24"/>
                <w:highlight w:val="none"/>
                <w:u w:val="none"/>
                <w:lang w:val="en-US" w:eastAsia="zh-CN" w:bidi="ar"/>
              </w:rPr>
              <w:t>给排水工程</w:t>
            </w:r>
          </w:p>
        </w:tc>
      </w:tr>
      <w:tr w14:paraId="637FE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FFFFFF"/>
            <w:vAlign w:val="center"/>
          </w:tcPr>
          <w:p w14:paraId="16CF97ED">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kern w:val="2"/>
                <w:sz w:val="24"/>
                <w:szCs w:val="24"/>
                <w:highlight w:val="none"/>
                <w:u w:val="none"/>
                <w:lang w:val="en-US" w:eastAsia="zh-CN" w:bidi="ar"/>
              </w:rPr>
              <w:t>2.5</w:t>
            </w:r>
          </w:p>
        </w:tc>
        <w:tc>
          <w:tcPr>
            <w:tcW w:w="3164" w:type="dxa"/>
            <w:tcBorders>
              <w:top w:val="single" w:color="auto" w:sz="4" w:space="0"/>
              <w:left w:val="single" w:color="auto" w:sz="4" w:space="0"/>
              <w:bottom w:val="single" w:color="auto" w:sz="4" w:space="0"/>
              <w:right w:val="single" w:color="auto" w:sz="4" w:space="0"/>
            </w:tcBorders>
            <w:shd w:val="clear" w:color="auto" w:fill="FFFFFF"/>
            <w:vAlign w:val="center"/>
          </w:tcPr>
          <w:p w14:paraId="3BE6AD71">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i w:val="0"/>
                <w:iCs w:val="0"/>
                <w:color w:val="auto"/>
                <w:kern w:val="0"/>
                <w:sz w:val="24"/>
                <w:szCs w:val="24"/>
                <w:highlight w:val="none"/>
                <w:u w:val="none"/>
                <w:lang w:bidi="ar"/>
              </w:rPr>
            </w:pPr>
            <w:r>
              <w:rPr>
                <w:rFonts w:hint="eastAsia" w:ascii="宋体" w:hAnsi="宋体" w:eastAsia="宋体" w:cs="宋体"/>
                <w:i w:val="0"/>
                <w:iCs w:val="0"/>
                <w:color w:val="auto"/>
                <w:kern w:val="0"/>
                <w:sz w:val="24"/>
                <w:szCs w:val="24"/>
                <w:highlight w:val="none"/>
                <w:u w:val="none"/>
                <w:lang w:val="en-US" w:eastAsia="zh-CN" w:bidi="ar"/>
              </w:rPr>
              <w:t>实验室设备工程</w:t>
            </w:r>
          </w:p>
        </w:tc>
      </w:tr>
      <w:tr w14:paraId="0A03E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937" w:type="dxa"/>
            <w:tcBorders>
              <w:top w:val="single" w:color="auto" w:sz="4" w:space="0"/>
              <w:left w:val="single" w:color="auto" w:sz="4" w:space="0"/>
              <w:bottom w:val="single" w:color="auto" w:sz="4" w:space="0"/>
              <w:right w:val="single" w:color="auto" w:sz="4" w:space="0"/>
            </w:tcBorders>
            <w:shd w:val="clear" w:color="auto" w:fill="FFFFFF"/>
            <w:vAlign w:val="center"/>
          </w:tcPr>
          <w:p w14:paraId="344416F1">
            <w:pPr>
              <w:keepNext w:val="0"/>
              <w:keepLines w:val="0"/>
              <w:pageBreakBefore w:val="0"/>
              <w:widowControl/>
              <w:suppressLineNumbers w:val="0"/>
              <w:shd w:val="clear"/>
              <w:kinsoku/>
              <w:wordWrap/>
              <w:overflowPunct/>
              <w:topLinePunct w:val="0"/>
              <w:bidi w:val="0"/>
              <w:snapToGrid w:val="0"/>
              <w:spacing w:line="300" w:lineRule="auto"/>
              <w:jc w:val="center"/>
              <w:textAlignment w:val="center"/>
              <w:rPr>
                <w:rFonts w:hint="eastAsia" w:ascii="宋体" w:hAnsi="宋体" w:eastAsia="宋体" w:cs="宋体"/>
                <w:b/>
                <w:bCs/>
                <w:i w:val="0"/>
                <w:iCs w:val="0"/>
                <w:color w:val="auto"/>
                <w:kern w:val="2"/>
                <w:sz w:val="24"/>
                <w:szCs w:val="24"/>
                <w:highlight w:val="none"/>
                <w:u w:val="none"/>
                <w:lang w:val="en-US" w:eastAsia="zh-CN" w:bidi="ar"/>
              </w:rPr>
            </w:pPr>
            <w:r>
              <w:rPr>
                <w:rFonts w:hint="eastAsia" w:ascii="宋体" w:hAnsi="宋体" w:eastAsia="宋体" w:cs="宋体"/>
                <w:b/>
                <w:bCs/>
                <w:i w:val="0"/>
                <w:iCs w:val="0"/>
                <w:color w:val="auto"/>
                <w:kern w:val="2"/>
                <w:sz w:val="24"/>
                <w:szCs w:val="24"/>
                <w:highlight w:val="none"/>
                <w:u w:val="none"/>
                <w:lang w:val="en-US" w:eastAsia="zh-CN" w:bidi="ar"/>
              </w:rPr>
              <w:t>3</w:t>
            </w:r>
          </w:p>
        </w:tc>
        <w:tc>
          <w:tcPr>
            <w:tcW w:w="3164" w:type="dxa"/>
            <w:tcBorders>
              <w:top w:val="single" w:color="auto" w:sz="4" w:space="0"/>
              <w:left w:val="single" w:color="auto" w:sz="4" w:space="0"/>
              <w:bottom w:val="single" w:color="auto" w:sz="4" w:space="0"/>
              <w:right w:val="single" w:color="auto" w:sz="4" w:space="0"/>
            </w:tcBorders>
            <w:shd w:val="clear" w:color="auto" w:fill="FFFFFF"/>
            <w:vAlign w:val="center"/>
          </w:tcPr>
          <w:p w14:paraId="44800E24">
            <w:pPr>
              <w:keepNext w:val="0"/>
              <w:keepLines w:val="0"/>
              <w:pageBreakBefore w:val="0"/>
              <w:widowControl/>
              <w:suppressLineNumbers w:val="0"/>
              <w:shd w:val="clear"/>
              <w:kinsoku/>
              <w:wordWrap/>
              <w:overflowPunct/>
              <w:topLinePunct w:val="0"/>
              <w:bidi w:val="0"/>
              <w:snapToGrid w:val="0"/>
              <w:spacing w:line="300"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放射防护工程</w:t>
            </w:r>
          </w:p>
        </w:tc>
      </w:tr>
    </w:tbl>
    <w:p w14:paraId="616CA942">
      <w:pPr>
        <w:rPr>
          <w:rFonts w:hint="eastAsia"/>
          <w:color w:val="auto"/>
          <w:highlight w:val="none"/>
          <w:lang w:val="en-US" w:eastAsia="zh-CN"/>
        </w:rPr>
        <w:sectPr>
          <w:footerReference r:id="rId15" w:type="default"/>
          <w:pgSz w:w="11907" w:h="16840"/>
          <w:pgMar w:top="1418" w:right="1559" w:bottom="1418" w:left="1474" w:header="0" w:footer="723" w:gutter="0"/>
          <w:cols w:space="720" w:num="1"/>
        </w:sectPr>
      </w:pPr>
    </w:p>
    <w:p w14:paraId="0CDA63CE">
      <w:pPr>
        <w:rPr>
          <w:rFonts w:hint="eastAsia"/>
          <w:color w:val="auto"/>
          <w:highlight w:val="none"/>
          <w:lang w:val="en-US" w:eastAsia="zh-CN"/>
        </w:rPr>
      </w:pPr>
    </w:p>
    <w:p w14:paraId="15A4D4C9">
      <w:pPr>
        <w:numPr>
          <w:ilvl w:val="0"/>
          <w:numId w:val="6"/>
        </w:numPr>
        <w:spacing w:before="318" w:line="225" w:lineRule="auto"/>
        <w:jc w:val="both"/>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招标工程量清单明细</w:t>
      </w:r>
    </w:p>
    <w:p w14:paraId="64C40C54">
      <w:pPr>
        <w:pStyle w:val="9"/>
        <w:rPr>
          <w:rFonts w:hint="default"/>
          <w:color w:val="auto"/>
          <w:sz w:val="24"/>
          <w:szCs w:val="32"/>
          <w:highlight w:val="none"/>
          <w:lang w:val="en-US" w:eastAsia="zh-CN"/>
        </w:rPr>
      </w:pPr>
      <w:r>
        <w:rPr>
          <w:rFonts w:hint="eastAsia"/>
          <w:color w:val="auto"/>
          <w:sz w:val="24"/>
          <w:szCs w:val="32"/>
          <w:highlight w:val="none"/>
          <w:lang w:val="en-US" w:eastAsia="zh-CN"/>
        </w:rPr>
        <w:t>注：本清单中的设备参数均为最低配置要求，允许优于此配置参与投标。</w:t>
      </w: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0"/>
        <w:gridCol w:w="1923"/>
        <w:gridCol w:w="9183"/>
        <w:gridCol w:w="896"/>
        <w:gridCol w:w="1428"/>
      </w:tblGrid>
      <w:tr w14:paraId="544B1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000" w:type="pct"/>
            <w:gridSpan w:val="5"/>
            <w:tcBorders>
              <w:top w:val="nil"/>
              <w:left w:val="nil"/>
              <w:bottom w:val="nil"/>
              <w:right w:val="nil"/>
            </w:tcBorders>
            <w:shd w:val="clear" w:color="auto" w:fill="FFFFFF"/>
            <w:vAlign w:val="center"/>
          </w:tcPr>
          <w:p w14:paraId="2CA8E139">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snapToGrid w:val="0"/>
                <w:color w:val="000000"/>
                <w:kern w:val="0"/>
                <w:sz w:val="40"/>
                <w:szCs w:val="40"/>
                <w:highlight w:val="none"/>
                <w:u w:val="none"/>
                <w:lang w:val="en-US" w:eastAsia="zh-CN" w:bidi="ar"/>
              </w:rPr>
              <w:t>1.1装饰装修工程</w:t>
            </w:r>
          </w:p>
        </w:tc>
      </w:tr>
      <w:tr w14:paraId="3FC8D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1D0D2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序号</w:t>
            </w:r>
          </w:p>
        </w:tc>
        <w:tc>
          <w:tcPr>
            <w:tcW w:w="67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D4180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项目名称</w:t>
            </w:r>
          </w:p>
        </w:tc>
        <w:tc>
          <w:tcPr>
            <w:tcW w:w="3229"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EB0C0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项目特征</w:t>
            </w:r>
          </w:p>
        </w:tc>
        <w:tc>
          <w:tcPr>
            <w:tcW w:w="31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3ED5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计量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单位</w:t>
            </w:r>
          </w:p>
        </w:tc>
        <w:tc>
          <w:tcPr>
            <w:tcW w:w="498"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2ACFB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工程量</w:t>
            </w:r>
          </w:p>
        </w:tc>
      </w:tr>
      <w:tr w14:paraId="645ED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7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F95417">
            <w:pPr>
              <w:jc w:val="center"/>
              <w:rPr>
                <w:rFonts w:hint="eastAsia" w:ascii="宋体" w:hAnsi="宋体" w:eastAsia="宋体" w:cs="宋体"/>
                <w:i w:val="0"/>
                <w:iCs w:val="0"/>
                <w:color w:val="000000"/>
                <w:sz w:val="18"/>
                <w:szCs w:val="18"/>
                <w:highlight w:val="none"/>
                <w:u w:val="none"/>
              </w:rPr>
            </w:pPr>
          </w:p>
        </w:tc>
        <w:tc>
          <w:tcPr>
            <w:tcW w:w="67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0D24CC">
            <w:pPr>
              <w:jc w:val="center"/>
              <w:rPr>
                <w:rFonts w:hint="eastAsia" w:ascii="宋体" w:hAnsi="宋体" w:eastAsia="宋体" w:cs="宋体"/>
                <w:i w:val="0"/>
                <w:iCs w:val="0"/>
                <w:color w:val="000000"/>
                <w:sz w:val="18"/>
                <w:szCs w:val="18"/>
                <w:highlight w:val="none"/>
                <w:u w:val="none"/>
              </w:rPr>
            </w:pPr>
          </w:p>
        </w:tc>
        <w:tc>
          <w:tcPr>
            <w:tcW w:w="322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3416E7">
            <w:pPr>
              <w:jc w:val="center"/>
              <w:rPr>
                <w:rFonts w:hint="eastAsia" w:ascii="宋体" w:hAnsi="宋体" w:eastAsia="宋体" w:cs="宋体"/>
                <w:i w:val="0"/>
                <w:iCs w:val="0"/>
                <w:color w:val="000000"/>
                <w:sz w:val="18"/>
                <w:szCs w:val="18"/>
                <w:highlight w:val="none"/>
                <w:u w:val="none"/>
              </w:rPr>
            </w:pP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D781DD">
            <w:pPr>
              <w:jc w:val="center"/>
              <w:rPr>
                <w:rFonts w:hint="eastAsia" w:ascii="宋体" w:hAnsi="宋体" w:eastAsia="宋体" w:cs="宋体"/>
                <w:i w:val="0"/>
                <w:iCs w:val="0"/>
                <w:color w:val="000000"/>
                <w:sz w:val="18"/>
                <w:szCs w:val="18"/>
                <w:highlight w:val="none"/>
                <w:u w:val="none"/>
              </w:rPr>
            </w:pPr>
          </w:p>
        </w:tc>
        <w:tc>
          <w:tcPr>
            <w:tcW w:w="49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B17BFC">
            <w:pPr>
              <w:jc w:val="center"/>
              <w:rPr>
                <w:rFonts w:hint="eastAsia" w:ascii="宋体" w:hAnsi="宋体" w:eastAsia="宋体" w:cs="宋体"/>
                <w:i w:val="0"/>
                <w:iCs w:val="0"/>
                <w:color w:val="000000"/>
                <w:sz w:val="18"/>
                <w:szCs w:val="18"/>
                <w:highlight w:val="none"/>
                <w:u w:val="none"/>
              </w:rPr>
            </w:pPr>
          </w:p>
        </w:tc>
      </w:tr>
      <w:tr w14:paraId="42DF5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DE6C428">
            <w:pPr>
              <w:jc w:val="center"/>
              <w:rPr>
                <w:rFonts w:hint="eastAsia" w:ascii="宋体" w:hAnsi="宋体" w:eastAsia="宋体" w:cs="宋体"/>
                <w:i w:val="0"/>
                <w:iCs w:val="0"/>
                <w:color w:val="000000"/>
                <w:sz w:val="18"/>
                <w:szCs w:val="18"/>
                <w:highlight w:val="none"/>
                <w:u w:val="none"/>
              </w:rPr>
            </w:pPr>
          </w:p>
        </w:tc>
        <w:tc>
          <w:tcPr>
            <w:tcW w:w="67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FD3084">
            <w:pPr>
              <w:jc w:val="center"/>
              <w:rPr>
                <w:rFonts w:hint="eastAsia" w:ascii="宋体" w:hAnsi="宋体" w:eastAsia="宋体" w:cs="宋体"/>
                <w:i w:val="0"/>
                <w:iCs w:val="0"/>
                <w:color w:val="000000"/>
                <w:sz w:val="18"/>
                <w:szCs w:val="18"/>
                <w:highlight w:val="none"/>
                <w:u w:val="none"/>
              </w:rPr>
            </w:pPr>
          </w:p>
        </w:tc>
        <w:tc>
          <w:tcPr>
            <w:tcW w:w="322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78E6E8">
            <w:pPr>
              <w:jc w:val="center"/>
              <w:rPr>
                <w:rFonts w:hint="eastAsia" w:ascii="宋体" w:hAnsi="宋体" w:eastAsia="宋体" w:cs="宋体"/>
                <w:i w:val="0"/>
                <w:iCs w:val="0"/>
                <w:color w:val="000000"/>
                <w:sz w:val="18"/>
                <w:szCs w:val="18"/>
                <w:highlight w:val="none"/>
                <w:u w:val="none"/>
              </w:rPr>
            </w:pPr>
          </w:p>
        </w:tc>
        <w:tc>
          <w:tcPr>
            <w:tcW w:w="31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E2C82A">
            <w:pPr>
              <w:jc w:val="center"/>
              <w:rPr>
                <w:rFonts w:hint="eastAsia" w:ascii="宋体" w:hAnsi="宋体" w:eastAsia="宋体" w:cs="宋体"/>
                <w:i w:val="0"/>
                <w:iCs w:val="0"/>
                <w:color w:val="000000"/>
                <w:sz w:val="18"/>
                <w:szCs w:val="18"/>
                <w:highlight w:val="none"/>
                <w:u w:val="none"/>
              </w:rPr>
            </w:pPr>
          </w:p>
        </w:tc>
        <w:tc>
          <w:tcPr>
            <w:tcW w:w="49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094040">
            <w:pPr>
              <w:jc w:val="center"/>
              <w:rPr>
                <w:rFonts w:hint="eastAsia" w:ascii="宋体" w:hAnsi="宋体" w:eastAsia="宋体" w:cs="宋体"/>
                <w:i w:val="0"/>
                <w:iCs w:val="0"/>
                <w:color w:val="000000"/>
                <w:sz w:val="18"/>
                <w:szCs w:val="18"/>
                <w:highlight w:val="none"/>
                <w:u w:val="none"/>
              </w:rPr>
            </w:pPr>
          </w:p>
        </w:tc>
      </w:tr>
      <w:tr w14:paraId="32951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552D27">
            <w:pPr>
              <w:jc w:val="center"/>
              <w:rPr>
                <w:rFonts w:hint="eastAsia" w:ascii="宋体" w:hAnsi="宋体" w:eastAsia="宋体" w:cs="宋体"/>
                <w:i w:val="0"/>
                <w:iCs w:val="0"/>
                <w:color w:val="000000"/>
                <w:sz w:val="18"/>
                <w:szCs w:val="18"/>
                <w:highlight w:val="none"/>
                <w:u w:val="none"/>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69573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二层供应室</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74F4E0">
            <w:pPr>
              <w:jc w:val="left"/>
              <w:rPr>
                <w:rFonts w:hint="eastAsia" w:ascii="宋体" w:hAnsi="宋体" w:eastAsia="宋体" w:cs="宋体"/>
                <w:i w:val="0"/>
                <w:iCs w:val="0"/>
                <w:color w:val="000000"/>
                <w:sz w:val="18"/>
                <w:szCs w:val="18"/>
                <w:highlight w:val="none"/>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ECDCA6">
            <w:pPr>
              <w:jc w:val="center"/>
              <w:rPr>
                <w:rFonts w:hint="eastAsia" w:ascii="宋体" w:hAnsi="宋体" w:eastAsia="宋体" w:cs="宋体"/>
                <w:i w:val="0"/>
                <w:iCs w:val="0"/>
                <w:color w:val="000000"/>
                <w:sz w:val="18"/>
                <w:szCs w:val="18"/>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9387C0">
            <w:pPr>
              <w:jc w:val="right"/>
              <w:rPr>
                <w:rFonts w:hint="eastAsia" w:ascii="宋体" w:hAnsi="宋体" w:eastAsia="宋体" w:cs="宋体"/>
                <w:i w:val="0"/>
                <w:iCs w:val="0"/>
                <w:color w:val="000000"/>
                <w:sz w:val="18"/>
                <w:szCs w:val="18"/>
                <w:highlight w:val="none"/>
                <w:u w:val="none"/>
              </w:rPr>
            </w:pPr>
          </w:p>
        </w:tc>
      </w:tr>
      <w:tr w14:paraId="38C93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3B2914">
            <w:pPr>
              <w:jc w:val="center"/>
              <w:rPr>
                <w:rFonts w:hint="eastAsia" w:ascii="宋体" w:hAnsi="宋体" w:eastAsia="宋体" w:cs="宋体"/>
                <w:i w:val="0"/>
                <w:iCs w:val="0"/>
                <w:color w:val="000000"/>
                <w:sz w:val="18"/>
                <w:szCs w:val="18"/>
                <w:highlight w:val="none"/>
                <w:u w:val="none"/>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EDFD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地面工程</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1CDA90">
            <w:pPr>
              <w:jc w:val="left"/>
              <w:rPr>
                <w:rFonts w:hint="eastAsia" w:ascii="宋体" w:hAnsi="宋体" w:eastAsia="宋体" w:cs="宋体"/>
                <w:i w:val="0"/>
                <w:iCs w:val="0"/>
                <w:color w:val="000000"/>
                <w:sz w:val="18"/>
                <w:szCs w:val="18"/>
                <w:highlight w:val="none"/>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5189A8">
            <w:pPr>
              <w:jc w:val="center"/>
              <w:rPr>
                <w:rFonts w:hint="eastAsia" w:ascii="宋体" w:hAnsi="宋体" w:eastAsia="宋体" w:cs="宋体"/>
                <w:i w:val="0"/>
                <w:iCs w:val="0"/>
                <w:color w:val="000000"/>
                <w:sz w:val="18"/>
                <w:szCs w:val="18"/>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A8354E">
            <w:pPr>
              <w:jc w:val="right"/>
              <w:rPr>
                <w:rFonts w:hint="eastAsia" w:ascii="宋体" w:hAnsi="宋体" w:eastAsia="宋体" w:cs="宋体"/>
                <w:i w:val="0"/>
                <w:iCs w:val="0"/>
                <w:color w:val="000000"/>
                <w:sz w:val="18"/>
                <w:szCs w:val="18"/>
                <w:highlight w:val="none"/>
                <w:u w:val="none"/>
              </w:rPr>
            </w:pPr>
          </w:p>
        </w:tc>
      </w:tr>
      <w:tr w14:paraId="13376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5FD4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A53B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块料楼地面</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65643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300*300防滑地砖（湿区）: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1、10厚300*300防滑地砖面层,DTG砂浆擦缝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2、30厚DS M15砂浆（1：3干硬性水泥砂浆）结合层，表面撒水泥粉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3、防水层（2厚聚氨酯防水层）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5、界面剂1道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6、现浇钢筋混凝土楼板或预制楼板现浇叠合层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4A5C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6F193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8.58 </w:t>
            </w:r>
          </w:p>
        </w:tc>
      </w:tr>
      <w:tr w14:paraId="31AED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FBD5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078B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块料楼地面</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E991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600*600防滑地砖（湿区）: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1、10厚600*600防滑地砖面层,DTG砂浆擦缝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2、30厚DS M15砂浆（1：3干硬性水泥砂浆）结合层，表面撒水泥粉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3、防水层（2厚聚氨酯防水层）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5、界面剂1道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6、现浇钢筋混凝土楼板或预制楼板现浇叠合层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9842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0573E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95.96 </w:t>
            </w:r>
          </w:p>
        </w:tc>
      </w:tr>
      <w:tr w14:paraId="76408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E987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10E7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块料楼地面</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B56C7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800*800防滑地砖（湿区）: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1、10厚800*800防滑地砖面层,DTG砂浆擦缝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2、30厚DS M15砂浆（1：3干硬性水泥砂浆）结合层，表面撒水泥粉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3、防水层（2厚聚氨酯防水层）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5、界面剂1道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6、现浇钢筋混凝土楼板或预制楼板现浇叠合层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B291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94CE6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86.47 </w:t>
            </w:r>
          </w:p>
        </w:tc>
      </w:tr>
      <w:tr w14:paraId="485FF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8EEC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FBB2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块料楼地面</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365F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防滑地砖</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1、10厚600*600地砖面层,DTG砂浆擦缝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2、30厚DS M15砂浆（1：3干硬性水泥砂浆）结合层，表面撒水泥粉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3、界面剂1道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4、现浇钢筋混凝土楼板或预制楼板现浇叠合层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E908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1D7D9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78.16 </w:t>
            </w:r>
          </w:p>
        </w:tc>
      </w:tr>
      <w:tr w14:paraId="37004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0E4C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14268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石材零星项目</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85CA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石材门樘板：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1、20厚大理石门槛石面层，含磨边、倒角，切割、排版、六面刷防护剂处理，晶面处理、成品保护等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2、30厚DSM15砂浆(1:3干硬性水泥砂浆)结合层,表面撒水泥粉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3、防水隔离层(2厚聚氨酯防水层)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5、界面剂1道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6、现浇钢筋混凝土楼板或预制楼板现浇叠合层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AAF5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561F3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5.36 </w:t>
            </w:r>
          </w:p>
        </w:tc>
      </w:tr>
      <w:tr w14:paraId="4CE80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FC1C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06D8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1AD30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水泥砂浆防水地面：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1、20厚DS M20砂浆（1：2.5水泥砂浆）面层，表面撒适量水泥粉抹压平整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2、35厚C20细石混凝土保护层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3、防水隔离层（2厚聚氨酯防水层）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5、界面剂1道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ECE7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8EBE7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43.87 </w:t>
            </w:r>
          </w:p>
        </w:tc>
      </w:tr>
      <w:tr w14:paraId="57F9C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EDD2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8AFB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PVC胶地板卷材</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9427C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PVC胶地板卷材：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1、2厚PVC地材,卷材面层缝隙焊缝密闭处理,打蜡出光；（卷宽≥2.0m；环保：28天后TVOC释放量≤5微克，不含甲醛 不含苯不含19项有害重金属；防火：通过GB8624、EN13501基本防火等级B1级测试；洁净认证：通过ISO 14644-5级认证；抗菌防霉：通过ISO 0846及ASTM G21抗菌测试；产品柔韧性≤20mm；产品防滑性能等级Bd；耐磨等级T级；残余凹陷值≤0.03mm）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2、专用胶粘剂粘铺,接缝处及四周边用专用滚轮压实(基层与地板背面同时涂胶)；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3、3厚自流平；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4、吸收性界面处理剂；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5、C20细石混凝土找平层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B1A7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D144C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446.97 </w:t>
            </w:r>
          </w:p>
        </w:tc>
      </w:tr>
      <w:tr w14:paraId="12794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64E7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B5056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卷材踢脚线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E397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2.0mmPVC卷材踢脚：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1、2厚100高PVC卷材踢脚，专用胶粘剂粘贴,铝合金装饰条；（卷宽≥2.0m；环保：28天后TVOC释放量≤5微克，不含甲醛 不含苯不含19项有害重金属；防火：通过GB8624、EN13501基本防火等级B1级测试；洁净认证：通过ISO 14644-5级认证；抗菌防霉：通过ISO 0846及ASTM G21抗菌测试；产品柔韧性≤20mm；产品防滑性能等级Bd；耐磨等级T级；残余凹陷值≤0.03mm）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2、1：2.5水泥砂浆20厚，压实抹光，墙角抹圆角R40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3、刷素水泥浆一道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23EC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2AFA7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268.45 </w:t>
            </w:r>
          </w:p>
        </w:tc>
      </w:tr>
      <w:tr w14:paraId="79A59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9210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D153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块料踢脚线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F952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瓷砖踢脚线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1、10厚地砖踢脚,稀水泥浆擦缝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2、9厚1:2水泥砂浆粘结层(内参建筑胶)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3、界面剂一道(甩前用水喷湿墙面)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4、基层墙体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3F32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FBEBA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14.43 </w:t>
            </w:r>
          </w:p>
        </w:tc>
      </w:tr>
      <w:tr w14:paraId="45128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ED16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9449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EEF18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卫生间地面抬高，具体详见图纸做法</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1E4F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BCEEA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6.89 </w:t>
            </w:r>
          </w:p>
        </w:tc>
      </w:tr>
      <w:tr w14:paraId="18D06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D961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7CE2C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地砖排水沟</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9F75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地砖排水沟300*300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1、金属排水箅子,排水沟两侧角钢等预埋铁预埋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2、10厚铺600*600地砖，稀水泥浆擦缝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3、6厚建筑胶水泥砂浆结合层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4、35厚C25混凝土随打随抹</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5、2厚涂膜聚氨酯防水层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6、20厚1:3水泥砂浆找平层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7、150厚C10混凝土</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排水沟内需做0.5%的纵向找坡,沟内最浅处不得小于150mm。具体做法详见图纸</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A008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2CB50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10.50 </w:t>
            </w:r>
          </w:p>
        </w:tc>
      </w:tr>
      <w:tr w14:paraId="3421B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626C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5AAF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垫层</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558B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陶粒混凝土回填，容重10KN/m3</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9269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8ED06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179.62 </w:t>
            </w:r>
          </w:p>
        </w:tc>
      </w:tr>
      <w:tr w14:paraId="1AE76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B3FB42">
            <w:pPr>
              <w:jc w:val="center"/>
              <w:rPr>
                <w:rFonts w:hint="eastAsia" w:ascii="宋体" w:hAnsi="宋体" w:eastAsia="宋体" w:cs="宋体"/>
                <w:i w:val="0"/>
                <w:iCs w:val="0"/>
                <w:color w:val="000000"/>
                <w:sz w:val="18"/>
                <w:szCs w:val="18"/>
                <w:highlight w:val="none"/>
                <w:u w:val="none"/>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B8344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墙面工程</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21B8F5">
            <w:pPr>
              <w:jc w:val="left"/>
              <w:rPr>
                <w:rFonts w:hint="eastAsia" w:ascii="宋体" w:hAnsi="宋体" w:eastAsia="宋体" w:cs="宋体"/>
                <w:i w:val="0"/>
                <w:iCs w:val="0"/>
                <w:color w:val="000000"/>
                <w:sz w:val="18"/>
                <w:szCs w:val="18"/>
                <w:highlight w:val="none"/>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307EE5">
            <w:pPr>
              <w:jc w:val="center"/>
              <w:rPr>
                <w:rFonts w:hint="eastAsia" w:ascii="宋体" w:hAnsi="宋体" w:eastAsia="宋体" w:cs="宋体"/>
                <w:i w:val="0"/>
                <w:iCs w:val="0"/>
                <w:color w:val="000000"/>
                <w:sz w:val="18"/>
                <w:szCs w:val="18"/>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97EBEF">
            <w:pPr>
              <w:jc w:val="right"/>
              <w:rPr>
                <w:rFonts w:hint="eastAsia" w:ascii="宋体" w:hAnsi="宋体" w:eastAsia="宋体" w:cs="宋体"/>
                <w:i w:val="0"/>
                <w:iCs w:val="0"/>
                <w:color w:val="000000"/>
                <w:sz w:val="18"/>
                <w:szCs w:val="18"/>
                <w:highlight w:val="none"/>
                <w:u w:val="none"/>
              </w:rPr>
            </w:pPr>
          </w:p>
        </w:tc>
      </w:tr>
      <w:tr w14:paraId="44BF2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570E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13F7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F98C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1、8mm硅酸钙板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2、75型钢龙骨，壁厚0.8，龙骨间距400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3、土建墙体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91DE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06FE6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205.87 </w:t>
            </w:r>
          </w:p>
        </w:tc>
      </w:tr>
      <w:tr w14:paraId="07D68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57E2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7AF18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7CC7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1、8mm硅酸钙板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2、75型钢龙骨，壁厚0.8，龙骨间距300，龙骨内填50厚,100kg/m3岩棉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3、8mm硅酸钙板</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446B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72C67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346.22 </w:t>
            </w:r>
          </w:p>
        </w:tc>
      </w:tr>
      <w:tr w14:paraId="7A37E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30C6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D4BFF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74B0C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1、2*8mm硅酸钙板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2、75型钢龙骨，壁厚0.8，龙骨间距300，龙骨内填50厚,100kg/m3岩棉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3、2*8mm硅酸钙板</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4738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00834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138.49 </w:t>
            </w:r>
          </w:p>
        </w:tc>
      </w:tr>
      <w:tr w14:paraId="380D8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3FF3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654C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墙面装饰板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0990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抗菌医疗板墙面：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1.6mm厚抗菌医疗板，3宽硅胶拼缝(阴阳角处配套圆弧型材)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2.双面胶水粘贴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3.板缝处刮腻子找平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4.基层墙体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0781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EB846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593.75 </w:t>
            </w:r>
          </w:p>
        </w:tc>
      </w:tr>
      <w:tr w14:paraId="71E11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EF83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1C198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抹灰面油漆</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33E9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抗菌涂料墙面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1.无机抗菌涂料（一底两面）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2.3厚耐水腻子分2遍刮平</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0487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249B3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593.48 </w:t>
            </w:r>
          </w:p>
        </w:tc>
      </w:tr>
      <w:tr w14:paraId="74E9E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7615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1455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墙面一般抹灰</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9C95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抗菌涂料墙面（轻质墙）：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1.3厚底基防裂腻子分遍找平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2.防潮涂料两遍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3.板缝处贴50宽涂塑中碱玻璃纤维网格布一层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4.建筑墙体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8A1E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0E7AF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155.21 </w:t>
            </w:r>
          </w:p>
        </w:tc>
      </w:tr>
      <w:tr w14:paraId="6C627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BF2B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A8FA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块料墙面</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50769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瓷抛砖墙面：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1、300*600*10墙面砖，DTG砂浆勾缝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2.5厚DTA砂浆粘结层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4774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B17AC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474.79 </w:t>
            </w:r>
          </w:p>
        </w:tc>
      </w:tr>
      <w:tr w14:paraId="4B913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9B28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80F0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墙面涂膜防水</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7152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防水层（2厚聚氨酯防水层）（卫生间、淋浴间、污车洁车清洗间防水高度2000,盥洗池盆等用水处墙面防水高度1200mm,其他区域防水高度250mm）</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ABF2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1047D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154.23 </w:t>
            </w:r>
          </w:p>
        </w:tc>
      </w:tr>
      <w:tr w14:paraId="5D13C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5CBA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C070B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墙面装饰板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B614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1、1.2厚304不锈钢板面层，3宽硅胶拼缝</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0F19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6A877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186.94 </w:t>
            </w:r>
          </w:p>
        </w:tc>
      </w:tr>
      <w:tr w14:paraId="0E2BE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AC71C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6640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DD8A1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2、12厚防水石膏板，双面胶水粘结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3、钢结构龙骨（50*30*1.2镀锌方管）（内填充50mm,100kg/m³岩棉）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3、12厚防水石膏板</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492C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2616B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93.47 </w:t>
            </w:r>
          </w:p>
        </w:tc>
      </w:tr>
      <w:tr w14:paraId="4F659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2336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1B379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成品隔断</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D1BC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卫生间隔断</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12mm抗倍特板，含支撑脚和门铰链均为不锈钢型</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5804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162FE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25.48 </w:t>
            </w:r>
          </w:p>
        </w:tc>
      </w:tr>
      <w:tr w14:paraId="50670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D96191">
            <w:pPr>
              <w:jc w:val="center"/>
              <w:rPr>
                <w:rFonts w:hint="eastAsia" w:ascii="宋体" w:hAnsi="宋体" w:eastAsia="宋体" w:cs="宋体"/>
                <w:i w:val="0"/>
                <w:iCs w:val="0"/>
                <w:color w:val="000000"/>
                <w:sz w:val="18"/>
                <w:szCs w:val="18"/>
                <w:highlight w:val="none"/>
                <w:u w:val="none"/>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B673C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天棚工程</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2BF872">
            <w:pPr>
              <w:jc w:val="left"/>
              <w:rPr>
                <w:rFonts w:hint="eastAsia" w:ascii="宋体" w:hAnsi="宋体" w:eastAsia="宋体" w:cs="宋体"/>
                <w:i w:val="0"/>
                <w:iCs w:val="0"/>
                <w:color w:val="000000"/>
                <w:sz w:val="18"/>
                <w:szCs w:val="18"/>
                <w:highlight w:val="none"/>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291DDD">
            <w:pPr>
              <w:jc w:val="center"/>
              <w:rPr>
                <w:rFonts w:hint="eastAsia" w:ascii="宋体" w:hAnsi="宋体" w:eastAsia="宋体" w:cs="宋体"/>
                <w:i w:val="0"/>
                <w:iCs w:val="0"/>
                <w:color w:val="000000"/>
                <w:sz w:val="18"/>
                <w:szCs w:val="18"/>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1F46E6">
            <w:pPr>
              <w:jc w:val="right"/>
              <w:rPr>
                <w:rFonts w:hint="eastAsia" w:ascii="宋体" w:hAnsi="宋体" w:eastAsia="宋体" w:cs="宋体"/>
                <w:i w:val="0"/>
                <w:iCs w:val="0"/>
                <w:color w:val="000000"/>
                <w:sz w:val="18"/>
                <w:szCs w:val="18"/>
                <w:highlight w:val="none"/>
                <w:u w:val="none"/>
              </w:rPr>
            </w:pPr>
          </w:p>
        </w:tc>
      </w:tr>
      <w:tr w14:paraId="348AF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3544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5A0B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DB46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1200*600*6mm抗菌医疗吊顶：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1、面贴1200*600*6mm厚抗菌医疗板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2、6mm硅酸钙板打底,板材用自攻螺丝与龙骨固定,中距≤200,螺钉距板边长边≥10,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短边≥15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3、U型轻钢覆面横撑龙骨CB60x27,间距1200,用挂插件与次龙骨连结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4、U型轻钢覆面次龙骨CB60x27,间距400,用挂件与承载龙骨连结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5、U型轻钢承载龙骨CB60x27,中距≤1200,用吊件与钢筋吊杆联结后找平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6、Φ8钢筋吊杆,双向中距≤1200,吊杆上部与预留钢筋吊环固定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7、现浇混凝土板底预留Φ10钢筋吊环(钩),双向中距≤1200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8、吊顶开洞口、检修口制作安装费用等综合考虑到报价中做法及要求详见图纸,包含完成本项工作的全部内容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F4C4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DAAEF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302.83 </w:t>
            </w:r>
          </w:p>
        </w:tc>
      </w:tr>
      <w:tr w14:paraId="2F2DF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B266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F776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EF60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300*300*0.8厚铝扣板：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1、环保型中性瓷白色玻璃胶填缝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2、300*300*0.8厚铝合金扣板面层,嵌入安装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3、V型轻钢次龙骨,中距600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4、U型轻钢主龙骨38X12厚,中距≤1200将主龙骨放入主龙骨吊件内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5、采用38-1轻钢主龙骨吊件,找平后连接主龙骨与M8吊杆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6、M8吊杆,双向中距≤1200,用M8拉爆与钢筋混凝土板固定</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FFA8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552EE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8.58 </w:t>
            </w:r>
          </w:p>
        </w:tc>
      </w:tr>
      <w:tr w14:paraId="42138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8EA6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7908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34A17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600*600*0.8厚铝扣板：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1、环保型中性瓷白色玻璃胶填缝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2、600*600*0.8厚铝合金扣板面层,嵌入安装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3、V型轻钢次龙骨,中距600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4、U型轻钢主龙骨38X12厚,中距≤1200将主龙骨放入主龙骨吊件内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5、采用38-1轻钢主龙骨吊件,找平后连接主龙骨与M8吊杆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6、M8吊杆,双向中距≤1200,用M8拉爆与钢筋混凝土板固定</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9378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7318D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398.61 </w:t>
            </w:r>
          </w:p>
        </w:tc>
      </w:tr>
      <w:tr w14:paraId="072A2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A4AC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A63B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天棚喷刷涂料</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DDE5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1、大白浆饰面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2、2厚面层耐水腻子刮平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3、3厚基底防裂腻子分遍刮平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4、素水泥砂浆一道甩毛（内掺建筑胶）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5、高分子防水涂膜防潮层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6、8~10厚1：0.5：3水泥石灰膏砂浆分层抹平</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6FA6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9D1BD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41.17 </w:t>
            </w:r>
          </w:p>
        </w:tc>
      </w:tr>
      <w:tr w14:paraId="1B126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6D4E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C3F8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窗帘盒</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C9706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窗帘盒：200*H（高度根据现场综合考虑）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12mm细木工板（阻燃板）基层(防火涂料)，抗菌涂料面层，木方通等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具体做法详见图纸</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5160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668CF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29.90 </w:t>
            </w:r>
          </w:p>
        </w:tc>
      </w:tr>
      <w:tr w14:paraId="0C64B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7284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FA1D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AED2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天棚反支撑加固：吊杆在1.5米及以上区域，2.5#角钢反支撑加固，做法参见图纸</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6103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B0697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710.02 </w:t>
            </w:r>
          </w:p>
        </w:tc>
      </w:tr>
      <w:tr w14:paraId="63CAF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B4065C">
            <w:pPr>
              <w:jc w:val="center"/>
              <w:rPr>
                <w:rFonts w:hint="eastAsia" w:ascii="宋体" w:hAnsi="宋体" w:eastAsia="宋体" w:cs="宋体"/>
                <w:i w:val="0"/>
                <w:iCs w:val="0"/>
                <w:color w:val="000000"/>
                <w:sz w:val="18"/>
                <w:szCs w:val="18"/>
                <w:highlight w:val="none"/>
                <w:u w:val="none"/>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E187F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门窗工程</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98E686">
            <w:pPr>
              <w:jc w:val="left"/>
              <w:rPr>
                <w:rFonts w:hint="eastAsia" w:ascii="宋体" w:hAnsi="宋体" w:eastAsia="宋体" w:cs="宋体"/>
                <w:i w:val="0"/>
                <w:iCs w:val="0"/>
                <w:color w:val="000000"/>
                <w:sz w:val="18"/>
                <w:szCs w:val="18"/>
                <w:highlight w:val="none"/>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6FF6DC">
            <w:pPr>
              <w:jc w:val="center"/>
              <w:rPr>
                <w:rFonts w:hint="eastAsia" w:ascii="宋体" w:hAnsi="宋体" w:eastAsia="宋体" w:cs="宋体"/>
                <w:i w:val="0"/>
                <w:iCs w:val="0"/>
                <w:color w:val="000000"/>
                <w:sz w:val="18"/>
                <w:szCs w:val="18"/>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E78F14">
            <w:pPr>
              <w:jc w:val="right"/>
              <w:rPr>
                <w:rFonts w:hint="eastAsia" w:ascii="宋体" w:hAnsi="宋体" w:eastAsia="宋体" w:cs="宋体"/>
                <w:i w:val="0"/>
                <w:iCs w:val="0"/>
                <w:color w:val="000000"/>
                <w:sz w:val="18"/>
                <w:szCs w:val="18"/>
                <w:highlight w:val="none"/>
                <w:u w:val="none"/>
              </w:rPr>
            </w:pPr>
          </w:p>
        </w:tc>
      </w:tr>
      <w:tr w14:paraId="272D1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3D68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5C46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75C5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医疗专用钢质门M0923：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1.材质：1.0mm厚钢板喷塑门体，铝合金门套，带视窗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 门尺寸：900*2300mm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3.含五金、门框、包边、闭门器、灌浆等所有相关工作内容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011C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C1108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3786F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BDF6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C1120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0925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医疗专用钢质门M1123：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1.材质：1.0mm厚钢板喷塑门体，铝合金门套，带视窗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 门尺寸：1100*2300mm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3.含五金、门框、包边、闭门器、灌浆等所有相关工作内容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BE98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001C2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21.00 </w:t>
            </w:r>
          </w:p>
        </w:tc>
      </w:tr>
      <w:tr w14:paraId="6A25C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518D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59E9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C876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医疗专用钢质门M1323：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1.材质：1.0mm厚钢板喷塑门体，铝合金门套，带视窗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 门尺寸：1300*2300mm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3.含五金、门框、包边、闭门器、灌浆等所有相关工作内容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AA6E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23AB8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350EB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CF3F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2FC6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CFB54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医疗专用钢质门M1523：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1.材质：1.0mm厚钢板喷塑门体，铝合金门套，带视窗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 门尺寸：1500*2300mm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3.含五金、门框、包边、闭门器、灌浆等所有相关工作内容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E840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FAA66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10.00 </w:t>
            </w:r>
          </w:p>
        </w:tc>
      </w:tr>
      <w:tr w14:paraId="13EF7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9650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7C0F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钢质防火门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E554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甲级钢质防火门FM甲1023：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1.门类型:成品甲级钢质防火门（颜色根据现场定）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3.门尺寸：1000*2300mm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4.具体做法详图纸及相应图集，饰面与装修保持一致风格</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EFCC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1A262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18BCB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7596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EBB4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钢质防火门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DA80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甲级钢质防火门FM甲1523：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1.门类型:成品甲级钢质防火门（颜色根据现场定）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3.门尺寸：1500*2300mm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4.具体做法详图纸及相应图集，饰面与装修保持一致风格</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C09D9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19736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3.00 </w:t>
            </w:r>
          </w:p>
        </w:tc>
      </w:tr>
      <w:tr w14:paraId="3734F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2772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9F223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钢质防火门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5D41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乙级钢质防火门FM乙1123：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1.门类型:成品乙级钢质防火门（颜色根据现场定）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3.门尺寸：1100*2300mm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4.具体做法详图纸及相应图集，饰面与装修保持一致风格</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707C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ABC31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5.00 </w:t>
            </w:r>
          </w:p>
        </w:tc>
      </w:tr>
      <w:tr w14:paraId="2828C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CB61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8D9D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传递窗</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19B70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SJC0915电动升降传递窗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1.规格：900*1500mm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2.材质：10厚钢化玻璃，不锈钢升降机构，钢质窗套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3.含五金、窗框、包边、灌浆等所有相关工作内容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5974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B4B44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106DD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7456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E571C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传递窗</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E0CA7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传递窗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外径尺寸：600×600× 600mm，1.2mm厚 304 不锈钢 材质，机械互锁，带紫外消毒灯</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3518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5FEF9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11.00 </w:t>
            </w:r>
          </w:p>
        </w:tc>
      </w:tr>
      <w:tr w14:paraId="05131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178C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298F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楼（地）面变形缝</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C6130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沉降缝处理（地面）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1、1.5mm医用不锈钢板封板；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2、40mm宽不锈钢压条，耐候胶；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3、10mm钢板衬板；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4、12#槽钢，橡胶条填充，1mm镀锌伸缩板；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5、整体宽度为沉降缝宽度+400。</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D424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8154C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27.00 </w:t>
            </w:r>
          </w:p>
        </w:tc>
      </w:tr>
      <w:tr w14:paraId="0FED3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8949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529DB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墙面变形缝</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6CE39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沉降缝处理（墙面）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1、1.5mm医用不锈钢板封板；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2、40mm宽不锈钢压条，耐候胶；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3、3mm冷板衬板（双层）；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4、整体宽度未沉降缝宽度+400。</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0FB4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BB11C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22.40 </w:t>
            </w:r>
          </w:p>
        </w:tc>
      </w:tr>
      <w:tr w14:paraId="2290B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E134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74E41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天棚变形缝</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3BFCC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沉降缝处理（顶面）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1、1.0mm镀锌伸缩板喷塑；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2、木条面刷防火涂料。</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65BF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0AF41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27.00 </w:t>
            </w:r>
          </w:p>
        </w:tc>
      </w:tr>
      <w:tr w14:paraId="3C6DF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83AD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42</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BA6D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石材窗台板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318D8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1、外窗位置</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2、20厚人造石成品窗台，瓷砖粘结剂，水泥砂浆找平层，石材磨边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CEFB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585C9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9.25 </w:t>
            </w:r>
          </w:p>
        </w:tc>
      </w:tr>
      <w:tr w14:paraId="25EE3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9A375F">
            <w:pPr>
              <w:jc w:val="center"/>
              <w:rPr>
                <w:rFonts w:hint="eastAsia" w:ascii="宋体" w:hAnsi="宋体" w:eastAsia="宋体" w:cs="宋体"/>
                <w:i w:val="0"/>
                <w:iCs w:val="0"/>
                <w:color w:val="000000"/>
                <w:sz w:val="18"/>
                <w:szCs w:val="18"/>
                <w:highlight w:val="none"/>
                <w:u w:val="none"/>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D8AC1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三层手术室</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4D6B48">
            <w:pPr>
              <w:jc w:val="left"/>
              <w:rPr>
                <w:rFonts w:hint="eastAsia" w:ascii="宋体" w:hAnsi="宋体" w:eastAsia="宋体" w:cs="宋体"/>
                <w:i w:val="0"/>
                <w:iCs w:val="0"/>
                <w:color w:val="000000"/>
                <w:sz w:val="18"/>
                <w:szCs w:val="18"/>
                <w:highlight w:val="none"/>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E15135">
            <w:pPr>
              <w:jc w:val="center"/>
              <w:rPr>
                <w:rFonts w:hint="eastAsia" w:ascii="宋体" w:hAnsi="宋体" w:eastAsia="宋体" w:cs="宋体"/>
                <w:i w:val="0"/>
                <w:iCs w:val="0"/>
                <w:color w:val="000000"/>
                <w:sz w:val="18"/>
                <w:szCs w:val="18"/>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B8B6C5">
            <w:pPr>
              <w:jc w:val="right"/>
              <w:rPr>
                <w:rFonts w:hint="eastAsia" w:ascii="宋体" w:hAnsi="宋体" w:eastAsia="宋体" w:cs="宋体"/>
                <w:i w:val="0"/>
                <w:iCs w:val="0"/>
                <w:color w:val="000000"/>
                <w:sz w:val="18"/>
                <w:szCs w:val="18"/>
                <w:highlight w:val="none"/>
                <w:u w:val="none"/>
              </w:rPr>
            </w:pPr>
          </w:p>
        </w:tc>
      </w:tr>
      <w:tr w14:paraId="6C181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D83132">
            <w:pPr>
              <w:jc w:val="center"/>
              <w:rPr>
                <w:rFonts w:hint="eastAsia" w:ascii="宋体" w:hAnsi="宋体" w:eastAsia="宋体" w:cs="宋体"/>
                <w:i w:val="0"/>
                <w:iCs w:val="0"/>
                <w:color w:val="000000"/>
                <w:sz w:val="18"/>
                <w:szCs w:val="18"/>
                <w:highlight w:val="none"/>
                <w:u w:val="none"/>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0B3B1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地面工程</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EA004F">
            <w:pPr>
              <w:jc w:val="left"/>
              <w:rPr>
                <w:rFonts w:hint="eastAsia" w:ascii="宋体" w:hAnsi="宋体" w:eastAsia="宋体" w:cs="宋体"/>
                <w:i w:val="0"/>
                <w:iCs w:val="0"/>
                <w:color w:val="000000"/>
                <w:sz w:val="18"/>
                <w:szCs w:val="18"/>
                <w:highlight w:val="none"/>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E4625D">
            <w:pPr>
              <w:jc w:val="center"/>
              <w:rPr>
                <w:rFonts w:hint="eastAsia" w:ascii="宋体" w:hAnsi="宋体" w:eastAsia="宋体" w:cs="宋体"/>
                <w:i w:val="0"/>
                <w:iCs w:val="0"/>
                <w:color w:val="000000"/>
                <w:sz w:val="18"/>
                <w:szCs w:val="18"/>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C6844D">
            <w:pPr>
              <w:jc w:val="right"/>
              <w:rPr>
                <w:rFonts w:hint="eastAsia" w:ascii="宋体" w:hAnsi="宋体" w:eastAsia="宋体" w:cs="宋体"/>
                <w:i w:val="0"/>
                <w:iCs w:val="0"/>
                <w:color w:val="000000"/>
                <w:sz w:val="18"/>
                <w:szCs w:val="18"/>
                <w:highlight w:val="none"/>
                <w:u w:val="none"/>
              </w:rPr>
            </w:pPr>
          </w:p>
        </w:tc>
      </w:tr>
      <w:tr w14:paraId="221F0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B945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43</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39A5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块料楼地面</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8883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600*600防滑地砖（湿区）: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1、10厚600*600防滑地砖面层,DTG砂浆擦缝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2、30厚DS M15砂浆（1：3干硬性水泥砂浆）结合层，表面撒水泥粉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3、防水层（2厚聚氨酯防水层）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5、界面剂1道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6、现浇钢筋混凝土楼板或预制楼板现浇叠合层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F3C0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EB60A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49.02 </w:t>
            </w:r>
          </w:p>
        </w:tc>
      </w:tr>
      <w:tr w14:paraId="0DA64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FF8E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44</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EE03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块料楼地面</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2865C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防滑地砖</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1、10厚600*600地砖面层,DTG砂浆擦缝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2、30厚DS M15砂浆（1：3干硬性水泥砂浆）结合层，表面撒水泥粉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3、界面剂1道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4、现浇钢筋混凝土楼板或预制楼板现浇叠合层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8A4A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91465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38.50 </w:t>
            </w:r>
          </w:p>
        </w:tc>
      </w:tr>
      <w:tr w14:paraId="31A2B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EE4C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45</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7843C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石材零星项目</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B446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石材门樘板：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1、20厚大理石门槛石面层，含磨边、倒角，切割、排版、六面刷防护剂处理，晶面处理、成品保护等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2、30厚DSM15砂浆(1:3干硬性水泥砂浆)结合层,表面撒水泥粉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3、防水隔离层(2厚聚氨酯防水层)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5、界面剂1道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6、现浇钢筋混凝土楼板或预制楼板现浇叠合层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DEAC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5911F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5.71 </w:t>
            </w:r>
          </w:p>
        </w:tc>
      </w:tr>
      <w:tr w14:paraId="75ADD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7D93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46</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F3ED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PVC胶地板卷材</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C7C80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PVC胶地板卷材：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1、2厚PVC地材,卷材面层缝隙焊缝密闭处理,打蜡出光；（卷宽≥2.0m；环保：28天后TVOC释放量≤5微克，不含甲醛 不含苯不含19项有害重金属；防火：通过GB8624、EN13501基本防火等级B1级测试；洁净认证：通过ISO 14644-5级认证；抗菌防霉：通过ISO 0846及ASTM G21抗菌测试；产品柔韧性≤20mm；产品防滑性能等级Bd；耐磨等级T级；残余凹陷值≤0.03mm）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2、专用胶粘剂粘铺,接缝处及四周边用专用滚轮压实(基层与地板背面同时涂胶)；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3、3厚自流平；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4、吸收性界面处理剂；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5、C20细石混凝土找平层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534A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6F81F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339.23 </w:t>
            </w:r>
          </w:p>
        </w:tc>
      </w:tr>
      <w:tr w14:paraId="1176C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4E382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9D4E7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橡胶地板卷材</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591E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橡胶地板卷材：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1、2厚橡胶地材,卷材面层缝隙焊缝密闭处理，打蜡出光;（卷宽≥2.0m；环保：28天后TVOC释放量≤5微克，不含甲醛 不含苯不含19项有害重金属；防火：通过GB8624、EN13501基本防火等级B1级测试；洁净认证：通过ISO 14644-5级认证；抗菌防霉：通过ISO 0846及ASTM G21抗菌测试；产品柔韧性≤20mm；产品防滑性能等级Bd；耐磨等级T级；残余凹陷值≤0.03mm）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2、专用胶粘剂粘铺，接缝处及四周边用专用滚轮压实（基层与地板背面同时涂胶）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3、3厚自流平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4、吸收性界面处理剂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5、10厚M10预拌砂浆保护层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6、C20细石混凝土找平层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7、钢筋混凝土楼板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做法及要求详见图纸，包含完成本项工作的全部内容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4D34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81387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81.33 </w:t>
            </w:r>
          </w:p>
        </w:tc>
      </w:tr>
      <w:tr w14:paraId="6C3DA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0AF3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48</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481A9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卷材踢脚线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07B8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2.0mmPVC卷材踢脚：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1、2厚100高PVC卷材踢脚，专用胶粘剂粘贴,铝合金装饰条;（卷宽≥2.0m；环保：28天后TVOC释放量≤5微克，不含甲醛 不含苯不含19项有害重金属；防火：通过GB8624、EN13501基本防火等级B1级测试；洁净认证：通过ISO 14644-5级认证；抗菌防霉：通过ISO 0846及ASTM G21抗菌测试；产品柔韧性≤20mm；产品防滑性能等级Bd；耐磨等级T级；残余凹陷值≤0.03mm）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2、1：2.5水泥砂浆20厚，压实抹光，墙角抹圆角R40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3、刷素水泥浆一道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AF34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0DB13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268.60 </w:t>
            </w:r>
          </w:p>
        </w:tc>
      </w:tr>
      <w:tr w14:paraId="0440C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2F0F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22F87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卷材踢脚线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7BCEE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2.0mm橡胶卷材踢脚：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1、2厚100高橡胶卷材踢脚，专用胶粘剂粘贴,铝合金装饰条;（卷宽≥2.0m；环保：28天后TVOC释放量≤5微克，不含甲醛 不含苯不含19项有害重金属；防火：通过GB8624、EN13501基本防火等级B1级测试；洁净认证：通过ISO 14644-5级认证；抗菌防霉：通过ISO 0846及ASTM G21抗菌测试；产品柔韧性≤20mm；产品防滑性能等级Bd；耐磨等级T级；残余凹陷值≤0.03mm）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2、1：2.5水泥砂浆20厚，压实抹光，墙角抹圆角R40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3、刷素水泥浆一道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AA05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C5E93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49.30 </w:t>
            </w:r>
          </w:p>
        </w:tc>
      </w:tr>
      <w:tr w14:paraId="0F42D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AC1A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8C49C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0FBE9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卫生间地面抬高，具体详见图纸做法</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9EB6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1F8C2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7.20 </w:t>
            </w:r>
          </w:p>
        </w:tc>
      </w:tr>
      <w:tr w14:paraId="6AFA7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29EB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CF0A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金属踢脚线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EEAB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不锈钢踢脚：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1、100高不锈钢踢脚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2、专用粘接剂粘接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3、基层墙体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482B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80A91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10.73 </w:t>
            </w:r>
          </w:p>
        </w:tc>
      </w:tr>
      <w:tr w14:paraId="08267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F1C7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CDEBE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防辐射楼地面</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769E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40厚硫酸钡水泥砂浆防辐射处理</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B27D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F5D4D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58.04 </w:t>
            </w:r>
          </w:p>
        </w:tc>
      </w:tr>
      <w:tr w14:paraId="66C69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D6B3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53</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5FB13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垫层</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45D3B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陶粒混凝土回填，容重10KN/m3</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E635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238F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39.49 </w:t>
            </w:r>
          </w:p>
        </w:tc>
      </w:tr>
      <w:tr w14:paraId="55E5E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562B53">
            <w:pPr>
              <w:jc w:val="center"/>
              <w:rPr>
                <w:rFonts w:hint="eastAsia" w:ascii="宋体" w:hAnsi="宋体" w:eastAsia="宋体" w:cs="宋体"/>
                <w:i w:val="0"/>
                <w:iCs w:val="0"/>
                <w:color w:val="000000"/>
                <w:sz w:val="18"/>
                <w:szCs w:val="18"/>
                <w:highlight w:val="none"/>
                <w:u w:val="none"/>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3A3A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墙面工程</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865903">
            <w:pPr>
              <w:jc w:val="left"/>
              <w:rPr>
                <w:rFonts w:hint="eastAsia" w:ascii="宋体" w:hAnsi="宋体" w:eastAsia="宋体" w:cs="宋体"/>
                <w:i w:val="0"/>
                <w:iCs w:val="0"/>
                <w:color w:val="000000"/>
                <w:sz w:val="18"/>
                <w:szCs w:val="18"/>
                <w:highlight w:val="none"/>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B95702">
            <w:pPr>
              <w:jc w:val="center"/>
              <w:rPr>
                <w:rFonts w:hint="eastAsia" w:ascii="宋体" w:hAnsi="宋体" w:eastAsia="宋体" w:cs="宋体"/>
                <w:i w:val="0"/>
                <w:iCs w:val="0"/>
                <w:color w:val="000000"/>
                <w:sz w:val="18"/>
                <w:szCs w:val="18"/>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F45799">
            <w:pPr>
              <w:jc w:val="right"/>
              <w:rPr>
                <w:rFonts w:hint="eastAsia" w:ascii="宋体" w:hAnsi="宋体" w:eastAsia="宋体" w:cs="宋体"/>
                <w:i w:val="0"/>
                <w:iCs w:val="0"/>
                <w:color w:val="000000"/>
                <w:sz w:val="18"/>
                <w:szCs w:val="18"/>
                <w:highlight w:val="none"/>
                <w:u w:val="none"/>
              </w:rPr>
            </w:pPr>
          </w:p>
        </w:tc>
      </w:tr>
      <w:tr w14:paraId="3D44D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5512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54</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2F53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322C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1、8mm硅酸钙板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2、75型钢龙骨，壁厚0.8，龙骨间距400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3、土建墙体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6EE9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E3EE6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329.58 </w:t>
            </w:r>
          </w:p>
        </w:tc>
      </w:tr>
      <w:tr w14:paraId="2D61F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71932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55</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38011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994D1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1、8mm硅酸钙板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2、75型钢龙骨，壁厚0.8，龙骨间距300，龙骨内填50厚,100kg/m3岩棉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3、8mm硅酸钙板</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D07B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9D39F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388.99 </w:t>
            </w:r>
          </w:p>
        </w:tc>
      </w:tr>
      <w:tr w14:paraId="1309E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8B35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56</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A1B38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BF3D1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1、2*8mm硅酸钙板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2、75型钢龙骨，壁厚0.8，龙骨间距300，龙骨内填50厚,100kg/m3岩棉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3、2*8mm硅酸钙板</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5CAF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F43A7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249.00 </w:t>
            </w:r>
          </w:p>
        </w:tc>
      </w:tr>
      <w:tr w14:paraId="7D3A2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BC2C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57</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FF3FE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墙面装饰板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85BE1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抗菌医疗板墙面：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1.6mm厚抗菌医疗板，3宽硅胶拼缝(阴阳角处配套圆弧型材)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2.双面胶水粘贴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3.板缝处刮腻子找平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4.基层墙体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9312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4F2FB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736.33 </w:t>
            </w:r>
          </w:p>
        </w:tc>
      </w:tr>
      <w:tr w14:paraId="134F0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A4D8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58</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CA14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抹灰面油漆</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11963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抗菌涂料墙面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1.白色无机抗菌涂料（一底两面）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2.3厚耐水腻子分2遍刮平</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17C3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64D82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290.84 </w:t>
            </w:r>
          </w:p>
        </w:tc>
      </w:tr>
      <w:tr w14:paraId="5B335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681E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59</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7616C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墙面一般抹灰</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A536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抗菌涂料墙面（轻质墙）：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1.3厚底基防裂腻子分遍找平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2.防潮涂料两遍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3.板缝处贴50宽涂塑中碱玻璃纤维网格布一层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4.建筑墙体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A939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323A5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162.58 </w:t>
            </w:r>
          </w:p>
        </w:tc>
      </w:tr>
      <w:tr w14:paraId="5C042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6E64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7826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块料墙面</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F3AF9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瓷抛砖墙面：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1、300*600*10墙面砖，DTG砂浆勾缝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2.5厚DTA砂浆粘结层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3543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15CE9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152.64 </w:t>
            </w:r>
          </w:p>
        </w:tc>
      </w:tr>
      <w:tr w14:paraId="35DA0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7401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61</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79D2C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墙面涂膜防水</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893B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防水层（2厚聚氨酯防水层）（卫生间、淋浴间、污车洁车清洗间防水高度2000,盥洗池盆等用水处墙面防水高度1200mm,其他区域防水高度250mm）</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586B2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68514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51.69 </w:t>
            </w:r>
          </w:p>
        </w:tc>
      </w:tr>
      <w:tr w14:paraId="10722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FA62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62</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0ADD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墙面装饰板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1DD9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电解钢板墙面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1、环保型密封胶填充板间拼缝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2、1.2厚电解钢板（钢板表面喷涂环保、抗菌涂料）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3、背贴12厚耐火纸面石膏板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4、钢结构主龙骨（50*30*1.2镀锌方管）,钢结构副龙骨（4号角钢）</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78C6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5B8D2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155.55 </w:t>
            </w:r>
          </w:p>
        </w:tc>
      </w:tr>
      <w:tr w14:paraId="29054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44CA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63</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C3C4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墙面装饰板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BCC5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墙体铅板防护</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1、4厚铅板铆接，连接处防护处理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2、钢结构龙骨（50*30*1.2镀锌方管,600@800）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注：该隔墙高度同建筑高度</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3EE2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6A88F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147.14 </w:t>
            </w:r>
          </w:p>
        </w:tc>
      </w:tr>
      <w:tr w14:paraId="2E2D8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B5BE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64</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F74A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成品隔断</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5942B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卫生间隔断</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12mm抗倍特板，含支撑脚和门铰链均为不锈钢型</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6E4D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EEDD6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20.37 </w:t>
            </w:r>
          </w:p>
        </w:tc>
      </w:tr>
      <w:tr w14:paraId="0B773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15240F">
            <w:pPr>
              <w:jc w:val="center"/>
              <w:rPr>
                <w:rFonts w:hint="eastAsia" w:ascii="宋体" w:hAnsi="宋体" w:eastAsia="宋体" w:cs="宋体"/>
                <w:i w:val="0"/>
                <w:iCs w:val="0"/>
                <w:color w:val="000000"/>
                <w:sz w:val="18"/>
                <w:szCs w:val="18"/>
                <w:highlight w:val="none"/>
                <w:u w:val="none"/>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2ABA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天棚工程</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54F0C2">
            <w:pPr>
              <w:jc w:val="left"/>
              <w:rPr>
                <w:rFonts w:hint="eastAsia" w:ascii="宋体" w:hAnsi="宋体" w:eastAsia="宋体" w:cs="宋体"/>
                <w:i w:val="0"/>
                <w:iCs w:val="0"/>
                <w:color w:val="000000"/>
                <w:sz w:val="18"/>
                <w:szCs w:val="18"/>
                <w:highlight w:val="none"/>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4F0343">
            <w:pPr>
              <w:jc w:val="center"/>
              <w:rPr>
                <w:rFonts w:hint="eastAsia" w:ascii="宋体" w:hAnsi="宋体" w:eastAsia="宋体" w:cs="宋体"/>
                <w:i w:val="0"/>
                <w:iCs w:val="0"/>
                <w:color w:val="000000"/>
                <w:sz w:val="18"/>
                <w:szCs w:val="18"/>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A855B0">
            <w:pPr>
              <w:jc w:val="right"/>
              <w:rPr>
                <w:rFonts w:hint="eastAsia" w:ascii="宋体" w:hAnsi="宋体" w:eastAsia="宋体" w:cs="宋体"/>
                <w:i w:val="0"/>
                <w:iCs w:val="0"/>
                <w:color w:val="000000"/>
                <w:sz w:val="18"/>
                <w:szCs w:val="18"/>
                <w:highlight w:val="none"/>
                <w:u w:val="none"/>
              </w:rPr>
            </w:pPr>
          </w:p>
        </w:tc>
      </w:tr>
      <w:tr w14:paraId="38CDE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5213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65</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96F9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F8634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1200*600*6mm抗菌医疗吊顶：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1、面贴1200*600*6mm厚抗菌医疗板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2、6mm硅酸钙板打底,板材用自攻螺丝与龙骨固定,中距≤200,螺钉距板边长边≥10,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短边≥15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3、U型轻钢覆面横撑龙骨CB60x27,间距1200,用挂插件与次龙骨连结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4、U型轻钢覆面次龙骨CB60x27,间距400,用挂件与承载龙骨连结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5、U型轻钢承载龙骨CB60x27,中距≤1200,用吊件与钢筋吊杆联结后找平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6、Φ8钢筋吊杆,双向中距≤1200,吊杆上部与预留钢筋吊环固定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7、现浇混凝土板底预留Φ10钢筋吊环(钩),双向中距≤1200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8、吊顶开洞口、检修口制作安装费用等综合考虑到报价中做法及要求详见图纸,包含完成本项工作的全部内容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20BE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9BC3C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290.94 </w:t>
            </w:r>
          </w:p>
        </w:tc>
      </w:tr>
      <w:tr w14:paraId="6EA0F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E1DC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66</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814E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5B4B8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电解钢板吊顶：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1、环保型密封胶填充板间拼缝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2、1.2厚电解钢板（钢板表面喷涂环保、抗菌涂料）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3、背贴9.5厚耐火纸面石膏板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4、钢结构主龙骨（50*30*1.2镀锌方管）,钢结构副龙骨（4号角钢）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5、采用10号吊杆、2.5号角与钢钢筋混凝土板固定。</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532E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07C9A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80.45 </w:t>
            </w:r>
          </w:p>
        </w:tc>
      </w:tr>
      <w:tr w14:paraId="11D6A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97A8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67</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4E2C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2381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600*600*0.8厚铝扣板：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1、环保型中性瓷白色玻璃胶填缝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2、600*600*0.8厚铝合金扣板面层,嵌入安装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3、V型轻钢次龙骨,中距600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4、U型轻钢主龙骨38X12厚,中距≤1200将主龙骨放入主龙骨吊件内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5、采用38-1轻钢主龙骨吊件,找平后连接主龙骨与M8吊杆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6、M8吊杆,双向中距≤1200,用M8拉爆与钢筋混凝土板固定</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173D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22D6A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132.05 </w:t>
            </w:r>
          </w:p>
        </w:tc>
      </w:tr>
      <w:tr w14:paraId="03AB1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E6BF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68</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F8B8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窗帘盒</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F64CD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窗帘盒：200*H（高度根据现场综合考虑）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12mm细木工板（阻燃板）基层(防火涂料)，抗菌涂料面层，木方通等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具体做法详见图纸</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2495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295BA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9.80 </w:t>
            </w:r>
          </w:p>
        </w:tc>
      </w:tr>
      <w:tr w14:paraId="2576A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4B1A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69</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C08D4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F5B0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天棚反支撑加固：吊杆在1.5米及以上区域，2.5#角钢反支撑加固，做法参见图纸</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D5A4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C989B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503.44 </w:t>
            </w:r>
          </w:p>
        </w:tc>
      </w:tr>
      <w:tr w14:paraId="4B879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A27D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70</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74A0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吊顶铅板防护</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7579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4mm铅板铺设于已完成钢骨架上表面</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7006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9B535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58.28 </w:t>
            </w:r>
          </w:p>
        </w:tc>
      </w:tr>
      <w:tr w14:paraId="6F5A0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1C0AB9">
            <w:pPr>
              <w:jc w:val="center"/>
              <w:rPr>
                <w:rFonts w:hint="eastAsia" w:ascii="宋体" w:hAnsi="宋体" w:eastAsia="宋体" w:cs="宋体"/>
                <w:i w:val="0"/>
                <w:iCs w:val="0"/>
                <w:color w:val="000000"/>
                <w:sz w:val="18"/>
                <w:szCs w:val="18"/>
                <w:highlight w:val="none"/>
                <w:u w:val="none"/>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0677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门窗工程</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5E64C4">
            <w:pPr>
              <w:jc w:val="left"/>
              <w:rPr>
                <w:rFonts w:hint="eastAsia" w:ascii="宋体" w:hAnsi="宋体" w:eastAsia="宋体" w:cs="宋体"/>
                <w:i w:val="0"/>
                <w:iCs w:val="0"/>
                <w:color w:val="000000"/>
                <w:sz w:val="18"/>
                <w:szCs w:val="18"/>
                <w:highlight w:val="none"/>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C29367">
            <w:pPr>
              <w:jc w:val="center"/>
              <w:rPr>
                <w:rFonts w:hint="eastAsia" w:ascii="宋体" w:hAnsi="宋体" w:eastAsia="宋体" w:cs="宋体"/>
                <w:i w:val="0"/>
                <w:iCs w:val="0"/>
                <w:color w:val="000000"/>
                <w:sz w:val="18"/>
                <w:szCs w:val="18"/>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85DAA5">
            <w:pPr>
              <w:jc w:val="right"/>
              <w:rPr>
                <w:rFonts w:hint="eastAsia" w:ascii="宋体" w:hAnsi="宋体" w:eastAsia="宋体" w:cs="宋体"/>
                <w:i w:val="0"/>
                <w:iCs w:val="0"/>
                <w:color w:val="000000"/>
                <w:sz w:val="18"/>
                <w:szCs w:val="18"/>
                <w:highlight w:val="none"/>
                <w:u w:val="none"/>
              </w:rPr>
            </w:pPr>
          </w:p>
        </w:tc>
      </w:tr>
      <w:tr w14:paraId="75B7F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86FD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71</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F3A54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AC23E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医疗专用钢质门M1023：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1.材质：1.0mm厚钢板喷塑门体，铝合金门套，带视窗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 门尺寸：1000*2300mm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3.含五金、门框、包边、闭门器、灌浆等所有相关工作内容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0B4E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E5E8F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15.00 </w:t>
            </w:r>
          </w:p>
        </w:tc>
      </w:tr>
      <w:tr w14:paraId="0E779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0861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72</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1489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382F8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医疗专用钢质门M1123：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1.材质：1.0mm厚钢板喷塑门体，铝合金门套，带视窗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 门尺寸：1100*2300mm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3.含五金、门框、包边、闭门器、灌浆等所有相关工作内容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AE1A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FEFC6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0BBE4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4B67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73</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BCAE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6A65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医疗专用钢质门M1523：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1.材质：1.0mm厚钢板喷塑门体，铝合金门套，带视窗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 门尺寸：1500*2300mm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3.含五金、门框、包边、闭门器、灌浆等所有相关工作内容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C4A0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F4D56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23C2A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D458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74</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5885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钢质防火门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5609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甲级钢质防火门FM甲1123：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1.门类型:成品甲级钢质防火门（颜色根据现场定）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3.门尺寸：1100*2300mm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4.具体做法详图纸及相应图集，饰面与装修保持一致风格</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85FB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76E35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53666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5BA8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75</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3291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钢质防火门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E013B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甲级钢质防火门FM甲1223：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1.门类型:成品甲级钢质防火门（颜色根据现场定）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3.门尺寸：1200*2300mm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4.具体做法详图纸及相应图集，饰面与装修保持一致风格</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31FC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7F15F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3F5BF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12FC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76</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D1A3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钢质防火门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C508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乙级钢质防火门FM乙1123：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1.门类型:成品乙级钢质防火门（颜色根据现场定）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3.门尺寸：1100*2300mm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4.具体做法详图纸及相应图集，饰面与装修保持一致风格</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20F3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74185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0C085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BFD9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77</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5CF8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钢质防火门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AA98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乙级钢质防火门FM乙1523：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1.门类型:成品乙级钢质防火门（颜色根据现场定）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3.门尺寸：1500*2300mm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4.具体做法详图纸及相应图集，饰面与装修保持一致风格</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4928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FFC12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7B14B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4033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78</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C530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19082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钢质电动单开平移门 4FHDTM1523：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1、材质：1.2mm厚不锈钢板门体，内衬4mm铅板，防辐射，带4Pb防护视窗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2、门洞尺寸1500*2300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3、门套材质：1.2mm厚304不锈钢板门套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品牌电机、控制器和机电梁，超静音设计，门体带密封胶条，门运行噪音≤48分贝；具备红外感应、手控、脚感三种开门装置，具备全开、半开功能。具备自由调整开门幅度、可调延时自动关门、遇障碍保持开启状态、障碍移除后自动回复运行的功能。开闭速度可以调节；断电时，可支持手动开启功能；火灾时自动开启，并处于开启状态，断电时能手动开启。</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32E4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EB062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1CE0C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5A5D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79</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971D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83D4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钢质单开平开门 4FHM1023：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1、材质：1.2mm厚不锈钢板门体，内衬4mm铅板，防辐射，带4Pb防护视窗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2、门洞尺寸1000*2300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3、门套材质：铝合金门套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4.其它包含如门锁、门吸、折页等所有五金件，门窗框四周的缝隙采用保温材料、嵌缝密封膏密封等全部工作内容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92DC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D148F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3.00 </w:t>
            </w:r>
          </w:p>
        </w:tc>
      </w:tr>
      <w:tr w14:paraId="66CC8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D37A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80</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FE591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5F51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钢质电动单开平移门 DTM1523：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1、材质：1.0mm厚钢板喷塑门体，带视窗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2、门洞尺寸1500*2300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3、门套材质：铝合金门套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品牌电机、控制器和机电梁，超静音设计，门体带密封胶条，门运行噪音≤48分贝；具备红外感应、手控、脚感三种开门装置，具备全开、半开功能。具备自由调整开门幅度、可调延时自动关门、遇障碍保持开启状态、障碍移除后自动回复运行的功能。开闭速度可以调节；断电时，可支持手动开启功能；火灾时自动开启，并处于开启状态，断电时能手动开启。</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0EC3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D499D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5.00 </w:t>
            </w:r>
          </w:p>
        </w:tc>
      </w:tr>
      <w:tr w14:paraId="10B5C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09D6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81</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E6B82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E31D4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钢质电动双开平移门 SDTM1523：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1、材质：1.0mm厚钢板喷塑门体，带视窗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2、门洞尺寸1500*2300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3、门套材质：铝合金门套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品牌电机、控制器和机电梁，超静音设计，门体带密封胶条，门运行噪音≤48分贝；具备红外感应、手控、脚感三种开门装置，具备全开、半开功能。具备自由调整开门幅度、可调延时自动关门、遇障碍保持开启状态、障碍移除后自动回复运行的功能。开闭速度可以调节；断电时，可支持手动开启功能；火灾时自动开启，并处于开启状态，断电时能手动开启。</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1C81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295E1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07BFC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AEF5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82</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7BE9D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D7CC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检修门JXM0612：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1、材质：方管骨架，阻燃板基层，无机预涂板饰面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2、门洞尺寸600*1200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3、门套材质：铝合金门套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4.其它包含如门锁、折页等所有五金件</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462A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BE9F8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7C60A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C691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83</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CE6E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观察窗</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F76BB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观察窗GCC2412,2400*1200mm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1、材质：10mm钢化玻璃</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2、窗套：1.2mm厚304不锈钢板窗套。</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CE3F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2B581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2.88 </w:t>
            </w:r>
          </w:p>
        </w:tc>
      </w:tr>
      <w:tr w14:paraId="5651D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E173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84</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342A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谈话窗</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714A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谈话窗THC1212,1200*1200mm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1、材质：10mm钢化玻璃</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2、窗套：1.2mm厚304不锈钢板窗套。</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B6F1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382E3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1.44 </w:t>
            </w:r>
          </w:p>
        </w:tc>
      </w:tr>
      <w:tr w14:paraId="34300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51EC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85</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B3E83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直线型输液导轨及吊架</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FD27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直线型输液导轨及吊架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1、直线型导轨，长度2.6m，配可升降挂钩4个。</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8BBC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51EC3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4EF26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0ECF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86</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D36B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直线型输液导轨及吊架</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9E3B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直线型输液导轨及吊架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1、直线型导轨，长度2.0m，配可升降挂钩4个。</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F382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37C57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67795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6562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87</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00F5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防辐射观察窗</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5C8E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防辐射观察窗4FHC1512,1500*1200mm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1、材质：4pb铅玻璃</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2、窗套：1.2mm厚304不锈钢板窗套。。</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A803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C750D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35DB5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504F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88</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F791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不锈钢传递窗PB1</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681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不锈钢传递窗PB1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1、尺寸：600*600*600mm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2、材质：箱体为1.2mm304不锈钢，门板为1.0mm304不锈钢，内胆为1.0mm201不锈钢，带紫外线杀菌灯；</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3、机械双门互锁；</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4、观察窗采用4mm厚钢化玻璃；</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5、预留暗埋电源线。</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7EB6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FE2C1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1010E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FD69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89</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32F8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石材窗台板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D0F1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1、外窗位置</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2、20厚人造石成品窗台板，瓷砖粘结剂，水泥砂浆找平层，石材磨边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2CD2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BD567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027D4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79333D">
            <w:pPr>
              <w:jc w:val="center"/>
              <w:rPr>
                <w:rFonts w:hint="eastAsia" w:ascii="宋体" w:hAnsi="宋体" w:eastAsia="宋体" w:cs="宋体"/>
                <w:i w:val="0"/>
                <w:iCs w:val="0"/>
                <w:color w:val="000000"/>
                <w:sz w:val="18"/>
                <w:szCs w:val="18"/>
                <w:highlight w:val="none"/>
                <w:u w:val="none"/>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9E3B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柜体</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9AD8BC">
            <w:pPr>
              <w:jc w:val="left"/>
              <w:rPr>
                <w:rFonts w:hint="eastAsia" w:ascii="宋体" w:hAnsi="宋体" w:eastAsia="宋体" w:cs="宋体"/>
                <w:i w:val="0"/>
                <w:iCs w:val="0"/>
                <w:color w:val="000000"/>
                <w:sz w:val="18"/>
                <w:szCs w:val="18"/>
                <w:highlight w:val="none"/>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B007A3">
            <w:pPr>
              <w:jc w:val="center"/>
              <w:rPr>
                <w:rFonts w:hint="eastAsia" w:ascii="宋体" w:hAnsi="宋体" w:eastAsia="宋体" w:cs="宋体"/>
                <w:i w:val="0"/>
                <w:iCs w:val="0"/>
                <w:color w:val="000000"/>
                <w:sz w:val="18"/>
                <w:szCs w:val="18"/>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A24043">
            <w:pPr>
              <w:jc w:val="right"/>
              <w:rPr>
                <w:rFonts w:hint="eastAsia" w:ascii="宋体" w:hAnsi="宋体" w:eastAsia="宋体" w:cs="宋体"/>
                <w:i w:val="0"/>
                <w:iCs w:val="0"/>
                <w:color w:val="000000"/>
                <w:sz w:val="18"/>
                <w:szCs w:val="18"/>
                <w:highlight w:val="none"/>
                <w:u w:val="none"/>
              </w:rPr>
            </w:pPr>
          </w:p>
        </w:tc>
      </w:tr>
      <w:tr w14:paraId="34DDC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43A6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463A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防撞带</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EE0F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防撞带</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1、洁净走廊、换车区安装1.2mm304不锈钢防撞带，宽度150</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ABC0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3726D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50.32 </w:t>
            </w:r>
          </w:p>
        </w:tc>
      </w:tr>
      <w:tr w14:paraId="30F4C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2607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91</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746A0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手术室多功能控制情报面板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4711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手术室多功能控制情报面板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1、尺寸：900Wx700Hx125D</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2、控制形式：微电脑表面触摸式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3、功能：含时钟、麻醉计时器和手术计时器、温湿度显示和设定、开关机、空调运行状态显示和故障报警、灯开关、过滤器报警、气体报警、音量调节等功能。</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3759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80FE8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5EAFA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89EB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92</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766B1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组合电源插座箱CZ1</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2B56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组合电源插座箱CZ1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1、尺寸：1200/900W*250H*100D</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2、材质：面框1.2厚304不锈钢拉丝板制,箱体1.0厚冷板粉末喷涂，翻边20mm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3、含4个220V10A插座，带底盒及面盖；2个接地端子，1个六类网络插孔。</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4、嵌入式暗装。</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9E1C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BB066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6.00 </w:t>
            </w:r>
          </w:p>
        </w:tc>
      </w:tr>
      <w:tr w14:paraId="58634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208A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93</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66C1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组合电源插座箱CZ2</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8EDA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组合电源插座箱CZ2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1、尺寸：900W*250H*100D</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2、材质：面框1.2厚304不锈钢拉丝板制,箱体1.0厚冷板粉末喷涂，翻边20mm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3、1个三相380V16A插座，3个220V10A插座，带底盒及面盖；2个接地端子，1个六类网络插孔。</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4、嵌入式暗装。</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B8B3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AEAC8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4413B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E5ED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94</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89F50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嵌入式麻醉柜</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E132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嵌入式麻醉柜</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1、尺寸：900W*1700H*400D</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2、门板喷涂,上部玻璃平开门,下部不锈钢平开门。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3、嵌入式安装,翻边20mm。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4、上部门:4mm厚钢化玻璃1.2厚304不锈钢包边</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外移门,带锁。</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5、下部门:1.0厚304双层不锈钢外开门,带锁。</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6、外框:1.2厚304不锈钢拉丝板制。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7、内本体:1.0厚201不锈钢制镜面板制,内置三层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8MM钢化玻璃托架,上下可调。</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B618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F7D8D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1E80A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30BD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95</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77A6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嵌入式器械柜</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7830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嵌入式器械柜</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1、尺寸：900W*1700H*400D</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2、门板喷涂,上部玻璃平开门,下部不锈钢平开门。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3、嵌入式安装,翻边20mm。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4、上部门:4mm厚钢化玻璃1.2厚304不锈钢包边</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外移门,带锁。</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5、下部门:1.0厚304双层不锈钢外开门,带锁。</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6、外框:1.2厚304不锈钢拉丝板制。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7、内本体:1.0厚201不锈钢制镜面板制,内置三层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8MM钢化玻璃托架,上下可调。</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14B3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DA1C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5DA48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6EA1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96</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A28F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嵌入式药品柜</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A143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嵌入式药品柜</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1、尺寸：900W*1700H*400D</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2、门板喷涂,上部玻璃平开门,下部不锈钢平开门,中间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两抽屉。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3、嵌入式安装,翻边20mm。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4、上部门:4mm厚钢化玻璃1.2厚304不锈钢包边外</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移门,带锁。</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5、下部门:1.0厚304双层不锈钢外开门,带锁。</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6、外框:1.2厚304不锈钢拉丝板制。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7、内本体:1.0厚201不锈钢制镜面板制,内置三层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8MM钢化玻璃托架,上下可调。</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8、中间两抽屉(采用阻尼缓冲导轨),带锁。</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5964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D1F05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54851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E1A2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97</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78F5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嵌入式导管柜</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45BD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嵌入式导管柜</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1、尺寸：1200W*1700H*400D</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2、材质：外框1.2厚304不锈钢拉丝板制，内本体1.0厚201不锈钢制镜面板制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3、表面喷涂。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4、嵌入式安装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5、4mm钢化玻璃</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6、配挂钩，带锁，翻边20mm，外开门。</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1815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4F083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721A3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409A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FA5D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嵌入式气体箱</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DD4A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嵌入式气体箱</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1、尺寸：900W*400H*150D</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2、整体喷涂。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3、嵌入式安装，翻边20mm。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4、面框1.2厚304不锈板制，箱体1.0厚冷板粉末静电喷涂，不含气体终端,带检修门。</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CC18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65D31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0C9F4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C5FC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99</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9E2F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嵌入式电脑柜</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9177D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嵌入式电脑柜</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1、尺寸：1200W*1700H*400D</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2、材质：外框1.2厚304不锈钢拉丝板制，内本体1.0厚201不锈钢制镜面板制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3、2个5孔220V10A电源插座，1个网络插座，带键盘抽屉。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4、整体喷涂，嵌入式安装，翻边20mm。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5、上部空格（用于摆放显示器），中间小抽屉（用于摆放键盘），下部双开门。（用于摆放主机）。</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72C0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19E34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4227E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E480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100</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2AA6E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四联观片灯</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23475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四联观片灯</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1、材质及安装方式：1.2厚304不锈钢拉丝板制，嵌入安装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2、观察屏幕要求：亮度：≥3000（cd/m²）、色温≥6500K/可按照厂家推荐满足规上述参数即可，均匀度＞0.7、散射系数＞0.9</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3、供电要求：通电10s内发光、无闪烁、无异响、无延迟现象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4、外形尺寸：1197*532*25mm，开孔尺寸：1200*535mm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5、显示区域范围尺寸：1072*422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6、调光方式及范围：按键调光 ， 0-100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7、板材的材质：亚克力面板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8、安装方式：嵌入式，翻边20mm厚</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3F00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EF0C8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03342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75F1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101</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FC26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手术室吊塔钢吊支架</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1712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手术室吊塔钢吊支架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1.材质：支架采用8#槽钢、L40*5镀锌角钢斜撑和10mm厚钢板焊接制作而成，支架用M12高强度螺栓与钢筋砼板固定；吊塔基板与支架下部连接</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1634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86C6E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4DE65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62C8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102</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9D623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无影灯钢吊支架</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3B50C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无影灯钢吊支架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1.材质：支架采用8#槽钢、L40*5镀锌角钢斜撑和10mm厚钢板焊接制作而成，支架用M12高强度螺栓与钢筋砼板固定；吊塔基板与支架下部连接</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E0EA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30D87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16693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7053EF">
            <w:pPr>
              <w:jc w:val="center"/>
              <w:rPr>
                <w:rFonts w:hint="eastAsia" w:ascii="宋体" w:hAnsi="宋体" w:eastAsia="宋体" w:cs="宋体"/>
                <w:i w:val="0"/>
                <w:iCs w:val="0"/>
                <w:color w:val="000000"/>
                <w:sz w:val="18"/>
                <w:szCs w:val="18"/>
                <w:highlight w:val="none"/>
                <w:u w:val="none"/>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3E77F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四层静配中心</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795462">
            <w:pPr>
              <w:jc w:val="left"/>
              <w:rPr>
                <w:rFonts w:hint="eastAsia" w:ascii="宋体" w:hAnsi="宋体" w:eastAsia="宋体" w:cs="宋体"/>
                <w:i w:val="0"/>
                <w:iCs w:val="0"/>
                <w:color w:val="000000"/>
                <w:sz w:val="18"/>
                <w:szCs w:val="18"/>
                <w:highlight w:val="none"/>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B3C573">
            <w:pPr>
              <w:jc w:val="center"/>
              <w:rPr>
                <w:rFonts w:hint="eastAsia" w:ascii="宋体" w:hAnsi="宋体" w:eastAsia="宋体" w:cs="宋体"/>
                <w:i w:val="0"/>
                <w:iCs w:val="0"/>
                <w:color w:val="000000"/>
                <w:sz w:val="18"/>
                <w:szCs w:val="18"/>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D11298">
            <w:pPr>
              <w:jc w:val="right"/>
              <w:rPr>
                <w:rFonts w:hint="eastAsia" w:ascii="宋体" w:hAnsi="宋体" w:eastAsia="宋体" w:cs="宋体"/>
                <w:i w:val="0"/>
                <w:iCs w:val="0"/>
                <w:color w:val="000000"/>
                <w:sz w:val="18"/>
                <w:szCs w:val="18"/>
                <w:highlight w:val="none"/>
                <w:u w:val="none"/>
              </w:rPr>
            </w:pPr>
          </w:p>
        </w:tc>
      </w:tr>
      <w:tr w14:paraId="601DB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E3595D">
            <w:pPr>
              <w:jc w:val="center"/>
              <w:rPr>
                <w:rFonts w:hint="eastAsia" w:ascii="宋体" w:hAnsi="宋体" w:eastAsia="宋体" w:cs="宋体"/>
                <w:i w:val="0"/>
                <w:iCs w:val="0"/>
                <w:color w:val="000000"/>
                <w:sz w:val="18"/>
                <w:szCs w:val="18"/>
                <w:highlight w:val="none"/>
                <w:u w:val="none"/>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81969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地面工程</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C21848">
            <w:pPr>
              <w:jc w:val="left"/>
              <w:rPr>
                <w:rFonts w:hint="eastAsia" w:ascii="宋体" w:hAnsi="宋体" w:eastAsia="宋体" w:cs="宋体"/>
                <w:i w:val="0"/>
                <w:iCs w:val="0"/>
                <w:color w:val="000000"/>
                <w:sz w:val="18"/>
                <w:szCs w:val="18"/>
                <w:highlight w:val="none"/>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C53C69">
            <w:pPr>
              <w:jc w:val="center"/>
              <w:rPr>
                <w:rFonts w:hint="eastAsia" w:ascii="宋体" w:hAnsi="宋体" w:eastAsia="宋体" w:cs="宋体"/>
                <w:i w:val="0"/>
                <w:iCs w:val="0"/>
                <w:color w:val="000000"/>
                <w:sz w:val="18"/>
                <w:szCs w:val="18"/>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BE9A5A">
            <w:pPr>
              <w:jc w:val="right"/>
              <w:rPr>
                <w:rFonts w:hint="eastAsia" w:ascii="宋体" w:hAnsi="宋体" w:eastAsia="宋体" w:cs="宋体"/>
                <w:i w:val="0"/>
                <w:iCs w:val="0"/>
                <w:color w:val="000000"/>
                <w:sz w:val="18"/>
                <w:szCs w:val="18"/>
                <w:highlight w:val="none"/>
                <w:u w:val="none"/>
              </w:rPr>
            </w:pPr>
          </w:p>
        </w:tc>
      </w:tr>
      <w:tr w14:paraId="2BF6D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7FA1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103</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0659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块料楼地面</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B15B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600*600防滑地砖（湿区）: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1、10厚600*600防滑地砖面层,DTG砂浆擦缝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2、30厚DS M15砂浆（1：3干硬性水泥砂浆）结合层，表面撒水泥粉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3、防水层（2厚聚氨酯防水层）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5、界面剂1道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6、现浇钢筋混凝土楼板或预制楼板现浇叠合层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96B2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48746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11.22 </w:t>
            </w:r>
          </w:p>
        </w:tc>
      </w:tr>
      <w:tr w14:paraId="24709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3130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104</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D84C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块料楼地面</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813C4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防滑地砖</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1、10厚300*300防滑地砖面层,DTG砂浆擦缝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2、30厚DS M15砂浆（1：3干硬性水泥砂浆）结合层，表面撒水泥粉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3、防水层（2厚聚氨酯防水层）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5、界面剂1道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6、现浇钢筋混凝土楼板或预制楼板现浇叠合层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0BAD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C95FD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9.25 </w:t>
            </w:r>
          </w:p>
        </w:tc>
      </w:tr>
      <w:tr w14:paraId="356A7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7331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105</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51859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石材零星项目</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E067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石材门樘板：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1、20厚大理石门槛石面层，含磨边、倒角，切割、排版、六面刷防护剂处理，晶面处理、成品保护等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2、30厚DSM15砂浆(1:3干硬性水泥砂浆)结合层,表面撒水泥粉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3、防水隔离层(2厚聚氨酯防水层)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5、界面剂1道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6、现浇钢筋混凝土楼板或预制楼板现浇叠合层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E6BD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929D6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2.02 </w:t>
            </w:r>
          </w:p>
        </w:tc>
      </w:tr>
      <w:tr w14:paraId="7DF97188">
        <w:tblPrEx>
          <w:tblCellMar>
            <w:top w:w="0" w:type="dxa"/>
            <w:left w:w="108" w:type="dxa"/>
            <w:bottom w:w="0" w:type="dxa"/>
            <w:right w:w="108" w:type="dxa"/>
          </w:tblCellMar>
        </w:tblPrEx>
        <w:trPr>
          <w:trHeight w:val="15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D777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106</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F91E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F504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水泥砂浆防水地面：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1、20厚DS M20砂浆（1：2.5水泥砂浆）面层，表面撒适量水泥粉抹压平整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2、35厚C20细石混凝土保护层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3、防水隔离层（2厚聚氨酯防水层）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4、最薄处30厚C20细石混凝土找坡层,向地漏找1%坡，随打随抹平，地漏四周及管根部用DS M15砂浆（1：3水泥砂浆）抹小八字角</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5、界面剂1道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AA20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6C4F2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49.11 </w:t>
            </w:r>
          </w:p>
        </w:tc>
      </w:tr>
      <w:tr w14:paraId="21A1A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813C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107</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74AC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PVC胶地板卷材</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7D24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PVC胶地板卷材：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1、2厚PVC地材,卷材面层缝隙焊缝密闭处理,打蜡出光；（卷宽≥2.0m；环保：28天后TVOC释放量≤5微克，不含甲醛 不含苯不含19项有害重金属；防火：通过GB8624、EN13501基本防火等级B1级测试；洁净认证：通过ISO 14644-5级认证；抗菌防霉：通过ISO 0846及ASTM G21抗菌测试；产品柔韧性≤20mm；产品防滑性能等级Bd；耐磨等级T级；残余凹陷值≤0.03mm）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2、专用胶粘剂粘铺,接缝处及四周边用专用滚轮压实(基层与地板背面同时涂胶)；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3、3厚自流平；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4、吸收性界面处理剂；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5、C20细石混凝土找平层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A2AE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1A5CC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411.98 </w:t>
            </w:r>
          </w:p>
        </w:tc>
      </w:tr>
      <w:tr w14:paraId="6D19F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5B77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108</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52872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卷材踢脚线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249A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2.0mmPVC卷材踢脚：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1、2厚100高PVC卷材踢脚，专用胶粘剂粘贴,铝合金装饰条；（卷宽≥2.0m；环保：28天后TVOC释放量≤5微克，不含甲醛 不含苯不含19项有害重金属；防火：通过GB8624、EN13501基本防火等级B1级测试；洁净认证：通过ISO 14644-5级认证；抗菌防霉：通过ISO 0846及ASTM G21抗菌测试；产品柔韧性≤20mm；产品防滑性能等级Bd；耐磨等级T级；残余凹陷值≤0.03mm）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2、1：2.5水泥砂浆20厚，压实抹光，墙角抹圆角R40；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3、刷素水泥浆一道。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5848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31D80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31.24 </w:t>
            </w:r>
          </w:p>
        </w:tc>
      </w:tr>
      <w:tr w14:paraId="60A38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C163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109</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E074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金属踢脚线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7D4D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不锈钢踢脚：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1、100高不锈钢踢脚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2、专用粘接剂粘接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3、基层墙体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C5FC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BEDB4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1.59 </w:t>
            </w:r>
          </w:p>
        </w:tc>
      </w:tr>
      <w:tr w14:paraId="41A14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127C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110</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65B7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垫层</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A647B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陶粒混凝土回填，容重10KN/m3</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308A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3598F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134.84 </w:t>
            </w:r>
          </w:p>
        </w:tc>
      </w:tr>
      <w:tr w14:paraId="540DD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F1B587">
            <w:pPr>
              <w:jc w:val="center"/>
              <w:rPr>
                <w:rFonts w:hint="eastAsia" w:ascii="宋体" w:hAnsi="宋体" w:eastAsia="宋体" w:cs="宋体"/>
                <w:i w:val="0"/>
                <w:iCs w:val="0"/>
                <w:color w:val="000000"/>
                <w:sz w:val="18"/>
                <w:szCs w:val="18"/>
                <w:highlight w:val="none"/>
                <w:u w:val="none"/>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1F5C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墙面工程</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1C34EE">
            <w:pPr>
              <w:jc w:val="left"/>
              <w:rPr>
                <w:rFonts w:hint="eastAsia" w:ascii="宋体" w:hAnsi="宋体" w:eastAsia="宋体" w:cs="宋体"/>
                <w:i w:val="0"/>
                <w:iCs w:val="0"/>
                <w:color w:val="000000"/>
                <w:sz w:val="18"/>
                <w:szCs w:val="18"/>
                <w:highlight w:val="none"/>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428D1D">
            <w:pPr>
              <w:jc w:val="center"/>
              <w:rPr>
                <w:rFonts w:hint="eastAsia" w:ascii="宋体" w:hAnsi="宋体" w:eastAsia="宋体" w:cs="宋体"/>
                <w:i w:val="0"/>
                <w:iCs w:val="0"/>
                <w:color w:val="000000"/>
                <w:sz w:val="18"/>
                <w:szCs w:val="18"/>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80075D">
            <w:pPr>
              <w:jc w:val="right"/>
              <w:rPr>
                <w:rFonts w:hint="eastAsia" w:ascii="宋体" w:hAnsi="宋体" w:eastAsia="宋体" w:cs="宋体"/>
                <w:i w:val="0"/>
                <w:iCs w:val="0"/>
                <w:color w:val="000000"/>
                <w:sz w:val="18"/>
                <w:szCs w:val="18"/>
                <w:highlight w:val="none"/>
                <w:u w:val="none"/>
              </w:rPr>
            </w:pPr>
          </w:p>
        </w:tc>
      </w:tr>
      <w:tr w14:paraId="6EAF4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A32A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111</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E156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A692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1、8mm硅酸钙板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2、75型钢龙骨，壁厚0.8，龙骨间距400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3、土建墙体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AF1A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4E7D1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184.76 </w:t>
            </w:r>
          </w:p>
        </w:tc>
      </w:tr>
      <w:tr w14:paraId="16E93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CFD9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112</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31F28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AFF6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1、8mm硅酸钙板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2、75型钢龙骨，壁厚0.8，龙骨间距300，龙骨内填50厚,100kg/m3岩棉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3、8mm硅酸钙板</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D3BF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EB799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218.58 </w:t>
            </w:r>
          </w:p>
        </w:tc>
      </w:tr>
      <w:tr w14:paraId="42410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A816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113</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3BE5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81BF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1、2*8mm硅酸钙板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2、75型钢龙骨，壁厚0.8，龙骨间距300，龙骨内填50厚,100kg/m3岩棉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3、2*8mm硅酸钙板</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6259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EF6AA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192.48 </w:t>
            </w:r>
          </w:p>
        </w:tc>
      </w:tr>
      <w:tr w14:paraId="01B38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11A3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114</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05EF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墙面装饰板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4E10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抗菌医疗板墙面：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1.6mm厚抗菌医疗板，3宽硅胶拼缝(阴阳角处配套圆弧型材)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2.双面胶水粘贴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3.板缝处刮腻子找平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4.基层墙体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4D60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77A92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646.97 </w:t>
            </w:r>
          </w:p>
        </w:tc>
      </w:tr>
      <w:tr w14:paraId="66D60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7A04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115</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DA71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抹灰面油漆</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D696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抗菌涂料墙面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1.白色无机抗菌涂料（一底两面）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2.3厚耐水腻子分2遍刮平</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5B96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228EA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262.52 </w:t>
            </w:r>
          </w:p>
        </w:tc>
      </w:tr>
      <w:tr w14:paraId="179DB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B425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116</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F0A3E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墙面一般抹灰</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36A2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抗菌涂料墙面（轻质墙）：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1.3厚底基防裂腻子分遍找平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2.防潮涂料两遍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3.板缝处贴50宽涂塑中碱玻璃纤维网格布一层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4.建筑墙体</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EB1D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206F4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98.55 </w:t>
            </w:r>
          </w:p>
        </w:tc>
      </w:tr>
      <w:tr w14:paraId="1DC79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83FA11">
            <w:pPr>
              <w:jc w:val="center"/>
              <w:rPr>
                <w:rFonts w:hint="eastAsia" w:ascii="宋体" w:hAnsi="宋体" w:eastAsia="宋体" w:cs="宋体"/>
                <w:i w:val="0"/>
                <w:iCs w:val="0"/>
                <w:color w:val="000000"/>
                <w:sz w:val="18"/>
                <w:szCs w:val="18"/>
                <w:highlight w:val="none"/>
                <w:u w:val="none"/>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A0A3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天棚工程</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A9DEC7">
            <w:pPr>
              <w:jc w:val="left"/>
              <w:rPr>
                <w:rFonts w:hint="eastAsia" w:ascii="宋体" w:hAnsi="宋体" w:eastAsia="宋体" w:cs="宋体"/>
                <w:i w:val="0"/>
                <w:iCs w:val="0"/>
                <w:color w:val="000000"/>
                <w:sz w:val="18"/>
                <w:szCs w:val="18"/>
                <w:highlight w:val="none"/>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F87642">
            <w:pPr>
              <w:jc w:val="center"/>
              <w:rPr>
                <w:rFonts w:hint="eastAsia" w:ascii="宋体" w:hAnsi="宋体" w:eastAsia="宋体" w:cs="宋体"/>
                <w:i w:val="0"/>
                <w:iCs w:val="0"/>
                <w:color w:val="000000"/>
                <w:sz w:val="18"/>
                <w:szCs w:val="18"/>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E79155">
            <w:pPr>
              <w:jc w:val="right"/>
              <w:rPr>
                <w:rFonts w:hint="eastAsia" w:ascii="宋体" w:hAnsi="宋体" w:eastAsia="宋体" w:cs="宋体"/>
                <w:i w:val="0"/>
                <w:iCs w:val="0"/>
                <w:color w:val="000000"/>
                <w:sz w:val="18"/>
                <w:szCs w:val="18"/>
                <w:highlight w:val="none"/>
                <w:u w:val="none"/>
              </w:rPr>
            </w:pPr>
          </w:p>
        </w:tc>
      </w:tr>
      <w:tr w14:paraId="2DCA4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C570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117</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6EB2F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30BFD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1200*600*6mm抗菌医疗吊顶：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1、面贴1200*600*6mm厚抗菌医疗板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2、6mm硅酸钙板打底,板材用自攻螺丝与龙骨固定,中距≤200,螺钉距板边长边≥10,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短边≥15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3、U型轻钢覆面横撑龙骨CB60x27,间距1200,用挂插件与次龙骨连结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4、U型轻钢覆面次龙骨CB60x27,间距400,用挂件与承载龙骨连结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5、U型轻钢承载龙骨CB60x27,中距≤1200,用吊件与钢筋吊杆联结后找平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6、Φ8钢筋吊杆,双向中距≤1200,吊杆上部与预留钢筋吊环固定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7、现浇混凝土板底预留Φ10钢筋吊环(钩),双向中距≤1200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8、吊顶开洞口、检修口制作安装费用等综合考虑到报价中做法及要求详见图纸,包含完成本项工作的全部内容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4128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4AAFD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365.32 </w:t>
            </w:r>
          </w:p>
        </w:tc>
      </w:tr>
      <w:tr w14:paraId="0FEB3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8F3B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118</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E836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50DC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600*600*0.8厚铝扣板：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1、环保型中性瓷白色玻璃胶填缝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2、600*600*0.8厚铝合金扣板面层,嵌入安装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3、V型轻钢次龙骨,中距600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4、U型轻钢主龙骨38X12厚,中距≤1200将主龙骨放入主龙骨吊件内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5、采用38-1轻钢主龙骨吊件,找平后连接主龙骨与M8吊杆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6、M8吊杆,双向中距≤1200,用M8拉爆与钢筋混凝土板固定</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41B0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0119B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63.42 </w:t>
            </w:r>
          </w:p>
        </w:tc>
      </w:tr>
      <w:tr w14:paraId="13D43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E8D1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119</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4D1C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天棚喷刷涂料</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F33F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1、大白浆饰面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2、2厚面层耐水腻子刮平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3、3厚基底防裂腻子分遍刮平</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D9A9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2FB83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79.15 </w:t>
            </w:r>
          </w:p>
        </w:tc>
      </w:tr>
      <w:tr w14:paraId="566AC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CA963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120</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9737A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天棚抹灰</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1771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1、素水泥砂浆一道甩毛（内掺建筑胶）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2、高分子防水涂膜防潮层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3、8~10厚1：0.5：3水泥石灰膏砂浆分层抹平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4、清理基层</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4CAB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3C0F9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79.15 </w:t>
            </w:r>
          </w:p>
        </w:tc>
      </w:tr>
      <w:tr w14:paraId="1F5A1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DD12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121</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99C0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窗帘盒</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28D7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窗帘盒：200*H（高度根据现场综合考虑）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12mm细木工板（阻燃板）基层(防火涂料)，抗菌涂料面层，木方通等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具体做法详见图纸</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527E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E6306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18.53 </w:t>
            </w:r>
          </w:p>
        </w:tc>
      </w:tr>
      <w:tr w14:paraId="02C25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E214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122</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D6B1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3BB2A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天棚反支撑加固：吊杆在1.5米及以上区域，2.5#角钢反支撑加固，做法参见图纸</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6505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C190A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428.74 </w:t>
            </w:r>
          </w:p>
        </w:tc>
      </w:tr>
      <w:tr w14:paraId="55EBB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BD0EEE">
            <w:pPr>
              <w:jc w:val="center"/>
              <w:rPr>
                <w:rFonts w:hint="eastAsia" w:ascii="宋体" w:hAnsi="宋体" w:eastAsia="宋体" w:cs="宋体"/>
                <w:i w:val="0"/>
                <w:iCs w:val="0"/>
                <w:color w:val="000000"/>
                <w:sz w:val="18"/>
                <w:szCs w:val="18"/>
                <w:highlight w:val="none"/>
                <w:u w:val="none"/>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9D60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门窗工程</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555B30">
            <w:pPr>
              <w:jc w:val="left"/>
              <w:rPr>
                <w:rFonts w:hint="eastAsia" w:ascii="宋体" w:hAnsi="宋体" w:eastAsia="宋体" w:cs="宋体"/>
                <w:i w:val="0"/>
                <w:iCs w:val="0"/>
                <w:color w:val="000000"/>
                <w:sz w:val="18"/>
                <w:szCs w:val="18"/>
                <w:highlight w:val="none"/>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E1F2CB">
            <w:pPr>
              <w:jc w:val="center"/>
              <w:rPr>
                <w:rFonts w:hint="eastAsia" w:ascii="宋体" w:hAnsi="宋体" w:eastAsia="宋体" w:cs="宋体"/>
                <w:i w:val="0"/>
                <w:iCs w:val="0"/>
                <w:color w:val="000000"/>
                <w:sz w:val="18"/>
                <w:szCs w:val="18"/>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91F62B">
            <w:pPr>
              <w:jc w:val="right"/>
              <w:rPr>
                <w:rFonts w:hint="eastAsia" w:ascii="宋体" w:hAnsi="宋体" w:eastAsia="宋体" w:cs="宋体"/>
                <w:i w:val="0"/>
                <w:iCs w:val="0"/>
                <w:color w:val="000000"/>
                <w:sz w:val="18"/>
                <w:szCs w:val="18"/>
                <w:highlight w:val="none"/>
                <w:u w:val="none"/>
              </w:rPr>
            </w:pPr>
          </w:p>
        </w:tc>
      </w:tr>
      <w:tr w14:paraId="45098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6186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123</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AAC0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7F705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钢质气密平开门 QM1023：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1、材质：1.0mm厚钢板喷塑门体，带视窗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2、门洞尺寸1000*2300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3、门套材质：铝合金门套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4.其它包含闭门器，配套五金件、塑胶密封条、自动升降型下门封</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B2FF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3EE5A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03ECD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E71F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124</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BEF8F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F832F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钢质气密平开门 QM1123：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1、材质：1.0mm厚钢板喷塑门体，带视窗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2、门洞尺寸1100*2300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3、门套材质：铝合金门套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4.其它包含闭门器，配套五金件、塑胶密封条、自动升降型下门封</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C452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40716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7.00 </w:t>
            </w:r>
          </w:p>
        </w:tc>
      </w:tr>
      <w:tr w14:paraId="6FA6F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4C55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125</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402A4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39D2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医疗专用钢质门M1123：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1.材质：1.0mm厚钢板喷塑门体，铝合金门套，带视窗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 门尺寸：1100*2300mm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3.含五金、门框、包边、闭门器、灌浆等所有相关工作内容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CD77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0A11A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8.00 </w:t>
            </w:r>
          </w:p>
        </w:tc>
      </w:tr>
      <w:tr w14:paraId="4B713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9F01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126</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D1456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A5AD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医疗专用钢质门M1523：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1.材质：1.0mm厚钢板喷塑门体，铝合金门套，带视窗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 门尺寸：1500*2300mm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3.含五金、门框、包边、闭门器、灌浆等所有相关工作内容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EB9B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80813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4CC79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826C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127</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1C7D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钢质防火门</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5953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乙级钢质防火门FM乙1123：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1.门类型:成品乙级钢质防火门（颜色根据现场定）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3.门尺寸：1100*2300mm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4.具体做法详图纸及相应图集，饰面与装修保持一致风格</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65B6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FF08E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5.00 </w:t>
            </w:r>
          </w:p>
        </w:tc>
      </w:tr>
      <w:tr w14:paraId="3F91B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183E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128</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99CD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防火窗</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EB791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防火窗FC4514，4500*1400mm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10mm厚乙级防火玻璃,1.2mm厚不锈钢窗套。</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15B6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43D9F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6.30 </w:t>
            </w:r>
          </w:p>
        </w:tc>
      </w:tr>
      <w:tr w14:paraId="4F46D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3EC4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129</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07D9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防火窗</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8B203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防火窗FC7614，7600*1400mm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10mm厚乙级防火玻璃,1.2mm厚不锈钢窗套。</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DE33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15844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10.64 </w:t>
            </w:r>
          </w:p>
        </w:tc>
      </w:tr>
      <w:tr w14:paraId="38509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E0B7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130</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E8572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传递窗</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C754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传递窗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外径尺寸：600×600× 600mm，1.2mm厚 304 不锈钢 材质，机械互锁，带紫外消毒灯</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0324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71CB1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9.00 </w:t>
            </w:r>
          </w:p>
        </w:tc>
      </w:tr>
      <w:tr w14:paraId="21FA9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C94C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131</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393BC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石材窗台板</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5D2E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1、外窗位置</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2、20厚人造石成品窗台，瓷砖粘结剂，水泥砂浆找平层，石材磨边</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B9A7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B5BC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3.70 </w:t>
            </w:r>
          </w:p>
        </w:tc>
      </w:tr>
      <w:tr w14:paraId="706E2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99F3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132</w:t>
            </w:r>
          </w:p>
        </w:tc>
        <w:tc>
          <w:tcPr>
            <w:tcW w:w="6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0DBEC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检修门J0806</w:t>
            </w:r>
          </w:p>
        </w:tc>
        <w:tc>
          <w:tcPr>
            <w:tcW w:w="3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3157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1、材质：方管骨架，阻燃板基层，无机预涂板饰面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2、门洞尺寸600*1200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3、门套材质：铝合金门套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4.其它包含如门锁、折页等所有五金件</w:t>
            </w:r>
          </w:p>
        </w:tc>
        <w:tc>
          <w:tcPr>
            <w:tcW w:w="3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D1DD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4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341CD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bl>
    <w:p w14:paraId="564105CF">
      <w:pPr>
        <w:pStyle w:val="8"/>
        <w:numPr>
          <w:ilvl w:val="-1"/>
          <w:numId w:val="0"/>
        </w:numPr>
        <w:ind w:firstLine="0" w:firstLineChars="0"/>
        <w:rPr>
          <w:rFonts w:hint="default"/>
          <w:color w:val="auto"/>
          <w:highlight w:val="none"/>
          <w:lang w:val="en-US" w:eastAsia="zh-CN"/>
        </w:rPr>
      </w:pP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30"/>
        <w:gridCol w:w="2901"/>
        <w:gridCol w:w="7994"/>
        <w:gridCol w:w="887"/>
        <w:gridCol w:w="1408"/>
      </w:tblGrid>
      <w:tr w14:paraId="68D10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000" w:type="pct"/>
            <w:gridSpan w:val="5"/>
            <w:tcBorders>
              <w:top w:val="nil"/>
              <w:left w:val="nil"/>
              <w:bottom w:val="nil"/>
              <w:right w:val="nil"/>
            </w:tcBorders>
            <w:shd w:val="clear" w:color="auto" w:fill="auto"/>
            <w:vAlign w:val="center"/>
          </w:tcPr>
          <w:p w14:paraId="15132896">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snapToGrid w:val="0"/>
                <w:color w:val="000000"/>
                <w:kern w:val="0"/>
                <w:sz w:val="40"/>
                <w:szCs w:val="40"/>
                <w:highlight w:val="none"/>
                <w:u w:val="none"/>
                <w:lang w:val="en-US" w:eastAsia="zh-CN" w:bidi="ar"/>
              </w:rPr>
              <w:t>1.2暖通工程</w:t>
            </w:r>
          </w:p>
        </w:tc>
      </w:tr>
      <w:tr w14:paraId="684C0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D24F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序号</w:t>
            </w:r>
          </w:p>
        </w:tc>
        <w:tc>
          <w:tcPr>
            <w:tcW w:w="102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8488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项目名称</w:t>
            </w:r>
          </w:p>
        </w:tc>
        <w:tc>
          <w:tcPr>
            <w:tcW w:w="28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B1CB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项目特征</w:t>
            </w:r>
          </w:p>
        </w:tc>
        <w:tc>
          <w:tcPr>
            <w:tcW w:w="31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AF7C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计量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单位</w:t>
            </w:r>
          </w:p>
        </w:tc>
        <w:tc>
          <w:tcPr>
            <w:tcW w:w="49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D889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工程量</w:t>
            </w:r>
          </w:p>
        </w:tc>
      </w:tr>
      <w:tr w14:paraId="7B893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6A92D">
            <w:pPr>
              <w:jc w:val="center"/>
              <w:rPr>
                <w:rFonts w:hint="eastAsia" w:ascii="宋体" w:hAnsi="宋体" w:eastAsia="宋体" w:cs="宋体"/>
                <w:i w:val="0"/>
                <w:iCs w:val="0"/>
                <w:color w:val="000000"/>
                <w:sz w:val="18"/>
                <w:szCs w:val="18"/>
                <w:highlight w:val="none"/>
                <w:u w:val="none"/>
              </w:rPr>
            </w:pPr>
          </w:p>
        </w:tc>
        <w:tc>
          <w:tcPr>
            <w:tcW w:w="10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348B8">
            <w:pPr>
              <w:jc w:val="center"/>
              <w:rPr>
                <w:rFonts w:hint="eastAsia" w:ascii="宋体" w:hAnsi="宋体" w:eastAsia="宋体" w:cs="宋体"/>
                <w:i w:val="0"/>
                <w:iCs w:val="0"/>
                <w:color w:val="000000"/>
                <w:sz w:val="18"/>
                <w:szCs w:val="18"/>
                <w:highlight w:val="none"/>
                <w:u w:val="none"/>
              </w:rPr>
            </w:pPr>
          </w:p>
        </w:tc>
        <w:tc>
          <w:tcPr>
            <w:tcW w:w="28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87968">
            <w:pPr>
              <w:jc w:val="center"/>
              <w:rPr>
                <w:rFonts w:hint="eastAsia" w:ascii="宋体" w:hAnsi="宋体" w:eastAsia="宋体" w:cs="宋体"/>
                <w:i w:val="0"/>
                <w:iCs w:val="0"/>
                <w:color w:val="000000"/>
                <w:sz w:val="18"/>
                <w:szCs w:val="18"/>
                <w:highlight w:val="none"/>
                <w:u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88F5D">
            <w:pPr>
              <w:jc w:val="center"/>
              <w:rPr>
                <w:rFonts w:hint="eastAsia" w:ascii="宋体" w:hAnsi="宋体" w:eastAsia="宋体" w:cs="宋体"/>
                <w:i w:val="0"/>
                <w:iCs w:val="0"/>
                <w:color w:val="000000"/>
                <w:sz w:val="18"/>
                <w:szCs w:val="18"/>
                <w:highlight w:val="none"/>
                <w:u w:val="none"/>
              </w:rPr>
            </w:pPr>
          </w:p>
        </w:tc>
        <w:tc>
          <w:tcPr>
            <w:tcW w:w="49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970C0">
            <w:pPr>
              <w:jc w:val="center"/>
              <w:rPr>
                <w:rFonts w:hint="eastAsia" w:ascii="宋体" w:hAnsi="宋体" w:eastAsia="宋体" w:cs="宋体"/>
                <w:i w:val="0"/>
                <w:iCs w:val="0"/>
                <w:color w:val="000000"/>
                <w:sz w:val="18"/>
                <w:szCs w:val="18"/>
                <w:highlight w:val="none"/>
                <w:u w:val="none"/>
              </w:rPr>
            </w:pPr>
          </w:p>
        </w:tc>
      </w:tr>
      <w:tr w14:paraId="2C691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CF651">
            <w:pPr>
              <w:jc w:val="center"/>
              <w:rPr>
                <w:rFonts w:hint="eastAsia" w:ascii="宋体" w:hAnsi="宋体" w:eastAsia="宋体" w:cs="宋体"/>
                <w:i w:val="0"/>
                <w:iCs w:val="0"/>
                <w:color w:val="000000"/>
                <w:sz w:val="18"/>
                <w:szCs w:val="18"/>
                <w:highlight w:val="none"/>
                <w:u w:val="none"/>
              </w:rPr>
            </w:pPr>
          </w:p>
        </w:tc>
        <w:tc>
          <w:tcPr>
            <w:tcW w:w="102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EEF21">
            <w:pPr>
              <w:jc w:val="center"/>
              <w:rPr>
                <w:rFonts w:hint="eastAsia" w:ascii="宋体" w:hAnsi="宋体" w:eastAsia="宋体" w:cs="宋体"/>
                <w:i w:val="0"/>
                <w:iCs w:val="0"/>
                <w:color w:val="000000"/>
                <w:sz w:val="18"/>
                <w:szCs w:val="18"/>
                <w:highlight w:val="none"/>
                <w:u w:val="none"/>
              </w:rPr>
            </w:pPr>
          </w:p>
        </w:tc>
        <w:tc>
          <w:tcPr>
            <w:tcW w:w="28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A8B79">
            <w:pPr>
              <w:jc w:val="center"/>
              <w:rPr>
                <w:rFonts w:hint="eastAsia" w:ascii="宋体" w:hAnsi="宋体" w:eastAsia="宋体" w:cs="宋体"/>
                <w:i w:val="0"/>
                <w:iCs w:val="0"/>
                <w:color w:val="000000"/>
                <w:sz w:val="18"/>
                <w:szCs w:val="18"/>
                <w:highlight w:val="none"/>
                <w:u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53388">
            <w:pPr>
              <w:jc w:val="center"/>
              <w:rPr>
                <w:rFonts w:hint="eastAsia" w:ascii="宋体" w:hAnsi="宋体" w:eastAsia="宋体" w:cs="宋体"/>
                <w:i w:val="0"/>
                <w:iCs w:val="0"/>
                <w:color w:val="000000"/>
                <w:sz w:val="18"/>
                <w:szCs w:val="18"/>
                <w:highlight w:val="none"/>
                <w:u w:val="none"/>
              </w:rPr>
            </w:pPr>
          </w:p>
        </w:tc>
        <w:tc>
          <w:tcPr>
            <w:tcW w:w="49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3AEFF">
            <w:pPr>
              <w:jc w:val="center"/>
              <w:rPr>
                <w:rFonts w:hint="eastAsia" w:ascii="宋体" w:hAnsi="宋体" w:eastAsia="宋体" w:cs="宋体"/>
                <w:i w:val="0"/>
                <w:iCs w:val="0"/>
                <w:color w:val="000000"/>
                <w:sz w:val="18"/>
                <w:szCs w:val="18"/>
                <w:highlight w:val="none"/>
                <w:u w:val="none"/>
              </w:rPr>
            </w:pPr>
          </w:p>
        </w:tc>
      </w:tr>
      <w:tr w14:paraId="27431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D73A4">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snapToGrid w:val="0"/>
                <w:color w:val="000000"/>
                <w:kern w:val="0"/>
                <w:sz w:val="18"/>
                <w:szCs w:val="18"/>
                <w:highlight w:val="none"/>
                <w:u w:val="none"/>
                <w:lang w:val="en-US" w:eastAsia="zh-CN" w:bidi="ar"/>
              </w:rPr>
              <w:t>一</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20B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二层中心供应室</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4DAAA">
            <w:pPr>
              <w:jc w:val="left"/>
              <w:rPr>
                <w:rFonts w:hint="eastAsia" w:ascii="宋体" w:hAnsi="宋体" w:eastAsia="宋体" w:cs="宋体"/>
                <w:i w:val="0"/>
                <w:iCs w:val="0"/>
                <w:color w:val="000000"/>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F41F2">
            <w:pPr>
              <w:jc w:val="center"/>
              <w:rPr>
                <w:rFonts w:hint="eastAsia" w:ascii="宋体" w:hAnsi="宋体" w:eastAsia="宋体" w:cs="宋体"/>
                <w:i w:val="0"/>
                <w:iCs w:val="0"/>
                <w:color w:val="000000"/>
                <w:sz w:val="18"/>
                <w:szCs w:val="18"/>
                <w:highlight w:val="none"/>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5A3F2">
            <w:pPr>
              <w:jc w:val="right"/>
              <w:rPr>
                <w:rFonts w:hint="eastAsia" w:ascii="宋体" w:hAnsi="宋体" w:eastAsia="宋体" w:cs="宋体"/>
                <w:i w:val="0"/>
                <w:iCs w:val="0"/>
                <w:color w:val="000000"/>
                <w:sz w:val="18"/>
                <w:szCs w:val="18"/>
                <w:highlight w:val="none"/>
                <w:u w:val="none"/>
              </w:rPr>
            </w:pPr>
          </w:p>
        </w:tc>
      </w:tr>
      <w:tr w14:paraId="6552B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299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298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风系统</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FB3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（新风机组加粗字体规格为重要指标▲）</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1F2CA">
            <w:pPr>
              <w:jc w:val="center"/>
              <w:rPr>
                <w:rFonts w:hint="eastAsia" w:ascii="宋体" w:hAnsi="宋体" w:eastAsia="宋体" w:cs="宋体"/>
                <w:i w:val="0"/>
                <w:iCs w:val="0"/>
                <w:color w:val="000000"/>
                <w:sz w:val="18"/>
                <w:szCs w:val="18"/>
                <w:highlight w:val="none"/>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252F0">
            <w:pPr>
              <w:jc w:val="right"/>
              <w:rPr>
                <w:rFonts w:hint="eastAsia" w:ascii="宋体" w:hAnsi="宋体" w:eastAsia="宋体" w:cs="宋体"/>
                <w:i w:val="0"/>
                <w:iCs w:val="0"/>
                <w:color w:val="000000"/>
                <w:sz w:val="18"/>
                <w:szCs w:val="18"/>
                <w:highlight w:val="none"/>
                <w:u w:val="none"/>
              </w:rPr>
            </w:pPr>
          </w:p>
        </w:tc>
      </w:tr>
      <w:tr w14:paraId="326E9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60A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1B1D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新风机组</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C139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1.名称:机械循环四管制医用净化新风机组PAU-201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送风量6150m3/h，新风量6150m3/h，制冷量116KW，制热量70KW，余压650Pa,电机功率4KW，段位组成（顺风方向）：进风段+风机段+均流段+过滤段（初效G4中效F8）+表冷段+加热段+送风段（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3.安装形式:座地安装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7.空调室内机及与其室外机相连：屋顶室外水管桥架（根据现场情况及设计要求）、桥架支架、控制线及配管、按钮盒、铜管、设备基础、手动调节阀等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C1BC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C6E8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DEF0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F88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48D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净化机组自控系统</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49B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1.对系统的温度、湿度实现全自动控制</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4AF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805E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D4CD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9BF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5B0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净化机组自控柜</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575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1.净化机组自控柜由控制器、变频器、继电器、接触器等组成柜体及支架，具体详见图纸</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3F7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72F0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CF52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911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299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电管配线</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114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1.柜体与机组之间的接线，含控制柜至机组各段位节点、各类传感器、联动排风机、防火阀等控制柜出线端所有强弱电管线</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B45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06C0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F02F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B5D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411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控制面板</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17E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1、对机组的启停、温湿度的控制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2、数码显示</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7AA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910A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D159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5C6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AB5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变频器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1084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1.功率：3KW</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5DF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B8B4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25E9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07A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B257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回、排风口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059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1.材质：铝合金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2.规格：500*300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3.带中效过滤器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F18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355D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r>
      <w:tr w14:paraId="58FC1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5FB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2C5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回、排风口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6D5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1.材质：铝合金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2.规格：600*600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3.带中效过滤器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F07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7913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7438C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C2A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3633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回、排风口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A72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1.材质：铝合金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2.规格：600*410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3.带中效过滤器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7F6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42EF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176EE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283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EE0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新风散流器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BF70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1.型式:散流器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2.规格:400*400（面板尺寸）</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980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F3D9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w:t>
            </w:r>
          </w:p>
        </w:tc>
      </w:tr>
      <w:tr w14:paraId="25378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CC1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883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新风散流器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9F35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1.型式:散流器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2.规格:600*600（面板尺寸）</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37B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EEA3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r>
      <w:tr w14:paraId="2DD89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8"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C48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EAE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136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1.名称：离心式排风机安装P-2-1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2.规格参数：风量：790m³/h,余压：350pa,功率：0.64KW，静音型（详细参数详见绍兴市第七人民医院净化工程暖通主材表一）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1FC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59BC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CAF8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61A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0B59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CA1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2.规格参数：风量：1600m³/h,余压：350pa,功率：1.5KW，静音型（详细参数详见绍兴市第七人民医院净化工程暖通主材表一）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8D9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4B2F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5F8B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3"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BBA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C9C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EB2C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2.规格参数：风量：460m³/h,余压：350pa,功率：0.23KW，静音型（详细参数详见绍兴市第七人民医院净化工程暖通主材表一）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ECD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C8E3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24CE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1"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50F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B496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AE6D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1.名称：离心式排风机安装P-2-4</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2.规格参数：风量：2200m³/h,余压：350pa,功率：2.2KW，静音型（详细参数详见绍兴市第七人民医院净化工程暖通主材表一）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D84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2D27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3E51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04C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A3B9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A90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1.名称：离心式排风机安装P-2-5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2.规格参数：风量：500m³/h,余压：350pa,功率：0.23KW，静音型（详细参数详见绍兴市第七人民医院净化工程暖通主材表一）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84A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12FF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FE67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FC4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C1E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6B5D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1.名称：离心式排风机安装P-2-6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2.规格参数：风量：1160m³/h,余压：350pa,功率：1.1KW，静音型（详细参数详见绍兴市第七人民医院净化工程暖通主材表一）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BD7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341B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0511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6"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516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DC1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E29E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1.名称：离心式排风机安装P-2-7</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2.规格参数：风量：1800m³/h,余压：350pa,功率：1.5KW，耐高温高湿静音型（详细参数详见绍兴市第七人民医院净化工程暖通主材表一）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CFE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4665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BF4F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E3D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673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615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1.名称：离心式排风机安装P-2-8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2.规格参数：风量：2350m³/h,余压：350pa,功率：2.2KW，耐高温高湿静音型（详细参数详见绍兴市第七人民医院净化工程暖通主材表一）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9A6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69DE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3465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1"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50C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0478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C5D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1.名称：离心式排风机安装P-2-9</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2.规格参数：风量：1000m³/h,余压：350pa,功率：0.64KW，耐高温高湿静音型（详细参数详见绍兴市第七人民医院净化工程暖通主材表一）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64C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661B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AB71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694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7F8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3A6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1.名称：离心式补风机安装X-2-1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2.规格参数：风量：3870m³/h,余压：450pa,功率：3KW，变频（详细参数详见绍兴市第七人民医院净化工程暖通主材表一）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7.空调室内机及与其室外机相连：屋顶室外水管桥架（根据现场情况及设计要求）、桥架支架、控制线及配管、按钮盒及变频器、设备基础等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50A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CA3D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30B1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B9A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152B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4A2C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2.规格：630*500，70℃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A03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A418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D688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AD1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4175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540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2.规格：500*500，70℃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E1E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1C73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1BC1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E0C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295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991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2.规格：400*320，70℃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A2E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73C7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30037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076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E2A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37F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2.规格：320*320，70℃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1B3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B0A0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679D2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1EB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6BD1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D4C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2.规格：200*200，70℃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B51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B2C1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2E9C8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3B9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22CA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360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1.型式：手动多页调节阀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2.规格：500*500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984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D424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0E47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EBA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B3E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6B1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1.型式：手动多页调节阀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2.规格：400*320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EF7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41B9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67A3A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05E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61A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3D0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1.型式：手动多页调节阀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2.规格：320*320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D64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C893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36E5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6BA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796B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1B1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1.型式：手动多页调节阀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2.规格：320*200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353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52E6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w:t>
            </w:r>
          </w:p>
        </w:tc>
      </w:tr>
      <w:tr w14:paraId="641B8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011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48B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308C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1.型式：手动多页调节阀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81A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E49C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r>
      <w:tr w14:paraId="2F8FE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CE7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C06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975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1.型式：手动多页调节阀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2.规格：200*200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29B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9E92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117</w:t>
            </w:r>
          </w:p>
        </w:tc>
      </w:tr>
      <w:tr w14:paraId="24915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E12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354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止回阀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A5BB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2.规格：400*320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8A7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47BD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B4BC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35D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039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止回阀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5AB9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2.规格：320*320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284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1249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3BE85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49A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28E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止回阀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D80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2.规格：320*250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3BE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96B4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AA4C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52D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E40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止回阀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B32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2.规格：250*250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BA3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4B7C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D23A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7F43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3F8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止回阀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DAD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EBA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EBB7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0FB8B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A13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890C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止回阀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FB4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2.规格：200*200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037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22F3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6DBC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382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E352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净化镀锌风管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739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1.材质:镀锌薄钢板≤320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2.板材厚度:0.5mm优质镀锌钢板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3.形状:矩形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4.根据设计及施工验收规范要求设置导流叶片、风量测定孔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5.含风管支吊架制安，风管防腐油漆做法具体详见绍兴市第七人民医院净化工程暖通施工详图一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6.含穿墙套管具体做法详见图纸及设计规范要求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FC8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47C3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452.16</w:t>
            </w:r>
          </w:p>
        </w:tc>
      </w:tr>
      <w:tr w14:paraId="38E3E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F2A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1DE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净化镀锌风管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44A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1.材质:镀锌薄钢板≤450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2.板材厚度:0.6mm优质镀锌钢板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3.形状:矩形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4.根据设计及施工验收规范要求设置导流叶片、风量测定孔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5.含风管支吊架制安，风管防腐油漆做法具体详见绍兴市第七人民医院净化工程暖通施工详图一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6.含穿墙套管具体做法详见图纸及设计规范要求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0FE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0CB3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74.05</w:t>
            </w:r>
          </w:p>
        </w:tc>
      </w:tr>
      <w:tr w14:paraId="534BF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7"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79E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DD1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净化镀锌风管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267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1.材质:镀锌薄钢板≤1000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2.板材厚度:0.75mm优质镀锌钢板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3.形状:矩形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4.根据设计及施工验收规范要求设置导流叶片、风量测定孔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5.含风管支吊架制安，风管防腐油漆做法具体详见绍兴市第七人民医院净化工程暖通施工详图一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6.含穿墙套管具体做法详见图纸及设计规范要求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D27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8F13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291.75</w:t>
            </w:r>
          </w:p>
        </w:tc>
      </w:tr>
      <w:tr w14:paraId="4908C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2"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E50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94AC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不锈钢板通风管道</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3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1.材质:不锈钢板≤200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2.板材厚度:0.5mm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3.形状:矩形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4.根据设计及施工验收规范要求设置导流叶片、风量测定孔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5.含风管支吊架制安，风管防腐油漆做法具体详见绍兴市第七人民医院净化工程暖通施工详图一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6.含穿墙套管具体做法详见图纸及设计规范要求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5F6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0517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5.60</w:t>
            </w:r>
          </w:p>
        </w:tc>
      </w:tr>
      <w:tr w14:paraId="18C1C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F01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62A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不锈钢板通风管道</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892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1.材质:不锈钢板≤320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2.板材厚度:0.5mm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3.形状:矩形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4.根据设计及施工验收规范要求设置导流叶片、风量测定孔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5.含风管支吊架制安，风管防腐油漆做法具体详见绍兴市第七人民医院净化工程暖通施工详图一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6.含穿墙套管具体做法详见图纸及设计规范要求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7CD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C9B2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71.99</w:t>
            </w:r>
          </w:p>
        </w:tc>
      </w:tr>
      <w:tr w14:paraId="191D3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D59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34F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不锈钢板通风管道</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69E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1.材质:不锈钢板≤400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2.板材厚度:0.6mm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3.形状:矩形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4.根据设计及施工验收规范要求设置导流叶片、风量测定孔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5.含风管支吊架制安，风管防腐油漆做法具体详见绍兴市第七人民医院净化工程暖通施工详图一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6.含穿墙套管具体做法详见图纸及设计规范要求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28F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B43B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25.69</w:t>
            </w:r>
          </w:p>
        </w:tc>
      </w:tr>
      <w:tr w14:paraId="7DAAD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555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878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空调风系统保温</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2028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1.安装部位:空调风管、部件等。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2.绝热材料品种：保温采用难燃型橡塑绝热材料,湿阻因子≥20000.导热系数λ≤0.032(0℃时);λ≤0.036(40℃时),表观密度(kg/m3:50~60)。燃烧性能:通过难燃B1(B)级型式检验,氧指数&gt;38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3.绝热厚度：详见绍兴市第七人民医院净化工程暖通设计说明三（2.c）</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6F4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98C2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27.64</w:t>
            </w:r>
          </w:p>
        </w:tc>
      </w:tr>
      <w:tr w14:paraId="33404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64B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AEB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通风管道岩棉</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189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1.安装部位:电加热器前后800mm空调风管。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2.绝热材料品种：20mm厚不燃性石棉板保温板</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A55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F6B1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0.10</w:t>
            </w:r>
          </w:p>
        </w:tc>
      </w:tr>
      <w:tr w14:paraId="722BB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CA9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B9AA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F1B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630*500,L=1000mm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830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0960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06C2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A98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E9F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A54A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1.双腔微穿孔消声器500*500,L=1000mm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CAB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5BE5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D328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FE1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E12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FDB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400*320,L=800mm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B1B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8E70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F423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A53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F31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44E1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320*320,L=800mm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E95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5306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F4FD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542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85FC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D88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250*200,L=800mm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F81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9A4F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F1A2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B88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A54F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936D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250*250,L=800mm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157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4910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DD6A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183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25E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185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200*200,L=800mm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047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8809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1B16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19E4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98D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消声弯头</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0488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1.消声弯头安装 630*500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0F3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117D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03FF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6B5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952B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消声弯头</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78B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1.消声弯头安装 400*320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482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C9DB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8839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B9B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83EB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831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1.型式：电动密闭阀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2.规格：630*500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FEC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7CA8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7E11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268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7DC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F320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1.型式：电动密闭阀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2.规格：500*500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37B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32BC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3944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B6C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929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95D1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1.型式：电动密闭阀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2.规格：400*320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77E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1E3C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CACD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974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D374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BF0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1.型式：电动密闭阀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2.规格：320*320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6E7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2C7F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110D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F37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8A08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防风雨风口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BD9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1.型式：外窗铝合金百叶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2.规格：1900*1500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B72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6C84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95B6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3DB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EA2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防风雨风口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10F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1.型式：外窗铝合金百叶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2.规格：3000*800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1F8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732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3C1C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708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B0D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防风雨风口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21B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1.型式：外窗铝合金百叶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2.规格：2100*400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E84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943D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7BEF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4BB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0DB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电加热器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CAA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1.电加热器 18KW</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E6F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C4F6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2A1D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986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7EA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18DA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称:风机盘管FP-51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2.参 数:风量510m³/h,制冷量：2.7kw制热量：4.05kw （详细参数详见绍兴市第七人民医院净化工程暖通主材表二）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3.安装形式:吊顶式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7.空调室内机及与其室外机相连：屋顶室外水管桥架（根据现场情况及设计要求）、桥架支架、控制线及配管、按钮盒及回风箱等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8A9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058A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r>
      <w:tr w14:paraId="6C7BB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4"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209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7F6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3189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称:风机盘管FP-68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2.参 数:风量680m³/h,制冷量：3.6kw制热量：5.4kw （详细参数详见绍兴市第七人民医院净化工程暖通主材表二）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3.安装形式:吊顶式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7.空调室内机及与其室外机相连：屋顶室外水管桥架（根据现场情况及设计要求）、桥架支架、控制线及配管、按钮盒及回风箱等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D1E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F182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70D71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3"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656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0C45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E09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称:风机盘管FP-85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2.参 数:风量850m³/h,制冷量：4.5kw制热量：6.75kw （详细参数详见绍兴市第七人民医院净化工程暖通主材表二）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3.安装形式:吊顶式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7.空调室内机及与其室外机相连：屋顶室外水管桥架（根据现场情况及设计要求）、桥架支架、控制线及配管、按钮盒及回风箱等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E5C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AE5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03B6C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2"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50A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FCAE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AEA2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称:风机盘管FP-102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2.参 数:风量1020m³/h,制冷量：5.4kw制热量：8.1kw  （详细参数详见绍兴市第七人民医院净化工程暖通主材表二）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3.安装形式:吊顶式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7.空调室内机及与其室外机相连：屋顶室外水管桥架（根据现场情况及设计要求）、桥架支架、控制线及配管、按钮盒及回风箱等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339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17E5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r>
      <w:tr w14:paraId="17C8D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849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050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送风口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78A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1.型式:散流器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2.规格:送风口400*400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226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5E6C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w:t>
            </w:r>
          </w:p>
        </w:tc>
      </w:tr>
      <w:tr w14:paraId="1A402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9F2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B04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风机盘管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送风口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260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1.型式:散流器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2.规格:送风口600*600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F1D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83D0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r>
      <w:tr w14:paraId="16BE0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82F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E075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回风口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397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1.型式:配网可开格栅风口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2.规格:回风口400*400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3.初阻力小于等于50Pa；含微生物一次通过率不大于10%和颗粒物一次计重通过率不大于5%的过滤设备</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B77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A423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w:t>
            </w:r>
          </w:p>
        </w:tc>
      </w:tr>
      <w:tr w14:paraId="40E48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B39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4EA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回风口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D36F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1.型式:配网可开格栅风口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2.规格:回风口600*600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3.初阻力小于等于50Pa；含微生物一次通过率不大于10%和颗粒物一次计重通过率不大于5%的过滤设备</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6FC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7020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r>
      <w:tr w14:paraId="287DD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26F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A34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风机盘管空调水系统（两管制）</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1F0C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1.含DN20电动二通阀1只</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2.过滤器1只</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3.铜球阀2只</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4.不锈钢软接2只</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5.温控器1只（三档调速）</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861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0A4B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w:t>
            </w:r>
          </w:p>
        </w:tc>
      </w:tr>
      <w:tr w14:paraId="607EF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F60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8D7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吸顶式空气消毒器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0998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1.名称：等离子体空气净化消毒机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2.参数、规格:风量800m3/h 输入功率≤130W 使用范围≤100m3  ，内置紫外线灭菌灯、等离子、过滤网、配遥控器（详细参数详见绍兴市第七人民医院净化工程暖通主材表二）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3.安装形式:吊顶嵌入式安装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AB5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4786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r>
      <w:tr w14:paraId="7D8D6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440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（二）</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B49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水系统</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C0192">
            <w:pPr>
              <w:jc w:val="left"/>
              <w:rPr>
                <w:rFonts w:hint="eastAsia" w:ascii="宋体" w:hAnsi="宋体" w:eastAsia="宋体" w:cs="宋体"/>
                <w:i w:val="0"/>
                <w:iCs w:val="0"/>
                <w:color w:val="000000"/>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1F9CE">
            <w:pPr>
              <w:jc w:val="center"/>
              <w:rPr>
                <w:rFonts w:hint="eastAsia" w:ascii="宋体" w:hAnsi="宋体" w:eastAsia="宋体" w:cs="宋体"/>
                <w:i w:val="0"/>
                <w:iCs w:val="0"/>
                <w:color w:val="000000"/>
                <w:sz w:val="18"/>
                <w:szCs w:val="18"/>
                <w:highlight w:val="none"/>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568B4">
            <w:pPr>
              <w:jc w:val="right"/>
              <w:rPr>
                <w:rFonts w:hint="eastAsia" w:ascii="宋体" w:hAnsi="宋体" w:eastAsia="宋体" w:cs="宋体"/>
                <w:i w:val="0"/>
                <w:iCs w:val="0"/>
                <w:color w:val="000000"/>
                <w:sz w:val="18"/>
                <w:szCs w:val="18"/>
                <w:highlight w:val="none"/>
                <w:u w:val="none"/>
              </w:rPr>
            </w:pPr>
          </w:p>
        </w:tc>
      </w:tr>
      <w:tr w14:paraId="1F094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34C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EC9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工业液体温度计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A220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1.量程0℃-100℃，承压1.6MPa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A2A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3C98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62420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DEB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B7C1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压力表（带旋塞）</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B2AC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1.量程0-1.6MPa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294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A13B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29B45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8F8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961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法兰过滤器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250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1.规格：DN65，承压1.6MPa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5DA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89A0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AEC5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C3C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DA8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法兰过滤器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AB7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1.规格：DN80，承压1.6MPa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7D5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FDF4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4C3C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9F0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0A8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软接头（软管）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778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1.规格：DN40，丝口，承压1.6MPa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585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0B24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89D3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3DA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130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软接头（软管）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3B8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1.规格：DN65，法兰，承压1.6MPa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73A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B7E9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1AC9C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D5D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09C5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软接头（软管）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263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1.规格：DN80，法兰，承压1.6MPa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209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F8CD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1B052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58C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0715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自动排气阀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AE2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1.规格：DN20，丝口，承压1.6MPa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2.材质：铜材质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961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5C19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40121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0A8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CF4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对夹式蝶阀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8EA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1.规格：DN65，承压1.6Mpa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DB4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E9C9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56C1A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F24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23BF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对夹式蝶阀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097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1.规格：DN80，承压1.6Mpa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7F7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ED4A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50F0E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B50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BBF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对夹式蝶阀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A17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1.规格：DN100，承压1.6Mpa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45B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32EC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35E38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5EE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DF1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静态水力平衡阀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D5B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1.规格：DN100，承压1.6Mpa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FCB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6510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6CDE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397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D112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排污阀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B889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1.规格：DN25，承压1.6Mpa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C63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0E61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2CF32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CA8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471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电动三通阀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A922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1.规格：DN65，承压1.6Mpa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2.含执行机构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6D2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E1C4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8EA5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115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ED20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电动三通阀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DAB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1.规格：DN80，承压1.6Mpa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2.含执行机构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710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E8E9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9D9F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8F2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01F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BD1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1.规格：DN80，承压1.6Mpa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2.含执行机构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2A6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7771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73552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DE2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0C3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216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2.介质:空调水管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3.材质:镀锌钢管（含清扫口）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4.型号、规格:DN20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5.连接方式:螺纹连接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6.管道穿墙或楼板须加设套管，具体做法详见图纸</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734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0390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358.56</w:t>
            </w:r>
          </w:p>
        </w:tc>
      </w:tr>
      <w:tr w14:paraId="070F3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880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956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DFE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2.介质:空调水管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3.材质:镀锌钢管（含清扫口）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4.型号、规格:DN25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5.连接方式:螺纹连接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6.管道穿墙或楼板须加设套管，具体做法详见图纸</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EC7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CD8E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55.65</w:t>
            </w:r>
          </w:p>
        </w:tc>
      </w:tr>
      <w:tr w14:paraId="7ACAB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A63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A16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2BC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3.材质:镀锌钢管（含清扫口）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4.型号、规格:DN32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948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C61B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121.36</w:t>
            </w:r>
          </w:p>
        </w:tc>
      </w:tr>
      <w:tr w14:paraId="65AEC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3"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A89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3192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15AD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3.材质:镀锌钢管（含清扫口）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4.型号、规格:DN40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E97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DE46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53.38</w:t>
            </w:r>
          </w:p>
        </w:tc>
      </w:tr>
      <w:tr w14:paraId="1D093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2"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ACE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7C2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2EF3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3.材质:镀锌钢管（含清扫口）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4E3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C125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28.33</w:t>
            </w:r>
          </w:p>
        </w:tc>
      </w:tr>
      <w:tr w14:paraId="7F70D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3"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659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7E3B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4C9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3.材质:无缝钢管（含管件）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4.型号、规格:φ73*4mm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5.连接方式:焊接连接、镀锌费、二次安装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06B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ADB7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60.43</w:t>
            </w:r>
          </w:p>
        </w:tc>
      </w:tr>
      <w:tr w14:paraId="2CA6B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6"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DA7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5FF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403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3.材质:无缝钢管（含管件）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4.型号、规格:φ89*4mm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5.连接方式:焊接连接、镀锌费、二次安装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5DA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9047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127.69</w:t>
            </w:r>
          </w:p>
        </w:tc>
      </w:tr>
      <w:tr w14:paraId="354C8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2"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403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8AB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无缝钢管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2E9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3.材质:无缝钢管（含管件）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4.型号、规格:φ108*4mm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5.连接方式:焊接连接、镀锌费、二次安装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6C7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BE11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15.28</w:t>
            </w:r>
          </w:p>
        </w:tc>
      </w:tr>
      <w:tr w14:paraId="0EDE2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7"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A93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54B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空调水系统保温</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929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1.安装部位:空调冷水供回水管、膨胀水管、冷凝水管及其上的阀门、零配件等（包括管件、各类阀门、法兰、过滤器、伸缩软管、设备等）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2.绝热材料品种：保温采用难燃型橡塑绝热材料,湿阻因子≥20000.导热系数λ≤0.032(0℃时);λ≤0.036(40℃时),表观密度(kg/m3:50~60)。燃烧性能:通过难燃B1(B)级型式检验,氧指数&gt;38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3.绝热厚度：详见绍兴市第七人民医院净化工程暖通设计说明三（2.c）</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E17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05B4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19.30</w:t>
            </w:r>
          </w:p>
        </w:tc>
      </w:tr>
      <w:tr w14:paraId="4F7B6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7FF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58A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2AD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暖通工程支架制作安装（符合施工及验收规范要求）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6AB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23E3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1015.24</w:t>
            </w:r>
          </w:p>
        </w:tc>
      </w:tr>
      <w:tr w14:paraId="73215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86B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5F37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885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1.除锈级别:手工除轻锈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2.油漆品种、涂刷遍数:防锈漆二遍、调和漆二遍</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FCB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E3E5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1015.24</w:t>
            </w:r>
          </w:p>
        </w:tc>
      </w:tr>
      <w:tr w14:paraId="43EE2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892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二</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FF80F">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snapToGrid w:val="0"/>
                <w:color w:val="000000"/>
                <w:kern w:val="0"/>
                <w:sz w:val="18"/>
                <w:szCs w:val="18"/>
                <w:highlight w:val="none"/>
                <w:u w:val="none"/>
                <w:lang w:val="en-US" w:eastAsia="zh-CN" w:bidi="ar"/>
              </w:rPr>
              <w:t>三层手术部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D300D">
            <w:pPr>
              <w:jc w:val="left"/>
              <w:rPr>
                <w:rFonts w:hint="eastAsia" w:ascii="宋体" w:hAnsi="宋体" w:eastAsia="宋体" w:cs="宋体"/>
                <w:i w:val="0"/>
                <w:iCs w:val="0"/>
                <w:color w:val="000000"/>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414EE">
            <w:pPr>
              <w:jc w:val="center"/>
              <w:rPr>
                <w:rFonts w:hint="eastAsia" w:ascii="宋体" w:hAnsi="宋体" w:eastAsia="宋体" w:cs="宋体"/>
                <w:i w:val="0"/>
                <w:iCs w:val="0"/>
                <w:color w:val="000000"/>
                <w:sz w:val="18"/>
                <w:szCs w:val="18"/>
                <w:highlight w:val="none"/>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B048A">
            <w:pPr>
              <w:jc w:val="right"/>
              <w:rPr>
                <w:rFonts w:hint="eastAsia" w:ascii="宋体" w:hAnsi="宋体" w:eastAsia="宋体" w:cs="宋体"/>
                <w:i w:val="0"/>
                <w:iCs w:val="0"/>
                <w:color w:val="000000"/>
                <w:sz w:val="18"/>
                <w:szCs w:val="18"/>
                <w:highlight w:val="none"/>
                <w:u w:val="none"/>
              </w:rPr>
            </w:pPr>
          </w:p>
        </w:tc>
      </w:tr>
      <w:tr w14:paraId="7D53E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28B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C10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风系统</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065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风系统（循环机组加粗字体规格为实质性指标★，新风机组加粗字体规格为重要指标▲）</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EFC12">
            <w:pPr>
              <w:jc w:val="center"/>
              <w:rPr>
                <w:rFonts w:hint="eastAsia" w:ascii="宋体" w:hAnsi="宋体" w:eastAsia="宋体" w:cs="宋体"/>
                <w:i w:val="0"/>
                <w:iCs w:val="0"/>
                <w:color w:val="000000"/>
                <w:sz w:val="18"/>
                <w:szCs w:val="18"/>
                <w:highlight w:val="none"/>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5D852">
            <w:pPr>
              <w:jc w:val="right"/>
              <w:rPr>
                <w:rFonts w:hint="eastAsia" w:ascii="宋体" w:hAnsi="宋体" w:eastAsia="宋体" w:cs="宋体"/>
                <w:i w:val="0"/>
                <w:iCs w:val="0"/>
                <w:color w:val="000000"/>
                <w:sz w:val="18"/>
                <w:szCs w:val="18"/>
                <w:highlight w:val="none"/>
                <w:u w:val="none"/>
              </w:rPr>
            </w:pPr>
          </w:p>
        </w:tc>
      </w:tr>
      <w:tr w14:paraId="12476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7B8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3EA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循环机组</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1FA0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1.名称:机械循环四管制医用净化空气处理机组AHU-301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送风量3400m3/h，新风量800m3/h，制冷量12KW，制热量12KW，余压650Pa,电机功率3.0KW，段位组成（顺风方向）：混合段+风机段+均流段+过滤段（初效G4中效F8）+表冷段+加热段+加湿段+送风段（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3.安装形式:座地安装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7.空调室内机及与其室外机相连：屋顶室外水管桥架（根据现场情况及设计要求）、桥架支架、控制线及配管、按钮盒、铜管、设备基础、手动调节阀等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51D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E998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FD1D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11"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0EE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6D07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循环机组</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215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1.名称:机械循环四管制医用净化空气处理机组AHU-302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送风量9500m3/h，新风量1000m3/h，制冷量39KW，制热量29KW，余压650Pa,电机功率7.5KW，段位组成（顺风方向）：混合段+风机段+均流段+过滤段（初效G4中效F8）+表冷段+加热段+加湿段+送风段（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3.安装形式:座地安装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7.空调室内机及与其室外机相连：屋顶室外水管桥架（根据现场情况及设计要求）、桥架支架、控制线及配管、按钮盒、铜管、设备基础、手动调节阀等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D6A5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953A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68D9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740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91B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循环机组</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EA7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1.名称:机械循环四管制医用净化空气处理机组AHU-303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送风量10730m3/h，新风量3860m3/h，制冷量34KW，制热量34KW，余压700Pa,电机功率7.5KW，段位组成（顺风方向）：混合段+风机段+均流段+过滤段（初效G4中效F8）+表冷段+加热段+加湿段+送风段（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3.安装形式:座地安装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7.空调室内机及与其室外机相连：屋顶室外水管桥架（根据现场情况及设计要求）、桥架支架、控制线及配管、按钮盒、铜管、设备基础、手动调节阀等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4DC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3097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F19D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7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18E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B20B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新风机组</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141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1.名称:机械循环四管制医用净化新风机组PAU-301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送风量5660m3/h，新风量5660m3/h，制冷量106KW，制热量64KW，余压650Pa,电机功率5.5KW，段位组成（顺风方向）：进风段+风机段+均流段+过滤段（初效G4中效F8亚高效H10）+表冷段+深度除湿段+加热段+送风段（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3.安装形式:座地安装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7.空调室内机及与其室外机相连：屋顶室外水管桥架（根据现场情况及设计要求）、桥架支架、控制线及配管、按钮盒、铜管、设备基础、手动调节阀等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272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7E69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9879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C7F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251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净化机组自控系统</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178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1.对系统的温度、湿度实现全自动控制</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EE7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C388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36C64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49C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4A8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净化机组自控柜</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AFB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1.净化机组自控柜由控制器、变频器、继电器、接触器等组成柜体及支架，具体详见图纸</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D05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6B12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29AEC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425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B0F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电管配线</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ED3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1.柜体与机组之间的接线，含控制柜至机组各段位节点、各类传感器、联动排风机、防火阀等控制柜出线端所有强弱电管线</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409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F571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5B799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2FF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22F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控制面板</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210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1、对机组的启停、温湿度的控制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2、数码显示</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F66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0A3A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5FC6E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E05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A9E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压差显示装置</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9798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1.数码显示，-20Pa~20Pa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D67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DE04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6F764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8"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8C2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9E6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FEAE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称:四面出风3P</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2.参 数:3HP 制冷量:7.5kw  环保冷媒 带冷凝水提升泵（详细参数详见绍兴市第七人民医院净化工程空调材料表二）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3..含空调室内机、室外机及其相连的冷媒管、冷媒、冷凝水管、遥控器等全部附配件</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051C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568F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AED7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C2C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DC71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电极式加湿器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D0A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1.加湿形式：电极式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2.规格：加湿量 8kg/h</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D5FC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B0C6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0F2B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753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BC8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电极式加湿器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436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1.加湿形式：电极式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2.规格：加湿量 10kg/h</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4DD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EB8F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0E1C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636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CDA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电极式加湿器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993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1.加湿形式：电极式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2.规格：加湿量 39kg/h</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1BB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07DC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B805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8A2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E3C7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高效送风口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846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1.高效送风口 500m3/h（带高效过滤器）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BBB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3431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r>
      <w:tr w14:paraId="0AC1D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983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772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高效送风口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6EF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1.高效送风口 1000m3/h（带高效过滤器）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379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F4EC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r>
      <w:tr w14:paraId="50EF2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A80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F7C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回、排风口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02B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1.材质：铝合金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2.规格：500*300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3.带中效过滤器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9A7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C281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w:t>
            </w:r>
          </w:p>
        </w:tc>
      </w:tr>
      <w:tr w14:paraId="36524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839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D9E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回、排风口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21EF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1.材质：铝合金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2.规格：600*600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3.带中效过滤器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B0B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702C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5B30D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F8C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EBF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回、排风口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EE14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1.材质：铝合金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2.规格：600*410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3.带中效过滤器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A45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1AE4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77CA9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D2F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E91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回、排风口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1ECD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1.材质：铝合金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2.规格：900*410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3.带中效过滤器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0EA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5CC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r>
      <w:tr w14:paraId="0DCD8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8"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03A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0EC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BFA0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1.名称：离心式排风机安装P-301-1/P-302-1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2.规格参数：风量：400m³/h,余压：250pa,功率：0.23KW，静音型（详细参数详见绍兴市第七人民医院净化工程暖通主材表一）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E19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5C05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B083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7903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6FE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6FC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1.名称：离心式排风机安装P-303-1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2.规格参数：风量：1090m³/h,余压：350pa,功率：1.1KW，静音型（详细参数详见绍兴市第七人民医院净化工程暖通主材表一）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92C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CC56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8930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1"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DA8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619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8BB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1.名称：离心式排风机安装P-303-2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2.规格参数：风量：1190m³/h,余压：350pa,功率：1.1KW，静音型（详细参数详见绍兴市第七人民医院净化工程暖通主材表一）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BEF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87C4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3C91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1"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5BD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DDD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9109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1.名称：离心式排风机安装P-3-1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2.规格参数：风量：880m³/h,余压：350pa,功率：0.64KW，静音型（详细参数详见绍兴市第七人民医院净化工程暖通主材表一）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A61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A590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D2AD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258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34F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FE2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1.名称：离心式排风机安装P-3-2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2.规格参数：风量：580m³/h,余压：350pa,功率：0.64KW，防爆型（详细参数详见绍兴市第七人民医院净化工程暖通主材表一）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A09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718F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1C51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1"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80E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A70A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CA9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1.名称：离心式排风机安装P-3-3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2.规格参数：风量：550m³/h,余压：350pa,功率：0.64KW，防爆型（详细参数详见绍兴市第七人民医院净化工程暖通主材表一）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879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629E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BCD4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2"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C08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428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AD5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1.名称：离心式补风机安装X-3-1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2.规格参数：风量：440m³/h,余压：550pa,功率：0.64KW，静音型（详细参数详见绍兴市第七人民医院净化工程暖通主材表一）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C1C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EFBD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9AB1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260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2C03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机械式定风量阀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832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1.类型：定风量阀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2.规格：800m3/h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438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B7E1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3387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F34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A38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机械式定风量阀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313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1.类型：定风量阀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2.规格：1000m3/h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412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C6E7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112B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980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E4E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机械式定风量阀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2A4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1.类型：定风量阀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2.规格：3860m3/h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C0C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CF7D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9298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8B5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1A8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A60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2.规格：800*800，70℃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F9C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B224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4571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B30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66F2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D47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2.规格：800*630，70℃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0872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0669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A317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7FA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FA8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940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2.规格：800*500，70℃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AE6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21DF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6A02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152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5F98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8D60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2.规格：500*400，70℃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807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3793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3D1F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D91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8B2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7178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2.规格：500*320，70℃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7F3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2896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E7F8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BFD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2FBA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B73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2.规格：400*400，70℃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4C8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B926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0397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024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ECFC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460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2.规格：400*320，70℃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7B9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60CC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EACE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DBC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E2A7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A065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2.规格：320*320，70℃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A2EC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2D3B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739A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49E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293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C1E3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2.规格：320*250，70℃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3D3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A271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2EAE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78B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2083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FB9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2.规格：320*200，70℃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BC8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1B9C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032ED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41A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A47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EB9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2.规格：250*250，70℃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239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3643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430A6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AFA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762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7E5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2.规格：250*200，70℃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D00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075B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1E1B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D1B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296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6C7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2.规格：200*200，70℃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E93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1320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r>
      <w:tr w14:paraId="7FA81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FBD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E9FD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621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1.型式：手动多页调节阀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2.规格：630*400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547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3826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0ED1E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17E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173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473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1.型式：手动多页调节阀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2.规格：320*320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082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87C5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CB08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8A4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045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A31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1.型式：手动多页调节阀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2.规格：320*250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358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C400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4724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2D7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86D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80E3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1.型式：手动多页调节阀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2.规格：320*200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CBD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69D2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w:t>
            </w:r>
          </w:p>
        </w:tc>
      </w:tr>
      <w:tr w14:paraId="0AF51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BE5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2DE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09D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1.型式：手动多页调节阀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2.规格：250*250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BC5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2E99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8E9E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B49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C4F8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121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1.型式：手动多页调节阀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612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46F5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116E6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95E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A65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5F0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1.型式：手动多页调节阀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2.规格：200*200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957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5774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73</w:t>
            </w:r>
          </w:p>
        </w:tc>
      </w:tr>
      <w:tr w14:paraId="6E01C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5BA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174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止回阀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F91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2.规格：800*630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A95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B7FE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B4EE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819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A9B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止回阀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78C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2.规格：630*630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9D1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B05B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B25F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C27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941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止回阀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7BF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2.规格：400*320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B4D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323D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08C3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70B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F95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止回阀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C9AD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2.规格：320*250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45C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DCDE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4E12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604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B92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止回阀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C847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2.规格：250*250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5C2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839C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A181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12D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9B2A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止回阀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29C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9BA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F30F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06DD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7FB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B84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止回阀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180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2.规格：200*200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C8B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1A17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515DA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3"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A85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954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净化镀锌风管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859C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1.材质:镀锌薄钢板≤320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2.板材厚度:0.5mm优质镀锌钢板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3.形状:矩形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4.根据设计及施工验收规范要求设置导流叶片、风量测定孔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5.含风管支吊架制安，风管防腐油漆做法具体详见绍兴市第七人民医院净化工程暖通施工详图一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6.含穿墙套管具体做法详见图纸及设计规范要求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055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8586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623.47</w:t>
            </w:r>
          </w:p>
        </w:tc>
      </w:tr>
      <w:tr w14:paraId="47085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82A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6CC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净化镀锌风管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52CA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1.材质:镀锌薄钢板≤450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2.板材厚度:0.6mm优质镀锌钢板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3.形状:矩形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4.根据设计及施工验收规范要求设置导流叶片、风量测定孔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5.含风管支吊架制安，风管防腐油漆做法具体详见绍兴市第七人民医院净化工程暖通施工详图一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6.含穿墙套管具体做法详见图纸及设计规范要求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329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952A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32.00</w:t>
            </w:r>
          </w:p>
        </w:tc>
      </w:tr>
      <w:tr w14:paraId="2D99F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6"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56B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B803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净化镀锌风管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E30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1.材质:镀锌薄钢板≤1000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2.板材厚度:0.75mm优质镀锌钢板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3.形状:矩形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4.根据设计及施工验收规范要求设置导流叶片、风量测定孔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5.含风管支吊架制安，风管防腐油漆做法具体详见绍兴市第七人民医院净化工程暖通施工详图一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6.含穿墙套管具体做法详见图纸及设计规范要求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EF0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4D82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321.17</w:t>
            </w:r>
          </w:p>
        </w:tc>
      </w:tr>
      <w:tr w14:paraId="0A1D6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61F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745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空调风系统保温</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9A7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1.安装部位:空调风管、部件等。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2.绝热材料品种：保温采用难燃型橡塑绝热材料,湿阻因子≥20000.导热系数λ≤0.032(0℃时);λ≤0.036(40℃时),表观密度(kg/m3:50~60)。燃烧性能:通过难燃B1(B)级型式检验,氧指数&gt;38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3.绝热厚度：详见绍兴市第七人民医院净化工程暖通设计说明三（2.c）</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D95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75D9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29.03</w:t>
            </w:r>
          </w:p>
        </w:tc>
      </w:tr>
      <w:tr w14:paraId="061B8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170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192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通风管道岩棉</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9E02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1.安装部位:电加热器前后800mm空调风管。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2.绝热材料品种：20mm厚不燃性石棉板保温板</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3F8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2C57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0.40</w:t>
            </w:r>
          </w:p>
        </w:tc>
      </w:tr>
      <w:tr w14:paraId="2532D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D4D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D3D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A18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800*630,L=2000mm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B34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27DA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9820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E56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5D3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6F2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630*630,L=2000mm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18E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E29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4D8A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3C5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316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3B6F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1.双腔微穿孔消声器500*320,L=1000mm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20F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B151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3FA2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CBF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D23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442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400*320,L=2000mm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C40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1AB4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D44B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216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267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670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320*250,L=800mm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7A7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B260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3EF7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F05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387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A60D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250*250,L=800mm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229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6E68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DD52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1F3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40B6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605A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250*200,L=800mm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5DA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F912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3AE8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470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D23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B7D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200*200,L=800mm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7FB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3E4F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3347C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DBC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A63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消声弯头</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86A0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1.消声弯头安装 800*800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96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24DE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10B5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D14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668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消声弯头</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A12F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1.消声弯头安装 800*630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9D0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A584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5A37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422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36E9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D5A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1.型式：电动密闭阀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2.规格：630*500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7A3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561F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F117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837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7C4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527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1.型式：电动密闭阀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2.规格：200*200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7C8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838A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8F8C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531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1242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防风雨风口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3E8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1.型式：外窗铝合金百叶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2.规格：3600*400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719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731B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865F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94D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6503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电加热器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92DA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1.电加热器 15KW</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4B8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EA81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7FF1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297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EA3D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691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称:风机盘管FP-51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2.参 数:风量510m³/h,制冷量：2.7kw制热量：4.05kw （详细参数详见绍兴市第七人民医院净化工程暖通主材表二）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3.安装形式:吊顶式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7.空调室内机及与其室外机相连：屋顶室外水管桥架（根据现场情况及设计要求）、桥架支架、控制线及配管、按钮盒及回风箱等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6D5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8FA7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4267B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2"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B66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6C0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334D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称:风机盘管FP-68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2.参 数:风量680m³/h,制冷量：3.6kw制热量：5.4kw （详细参数详见绍兴市第七人民医院净化工程暖通主材表二）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3.安装形式:吊顶式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7.空调室内机及与其室外机相连：屋顶室外水管桥架（根据现场情况及设计要求）、桥架支架、控制线及配管、按钮盒及回风箱等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1DD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4ADA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5E85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B35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9E2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风机盘管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送风口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5D09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1.型式:散流器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2.规格:送风口400*400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D31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7E87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48CD1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ECD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D0E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回风口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52B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1.型式:配网可开格栅风口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2.规格:回风口400*400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3.初阻力小于等于50Pa；含微生物一次通过率不大于10%和颗粒物一次计重通过率不大于5%的过滤设备</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DB0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C152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068BB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F7D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00F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风机盘管空调水系统（两管制）</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ED73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1.含DN20电动二通阀1只</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2.过滤器1只</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3.铜球阀2只</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4.不锈钢软接2只</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5.温控器1只（三档调速）</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A98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A0A1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6E4B0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A19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6B7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微压计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13F0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1、微压计</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927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685D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27748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DD4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（二）</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9B7A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水系统</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97901">
            <w:pPr>
              <w:jc w:val="left"/>
              <w:rPr>
                <w:rFonts w:hint="eastAsia" w:ascii="宋体" w:hAnsi="宋体" w:eastAsia="宋体" w:cs="宋体"/>
                <w:i w:val="0"/>
                <w:iCs w:val="0"/>
                <w:color w:val="000000"/>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B498E">
            <w:pPr>
              <w:jc w:val="center"/>
              <w:rPr>
                <w:rFonts w:hint="eastAsia" w:ascii="宋体" w:hAnsi="宋体" w:eastAsia="宋体" w:cs="宋体"/>
                <w:i w:val="0"/>
                <w:iCs w:val="0"/>
                <w:color w:val="000000"/>
                <w:sz w:val="18"/>
                <w:szCs w:val="18"/>
                <w:highlight w:val="none"/>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CD65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w:t>
            </w:r>
          </w:p>
        </w:tc>
      </w:tr>
      <w:tr w14:paraId="20DF6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A9B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695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工业液体温度计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EC5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1.量程0℃-100℃，承压1.6MPa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44F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E53F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r>
      <w:tr w14:paraId="2E62A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F88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BDE2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压力表（带旋塞）</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E30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1.量程0-1.6MPa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A0E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8D7A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r>
      <w:tr w14:paraId="178C6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171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8218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丝口过滤器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82D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1.规格：DN32，承压1.6MPa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26B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7C11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0BD8C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5E0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2072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丝口过滤器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A38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1.规格：DN50，承压1.6MPa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84D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8886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62D45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9BA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3DF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法兰过滤器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AB84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1.规格：DN65，承压1.6MPa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19E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7977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2822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BC1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B01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法兰过滤器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D975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1.规格：DN80，承压1.6MPa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3CA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6F7D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1362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254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4CFE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软接头（软管）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5FE9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1.规格：DN32，丝口，承压1.6MPa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592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C389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r>
      <w:tr w14:paraId="1061F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6A5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4D2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软接头（软管）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DCB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1.规格：DN50，丝口，承压1.6MPa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9E5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4D00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53DCF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179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151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软接头（软管）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64A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1.规格：DN65，法兰，承压1.6MPa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FA1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0101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70959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71E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985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软接头（软管）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A49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1.规格：DN80，法兰，承压1.6MPa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D0A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44CF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29DBC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2D5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032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自动排气阀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F6DA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1.规格：DN20，丝口，承压1.6MPa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2.材质：铜材质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092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7604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r>
      <w:tr w14:paraId="4A8D7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33B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8DBB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截止阀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E79F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1.规格：DN20，承压1.6Mpa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213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FF8A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9EB2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2C2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071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截止阀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1FD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1.规格：DN25，承压1.6Mpa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C7B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EC61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r>
      <w:tr w14:paraId="71FF6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82E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0FF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EC7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1.规格：DN32，承压1.6Mpa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B9D4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A4CD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r>
      <w:tr w14:paraId="17C81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46B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D2B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截止阀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555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1.规格：DN50，承压1.6Mpa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4A0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81F4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r>
      <w:tr w14:paraId="3EA43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61D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10DD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对夹式蝶阀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2A8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1.规格：DN65，承压1.6Mpa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980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FACF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0D131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352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AB87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对夹式蝶阀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AB5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1.规格：DN80，承压1.6Mpa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CAA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CCC5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5AACA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31B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681B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对夹式蝶阀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FD7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1.规格：DN100，承压1.6Mpa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0D9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A6BC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04662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4FF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E54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A72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1.规格：DN32，承压1.6Mpa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2.含执行机构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B5E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8BC8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5FDDB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EB3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CE99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静态水力平衡阀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34A9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1.规格：DN80，承压1.6Mpa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668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B4D6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1D9BA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0F7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0DB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静态水力平衡阀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389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1.规格：DN100，承压1.6Mpa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3CE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782F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B443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F03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7B5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排污阀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9C31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1.规格：DN25，承压1.6Mpa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608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660D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r>
      <w:tr w14:paraId="790F3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348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848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电动三通阀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F1D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1.规格：DN32，承压1.6Mpa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2.含执行机构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591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A46F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194E8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9BA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F95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电动三通阀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707A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1.规格：DN50，承压1.6Mpa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2.含执行机构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0E0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C619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4E360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CB0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FB97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电动三通阀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4114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1.规格：DN65，承压1.6Mpa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2.含执行机构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2DC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6CFB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3BE0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2BF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575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电动三通阀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1DDA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1.规格：DN80，承压1.6Mpa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2.含执行机构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B79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1228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2155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8BC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83A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D9E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3.材质:镀锌钢管（含清扫口）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4.型号、规格:DN20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6C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2B0C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87.92</w:t>
            </w:r>
          </w:p>
        </w:tc>
      </w:tr>
      <w:tr w14:paraId="7D675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F67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94A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296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3.材质:镀锌钢管（含清扫口）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4.型号、规格:DN25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058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515D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16.53</w:t>
            </w:r>
          </w:p>
        </w:tc>
      </w:tr>
      <w:tr w14:paraId="6E79D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861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7C3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14F1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3.材质:镀锌钢管（含清扫口）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4.型号、规格:DN32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EE8C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866C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158.58</w:t>
            </w:r>
          </w:p>
        </w:tc>
      </w:tr>
      <w:tr w14:paraId="7FDCC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7"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08C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82CA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1DB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3.材质:镀锌钢管（含清扫口）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4.型号、规格:DN40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43A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4840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17.32</w:t>
            </w:r>
          </w:p>
        </w:tc>
      </w:tr>
      <w:tr w14:paraId="4AE59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D96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0D1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288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3.材质:镀锌钢管（含清扫口）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98E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1376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7.29</w:t>
            </w:r>
          </w:p>
        </w:tc>
      </w:tr>
      <w:tr w14:paraId="334E7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BD9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55D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219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3.材质:无缝钢管（含管件）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4.型号、规格:φ73*4mm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5.连接方式:焊接连接、镀锌费、二次安装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DEE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1DDB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45.00</w:t>
            </w:r>
          </w:p>
        </w:tc>
      </w:tr>
      <w:tr w14:paraId="4EFA0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19A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E6D2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504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3.材质:无缝钢管（含管件）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4.型号、规格:φ89*4mm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5.连接方式:焊接连接、镀锌费、二次安装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787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BACC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72.00</w:t>
            </w:r>
          </w:p>
        </w:tc>
      </w:tr>
      <w:tr w14:paraId="278C8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1"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C96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98D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无缝钢管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A06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3.材质:无缝钢管（含管件）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4.型号、规格:φ108*4mm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5.连接方式:焊接连接、镀锌费、二次安装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C72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034F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14.53</w:t>
            </w:r>
          </w:p>
        </w:tc>
      </w:tr>
      <w:tr w14:paraId="158F5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9"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C47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A0BA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空调水系统保温</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7B71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1.安装部位:空调冷水供回水管、膨胀水管、冷凝水管及其上的阀门、零配件等（包括管件、各类阀门、法兰、过滤器、伸缩软管、设备等）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2.绝热材料品种：保温采用难燃型橡塑绝热材料,湿阻因子≥20000.导热系数λ≤0.032(0℃时);λ≤0.036(40℃时),表观密度(kg/m3:50~60)。燃烧性能:通过难燃B1(B)级型式检验,氧指数&gt;38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3.绝热厚度：详见绍兴市第七人民医院净化工程暖通设计说明三（2.c）</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B9B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FEBE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14.80 </w:t>
            </w:r>
          </w:p>
        </w:tc>
      </w:tr>
      <w:tr w14:paraId="402DC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5C7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B858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冷却水箱</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0D7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1.规格：600x600x500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2.材质：不锈钢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3.用处：加湿器冷凝水集中冷凝</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CD2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8FF6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047F2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55D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E89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698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暖通工程支架制作安装（符合施工及验收规范要求）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A23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6D16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600.96</w:t>
            </w:r>
          </w:p>
        </w:tc>
      </w:tr>
      <w:tr w14:paraId="441F8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911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A1A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5737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1.除锈级别:手工除轻锈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2.油漆品种、涂刷遍数:防锈漆二遍、调和漆二遍</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102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DC99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600.96</w:t>
            </w:r>
          </w:p>
        </w:tc>
      </w:tr>
      <w:tr w14:paraId="35E9D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4EF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三</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04D2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四层静脉配置中心</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45212">
            <w:pPr>
              <w:jc w:val="left"/>
              <w:rPr>
                <w:rFonts w:hint="eastAsia" w:ascii="宋体" w:hAnsi="宋体" w:eastAsia="宋体" w:cs="宋体"/>
                <w:i w:val="0"/>
                <w:iCs w:val="0"/>
                <w:color w:val="000000"/>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EEA16">
            <w:pPr>
              <w:jc w:val="center"/>
              <w:rPr>
                <w:rFonts w:hint="eastAsia" w:ascii="宋体" w:hAnsi="宋体" w:eastAsia="宋体" w:cs="宋体"/>
                <w:i w:val="0"/>
                <w:iCs w:val="0"/>
                <w:color w:val="000000"/>
                <w:sz w:val="18"/>
                <w:szCs w:val="18"/>
                <w:highlight w:val="none"/>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22F11">
            <w:pPr>
              <w:jc w:val="right"/>
              <w:rPr>
                <w:rFonts w:hint="eastAsia" w:ascii="宋体" w:hAnsi="宋体" w:eastAsia="宋体" w:cs="宋体"/>
                <w:i w:val="0"/>
                <w:iCs w:val="0"/>
                <w:color w:val="000000"/>
                <w:sz w:val="18"/>
                <w:szCs w:val="18"/>
                <w:highlight w:val="none"/>
                <w:u w:val="none"/>
              </w:rPr>
            </w:pPr>
          </w:p>
        </w:tc>
      </w:tr>
      <w:tr w14:paraId="7D23E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9F8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1D2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风系统</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C2BD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（循环机组加粗字体规格为实质性指标★，新风机组加粗字体规格为重要指标▲）</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12F95">
            <w:pPr>
              <w:jc w:val="center"/>
              <w:rPr>
                <w:rFonts w:hint="eastAsia" w:ascii="宋体" w:hAnsi="宋体" w:eastAsia="宋体" w:cs="宋体"/>
                <w:i w:val="0"/>
                <w:iCs w:val="0"/>
                <w:color w:val="000000"/>
                <w:sz w:val="18"/>
                <w:szCs w:val="18"/>
                <w:highlight w:val="none"/>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084CD">
            <w:pPr>
              <w:jc w:val="right"/>
              <w:rPr>
                <w:rFonts w:hint="eastAsia" w:ascii="宋体" w:hAnsi="宋体" w:eastAsia="宋体" w:cs="宋体"/>
                <w:i w:val="0"/>
                <w:iCs w:val="0"/>
                <w:color w:val="000000"/>
                <w:sz w:val="18"/>
                <w:szCs w:val="18"/>
                <w:highlight w:val="none"/>
                <w:u w:val="none"/>
              </w:rPr>
            </w:pPr>
          </w:p>
        </w:tc>
      </w:tr>
      <w:tr w14:paraId="401A1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6"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510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D8D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循环机组</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716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1.名称:机械循环四管制医用净化空气处理机组AHU-401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送风量2480m3/h，新风量1620m3/h，制冷量34KW，制热量21KW，余压650Pa,电机功率3.0KW，段位组成（顺风方向）：混合段+风机段+均流段+过滤段（初效G4中效F8）+表冷段+加热段+加湿段+送风段（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3.安装形式:座地安装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7.空调室内机及与其室外机相连：屋顶室外水管桥架（根据现场情况及设计要求）、桥架支架、控制线及配管、按钮盒、铜管、设备基础、手动调节阀等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71A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5F9A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C45F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39"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96D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5D8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循环机组</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77D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1.名称:机械循环四管制医用净化空气处理机组AHU-402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送风量5370m3/h，新风量5370m3/h，制冷量102KW，制热量62KW，余压650Pa,电机功率5.5KW，段位组成（顺风方向）：进风段+风机段+均流段+过滤段（初效G4中效F8）+表冷段+加热段+加湿段+送风段（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3.安装形式:座地安装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7.空调室内机及与其室外机相连：屋顶室外水管桥架（根据现场情况及设计要求）、桥架支架、控制线及配管、按钮盒、铜管、设备基础、手动调节阀等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384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194F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682B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4"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466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286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新风机组</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EAA4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1.名称:机械循环四管制医用净化新风机组PAU-401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送风量2730m3/h，新风量2730m3/h，制冷量52KW，制热量32KW，余压450Pa,电机功率3.0W，段位组成（顺风方向）：进风段+风机段+均流段+过滤段（初效G4中效F8）+表冷段+加热段+送风段（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3.安装形式:座地安装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7.空调室内机及与其室外机相连：屋顶室外水管桥架（根据现场情况及设计要求）、桥架支架、控制线及配管、按钮盒、铜管、设备基础、手动调节阀等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B65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4A41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0ACD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C3D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F20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净化机组自控系统</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AA97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1.对系统的温度、湿度实现全自动控制</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B0B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F4D2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57C67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3BE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542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净化机组自控柜</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90B6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1.净化机组自控柜由控制器、变频器、继电器、接触器等组成柜体及支架，具体详见图纸</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1E7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15EF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275CA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7EB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0A3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电管配线</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9A2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1.柜体与机组之间的接线，含控制柜至机组各段位节点、各类传感器、联动排风机、防火阀等控制柜出线端所有强弱电管线</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DD5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A84E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760D9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65A4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1C6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控制面板</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1D1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1、对机组的启停、温湿度的控制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2、数码显示</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9EC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1E5E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76D1F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560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FF9B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压差显示装置</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4AB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1.数码显示，-20Pa~20Pa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2D9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FDD7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r>
      <w:tr w14:paraId="29028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DB7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9C2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电极式加湿器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B33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1.加湿形式：电极式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2.规格：加湿量 17kg/h</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882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CF22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FB38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FE6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536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电极式加湿器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2A5A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1.加湿形式：电极式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2.规格：加湿量 54kg/h</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7A2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8542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5DBC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5B5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904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高效送风口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701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1.高效送风口 500m3/h（带高效过滤器）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185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56B4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468EA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EC3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BF4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高效送风口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9A8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1.高效送风口 1000m3/h（带高效过滤器）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8B8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69E3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r>
      <w:tr w14:paraId="1C314176">
        <w:tblPrEx>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734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C28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回、排风口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DCFF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1.材质：铝合金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2.规格：500*300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3.带中效过滤器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427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5914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37007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649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8F3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回、排风口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CE9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1.材质：铝合金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2.规格：600*410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3.带中效过滤器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3CE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1887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r>
      <w:tr w14:paraId="6F8AD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5D6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4C4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回、排风口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F52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1.材质：铝合金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2.规格：1200*410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3.带中效过滤器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3FE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74AD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14C1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0FE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610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新风散流器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53A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1.型式:散流器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2.规格:400*400（面板尺寸）</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A8F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0DE7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r>
      <w:tr w14:paraId="61DB0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356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9C7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新风散流器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F0D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1.型式:散流器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2.规格:600*600（面板尺寸）</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23D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F783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3CE7E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9"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6F1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D82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B2D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1.名称：离心式排风机安装P-401-1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2.规格参数：风量：870m³/h,余压：350pa,功率：0.64KW，静音型（详细参数详见绍兴市第七人民医院净化工程暖通主材表一）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E70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8143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1714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685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392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CC1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1.名称：离心式排风机安装P-402-1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2.规格参数：风量：4200m³/h,余压：550pa,功率：3.0KW，排风机箱，变频（详细参数详见绍兴市第七人民医院净化工程暖通主材表一）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7.空调室内机及与其室外机相连：屋顶室外水管桥架（根据现场情况及设计要求）、桥架支架、控制线及配管、按钮盒及变频器、设备基础等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EB5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5C9C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4A2F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9"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4A0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731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7EE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1.名称：离心式排风机安装P-402-2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2.规格参数：风量：500m³/h,余压：350pa,功率：0.64KW，静音型（详细参数详见绍兴市第七人民医院净化工程暖通主材表一）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66A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E735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996B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F61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95B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排风机</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909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1.名称：离心式排风机安装P-4-1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2.规格参数：风量：760m³/h,余压：350pa,功率：0.64KW，静音型（详细参数详见绍兴市第七人民医院净化工程暖通主材表一）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3.安装形式:吊装式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7.空调室内机及与其室外机相连：屋顶室外水管桥架（根据现场情况及设计要求）、桥架支架、控制线及配管、按钮盒、设备基础等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3B7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E876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15D0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6B6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659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机械式定风量阀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713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1.类型：定风量阀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2.规格：800m3/h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D81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2CF0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3BF6E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99C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DA2D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机械式定风量阀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923E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1.类型：定风量阀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2.规格：1800m3/h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8FE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B90E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206A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654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290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164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2.规格：630*500，70℃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B034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6DED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E1D6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394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0821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1DE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2.规格：400*400，70℃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DAF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211C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06F15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D34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DEA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4B5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2.规格：250*200，70℃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B3C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C289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59ED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7DE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438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78CD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2.规格：200*200，70℃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E79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8F08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6B629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216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7E9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5EF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1.型式：手动多页调节阀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2.规格：500*500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136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9D5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9773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2A8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0F9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D73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1.型式：手动多页调节阀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2.规格：320*200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35D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2EA4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r>
      <w:tr w14:paraId="0A3F1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12C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BD88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B1C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1.型式：手动多页调节阀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73F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DDBD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r>
      <w:tr w14:paraId="5EC72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E82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4C5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8D1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1.型式：手动多页调节阀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2.规格：200*200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82E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BC53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w:t>
            </w:r>
          </w:p>
        </w:tc>
      </w:tr>
      <w:tr w14:paraId="692BF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D0F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56B1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B712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2.规格：500*500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D7B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69C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249D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97C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E22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止回阀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54B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9C9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12DF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73026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8D8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314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止回阀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6E3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2.规格：200*200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C25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E559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F747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462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68C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净化镀锌风管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D277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1.材质:镀锌薄钢板≤320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2.板材厚度:0.5mm优质镀锌钢板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3.形状:矩形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4.根据设计及施工验收规范要求设置导流叶片、风量测定孔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5.含风管支吊架制安，风管防腐油漆做法具体详见绍兴市第七人民医院净化工程暖通施工详图一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6.含穿墙套管具体做法详见图纸及设计规范要求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EB4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53C6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408.20</w:t>
            </w:r>
          </w:p>
        </w:tc>
      </w:tr>
      <w:tr w14:paraId="7F6D4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F78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04C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净化镀锌风管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CB3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1.材质:镀锌薄钢板≤450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2.板材厚度:0.6mm优质镀锌钢板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3.形状:矩形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4.根据设计及施工验收规范要求设置导流叶片、风量测定孔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5.含风管支吊架制安，风管防腐油漆做法具体详见绍兴市第七人民医院净化工程暖通施工详图一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6.含穿墙套管具体做法详见图纸及设计规范要求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545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CC59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83.60</w:t>
            </w:r>
          </w:p>
        </w:tc>
      </w:tr>
      <w:tr w14:paraId="2FC0F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10F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012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净化镀锌风管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E3F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1.材质:镀锌薄钢板≤1000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2.板材厚度:0.75mm优质镀锌钢板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3.形状:矩形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4.根据设计及施工验收规范要求设置导流叶片、风量测定孔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5.含风管支吊架制安，风管防腐油漆做法具体详见绍兴市第七人民医院净化工程暖通施工详图一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6.含穿墙套管具体做法详见图纸及设计规范要求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0F1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3863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212.26</w:t>
            </w:r>
          </w:p>
        </w:tc>
      </w:tr>
      <w:tr w14:paraId="44AD7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8"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769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B351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空调风系统保温</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2BF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1.安装部位:空调风管、部件等。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2.绝热材料品种：保温采用难燃型橡塑绝热材料,湿阻因子≥20000.导热系数λ≤0.032(0℃时);λ≤0.036(40℃时),表观密度(kg/m3:50~60)。燃烧性能:通过难燃B1(B)级型式检验,氧指数&gt;38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3.绝热厚度：详见绍兴市第七人民医院净化工程暖通设计说明三（2.c）</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C37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DF5D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21.00</w:t>
            </w:r>
          </w:p>
        </w:tc>
      </w:tr>
      <w:tr w14:paraId="4CCD8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F49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FBDD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通风管道岩棉</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039E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1.安装部位:电加热器前后800mm空调风管。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2.绝热材料品种：20mm厚不燃性石棉板保温板</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D22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2B73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0.56</w:t>
            </w:r>
          </w:p>
        </w:tc>
      </w:tr>
      <w:tr w14:paraId="08B74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A0F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B51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EB0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630*500,L=2000mm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249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97DF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02B3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692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156A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89C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1.双腔微穿孔消声器500*500,L=800mm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E5E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1D21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D330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FC1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CBD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E57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400*400,L=2000mm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9EA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E416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779AD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0C1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FBD6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83A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250*200,L=800mm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2A0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83D2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208C5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5C8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B5D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微穿孔板消声器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DEE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1.双腔微穿孔消声器 200*200,L=800mm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9A1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7D03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0AF6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BBA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809A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消声弯头</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BBD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1.消声弯头安装 800*800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A6C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5F99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D88A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242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233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消声弯头</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752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1.消声弯头安装 800*630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2.含支架减振器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635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97F1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0E77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9F1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7E4E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7744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1.型式：电动密闭阀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2.规格：630*500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AFF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4356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BCEC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B82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8FB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DE6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1.型式：电动密闭阀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2.规格：500*200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84F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FF83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65B0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BD7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23A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D73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1.型式：电动密闭阀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2.规格：400*400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CF6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7188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B5EC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2A6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1AF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C07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1.型式：电动密闭阀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2.规格：320*320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BF6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8C3B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A240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E82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109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2F7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1.型式：电动密闭阀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259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DA35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526FE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D57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C69F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电动调节阀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256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1.型式：电动密闭阀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2.规格：200*200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3.含设备支架制作安装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69B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6807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16661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150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91E0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防风雨风口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145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1.型式：外窗铝合金百叶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2.规格：2000*800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BA8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452F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79E0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06B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D368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防风雨风口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CB7D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1.型式：外窗铝合金百叶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2.规格：2100*1300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D07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0F38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719D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4CC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D03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电加热器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38E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1.电加热器 6KW</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26F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448A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3F63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8D4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971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电加热器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346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1.电加热器 9KW</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CB0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4571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016E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238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B87E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电加热器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04A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1.电加热器 15KW</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7A9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E25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7FAD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2"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3A2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82C5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BC7A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称:风机盘管FP-51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2.参 数:风量510m³/h,制冷量：2.7kw制热量：4.05kw （详细参数详见绍兴市第七人民医院净化工程暖通主材表二）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3.安装形式:吊顶式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7.空调室内机及与其室外机相连：屋顶室外水管桥架（根据现场情况及设计要求）、桥架支架、控制线及配管、按钮盒及回风箱等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257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3F24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r>
      <w:tr w14:paraId="51EE9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2"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2EF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60D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01C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称:风机盘管FP-68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2.参 数:风量680m³/h,制冷量：3.6kw制热量：5.4kw （详细参数详见绍兴市第七人民医院净化工程暖通主材表二）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3.安装形式:吊顶式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7.空调室内机及与其室外机相连：屋顶室外水管桥架（根据现场情况及设计要求）、桥架支架、控制线及配管、按钮盒及回风箱等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923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5DCF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00528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7"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4EE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789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3B59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称:风机盘管FP-85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2.参 数:风量850m³/h,制冷量：4.5kw制热量：6.75kw （详细参数详见绍兴市第七人民医院净化工程暖通主材表二）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3.安装形式:吊顶式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7.空调室内机及与其室外机相连：屋顶室外水管桥架（根据现场情况及设计要求）、桥架支架、控制线及配管、按钮盒及回风箱等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FC4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622A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6F340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3"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274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0A6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86A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称:风机盘管FP-102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2.参 数:风量1020m³/h,制冷量：5.4kw制热量：8.1kw  （详细参数详见绍兴市第七人民医院净化工程暖通主材表二）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3.安装形式:吊顶式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4.隔振垫(器)安装（符合设备、设计及施工验收规范要求）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5.双层不产尘难燃材料软接头（耐火极限要求与相连的风管相同）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7.空调室内机及与其室外机相连：屋顶室外水管桥架（根据现场情况及设计要求）、桥架支架、控制线及配管、按钮盒及回风箱等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B1D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6E76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r>
      <w:tr w14:paraId="4CBB4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D88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45D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风机盘管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送风口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D95B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1.型式:散流器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2.规格:送风口400*400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11D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3431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r>
      <w:tr w14:paraId="36F6F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53B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BEC9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风机盘管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送风口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34D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1.型式:散流器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2.规格:送风口600*600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AEE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9DB7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r>
      <w:tr w14:paraId="331A0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078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6812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回风口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C2A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1.型式:配网可开格栅风口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2.规格:回风口400*400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3.初阻力小于等于50Pa；含微生物一次通过率不大于10%和颗粒物一次计重通过率不大于5%的过滤设备</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550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0DC5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r>
      <w:tr w14:paraId="1FE2E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1EB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943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回风口</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ABD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1.型式:配网可开格栅风口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2.规格:回风口600*600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3.初阻力小于等于50Pa；含微生物一次通过率不大于10%和颗粒物一次计重通过率不大于5%的过滤设备</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C8E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FE1A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r>
      <w:tr w14:paraId="5BB38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04B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A5D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风机盘管空调水系统（两管制）</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608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1.含DN20电动二通阀1只</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2.过滤器1只</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3.铜球阀2只</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4.不锈钢软接2只</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5.温控器1只（三档调速）</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F2D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9BA3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r>
      <w:tr w14:paraId="0D35B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3C6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467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吸顶式空气消毒器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E6D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1.名称：等离子体空气净化消毒机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2.参数、规格:风量800m3/h 输入功率≤130W 使用范围≤100m3  ，内置紫外线灭菌灯、等离子、过滤网、配遥控器（详细参数详见绍兴市第七人民医院净化工程暖通主材表二）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3.安装形式:吊顶嵌入式安装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A2A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92DF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r>
      <w:tr w14:paraId="2FA88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437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（二）</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911F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水系统</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4004C">
            <w:pPr>
              <w:jc w:val="left"/>
              <w:rPr>
                <w:rFonts w:hint="eastAsia" w:ascii="宋体" w:hAnsi="宋体" w:eastAsia="宋体" w:cs="宋体"/>
                <w:i w:val="0"/>
                <w:iCs w:val="0"/>
                <w:color w:val="000000"/>
                <w:sz w:val="18"/>
                <w:szCs w:val="18"/>
                <w:highlight w:val="none"/>
                <w:u w:val="none"/>
              </w:rPr>
            </w:pP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8E13C">
            <w:pPr>
              <w:jc w:val="center"/>
              <w:rPr>
                <w:rFonts w:hint="eastAsia" w:ascii="宋体" w:hAnsi="宋体" w:eastAsia="宋体" w:cs="宋体"/>
                <w:i w:val="0"/>
                <w:iCs w:val="0"/>
                <w:color w:val="000000"/>
                <w:sz w:val="18"/>
                <w:szCs w:val="18"/>
                <w:highlight w:val="none"/>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AECA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w:t>
            </w:r>
          </w:p>
        </w:tc>
      </w:tr>
      <w:tr w14:paraId="29218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748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134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工业液体温度计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66B1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1.量程0℃-100℃，承压1.6MPa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5EE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6C07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r>
      <w:tr w14:paraId="03D2B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27B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454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压力表（带旋塞）</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FEE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1.量程0-1.6MPa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AC5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F0B8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r>
      <w:tr w14:paraId="11F17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E84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5125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丝口过滤器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C10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1.规格：DN32，承压1.6MPa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23C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D701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46F3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2E8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E10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丝口过滤器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F02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1.规格：DN50，承压1.6MPa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267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C15E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169BE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C41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8EE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法兰过滤器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1AF0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1.规格：DN65，承压1.6MPa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A74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0D2A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20AE9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29F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055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法兰过滤器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4E4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1.规格：DN80，承压1.6MPa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58E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A98B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85B5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B25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26C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软接头（软管）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138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1.规格：DN32，丝口，承压1.6MPa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5B3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5A1E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0E06E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4E5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BD5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软接头（软管）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DD2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1.规格：DN40，丝口，承压1.6MPa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F90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9F4E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477D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680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815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软接头（软管）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AD8D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1.规格：DN50，丝口，承压1.6MPa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361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E947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7BE80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B7E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3391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软接头（软管）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2D0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1.规格：DN65，法兰，承压1.6MPa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DB5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9DE6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021BA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FB2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E14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软接头（软管）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210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1.规格：DN80，法兰，承压1.6MPa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392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E9AD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29050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19D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4A2C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自动排气阀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200A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1.规格：DN20，丝口，承压1.6MPa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2.材质：铜材质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E4E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E7B5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2D959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885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3508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截止阀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8C0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1.规格：DN20，承压1.6Mpa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5E0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3787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F391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413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2AA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截止阀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17E3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1.规格：DN25，承压1.6Mpa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2A8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A96E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120F7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EE2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365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截止阀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32B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1.规格：DN32，承压1.6Mpa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525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7D18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9976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B5F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F3BE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截止阀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6D8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1.规格：DN50，承压1.6Mpa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C33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E438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w:t>
            </w:r>
          </w:p>
        </w:tc>
      </w:tr>
      <w:tr w14:paraId="69839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143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EDD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对夹式蝶阀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B5C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1.规格：DN65，承压1.6Mpa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ED8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FFD9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r>
      <w:tr w14:paraId="5DCD9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CB2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859F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对夹式蝶阀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434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1.规格：DN80，承压1.6Mpa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78A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2E7C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r>
      <w:tr w14:paraId="7279D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FF9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42EA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对夹式蝶阀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03AB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1.规格：DN100，承压1.6Mpa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E07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4CFD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27CE9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CCA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CEC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涡轮蝶阀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2BF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1.规格：DN150，承压1.6Mpa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EF1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D7D7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13D2A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92D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2B1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静态水力平衡阀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6B7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1.规格：DN80，承压1.6Mpa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773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8076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68A8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F5F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775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静态水力平衡阀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E01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1.规格：DN100，承压1.6Mpa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288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20B2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33C22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ADA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000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静态水力平衡阀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ACE9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1.规格：DN125，承压1.6Mpa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CA7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DC64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240A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0CC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9BEC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排污阀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16E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1.规格：DN25，承压1.6Mpa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8FA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CAF1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r>
      <w:tr w14:paraId="1DDA4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F30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909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电动三通阀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2A7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1.规格：DN50，承压1.6Mpa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2.含执行机构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1D8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6E23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0DF4C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40B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EA41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电动三通阀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8ED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1.规格：DN65，承压1.6Mpa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2.含执行机构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2B5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39F1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F428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EEB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3950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电动三通阀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F235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1.规格：DN80，承压1.6Mpa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2.含执行机构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CFB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AD70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EE2B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AFD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2FF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910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1.规格：DN80，承压1.6Mpa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2.含执行机构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01B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1380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79320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E3F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E2FF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236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1.规格：DN100，承压1.6Mpa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2.含执行机构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B7A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E875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274C0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687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834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E13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3.材质:镀锌钢管（含清扫口）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4.型号、规格:DN20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B50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5793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241.95</w:t>
            </w:r>
          </w:p>
        </w:tc>
      </w:tr>
      <w:tr w14:paraId="1EF89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6DB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ECF9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2BD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3.材质:镀锌钢管（含清扫口）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4.型号、规格:DN25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388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E0A5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38.56</w:t>
            </w:r>
          </w:p>
        </w:tc>
      </w:tr>
      <w:tr w14:paraId="0830B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B37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281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226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3.材质:镀锌钢管（含清扫口）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4.型号、规格:DN32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159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9B84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94.70</w:t>
            </w:r>
          </w:p>
        </w:tc>
      </w:tr>
      <w:tr w14:paraId="75CE5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F31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3029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58A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3.材质:镀锌钢管（含清扫口）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4.型号、规格:DN40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CF1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6ED2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34.81</w:t>
            </w:r>
          </w:p>
        </w:tc>
      </w:tr>
      <w:tr w14:paraId="7128D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EA6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06D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E470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3.材质:镀锌钢管（含清扫口）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F52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9B69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58.22</w:t>
            </w:r>
          </w:p>
        </w:tc>
      </w:tr>
      <w:tr w14:paraId="758C4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A02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E3B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074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3.材质:无缝钢管（含管件）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4.型号、规格:φ73*4mm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5.连接方式:焊接连接、镀锌费、二次安装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FB6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B7E3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120.74</w:t>
            </w:r>
          </w:p>
        </w:tc>
      </w:tr>
      <w:tr w14:paraId="57C8F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13D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687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F3B1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3.材质:无缝钢管（含管件）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4.型号、规格:φ89*4mm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5.连接方式:焊接连接、镀锌费、二次安装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792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3571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67.17</w:t>
            </w:r>
          </w:p>
        </w:tc>
      </w:tr>
      <w:tr w14:paraId="33689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C06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EB0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无缝钢管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92F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3.材质:无缝钢管（含管件）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4.型号、规格:φ108*4mm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5.连接方式:焊接连接、镀锌费、二次安装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035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7DAE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22.65</w:t>
            </w:r>
          </w:p>
        </w:tc>
      </w:tr>
      <w:tr w14:paraId="052F2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080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039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无缝钢管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DE8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3.材质:无缝钢管（含管件）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4.型号、规格:φ133*4mm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5.连接方式:法兰连接、镀锌费、二次安装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2F9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3286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12.79</w:t>
            </w:r>
          </w:p>
        </w:tc>
      </w:tr>
      <w:tr w14:paraId="79953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FA8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EF4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空调水系统保温</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F4F1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1.安装部位:空调冷水供回水管、膨胀水管、冷凝水管及其上的阀门、零配件等（包括管件、各类阀门、法兰、过滤器、伸缩软管、设备等）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2.绝热材料品种：保温采用难燃型橡塑绝热材料,湿阻因子≥20000.导热系数λ≤0.032(0℃时);λ≤0.036(40℃时),表观密度(kg/m3:50~60)。燃烧性能:通过难燃B1(B)级型式检验,氧指数&gt;38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3.绝热厚度：详见绍兴市第七人民医院净化工程暖通设计说明三（2.c）</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D5A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0EBB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20.40 </w:t>
            </w:r>
          </w:p>
        </w:tc>
      </w:tr>
      <w:tr w14:paraId="36D5E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1A7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AAD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冷却水箱</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2FF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1.规格：600x600x500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2.材质：不锈钢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3.用处：加湿器冷凝水集中冷凝</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42C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F45E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4C9D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09F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8F4C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69E3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暖通工程支架制作安装（符合施工及验收规范要求）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B6D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AC74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900.68</w:t>
            </w:r>
          </w:p>
        </w:tc>
      </w:tr>
      <w:tr w14:paraId="76BB7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8B5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28E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4D44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1.除锈级别:手工除轻锈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2.油漆品种、涂刷遍数:防锈漆二遍、调和漆二遍</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0DB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F52A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900.68</w:t>
            </w:r>
          </w:p>
        </w:tc>
      </w:tr>
      <w:tr w14:paraId="17B3A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CA3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四</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2C2C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冷热源</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E6D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（四管制风冷螺杆一体机组主要技术指标（加粗字体）为实质性招标★）</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482D2">
            <w:pPr>
              <w:jc w:val="center"/>
              <w:rPr>
                <w:rFonts w:hint="eastAsia" w:ascii="宋体" w:hAnsi="宋体" w:eastAsia="宋体" w:cs="宋体"/>
                <w:i w:val="0"/>
                <w:iCs w:val="0"/>
                <w:color w:val="000000"/>
                <w:sz w:val="18"/>
                <w:szCs w:val="18"/>
                <w:highlight w:val="none"/>
                <w:u w:val="none"/>
              </w:rPr>
            </w:pP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CB9CC">
            <w:pPr>
              <w:jc w:val="right"/>
              <w:rPr>
                <w:rFonts w:hint="eastAsia" w:ascii="宋体" w:hAnsi="宋体" w:eastAsia="宋体" w:cs="宋体"/>
                <w:i w:val="0"/>
                <w:iCs w:val="0"/>
                <w:color w:val="000000"/>
                <w:sz w:val="18"/>
                <w:szCs w:val="18"/>
                <w:highlight w:val="none"/>
                <w:u w:val="none"/>
              </w:rPr>
            </w:pPr>
          </w:p>
        </w:tc>
      </w:tr>
      <w:tr w14:paraId="20657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9"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CF6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A4E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四管制风冷螺杆一体机组</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291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1、四管制风冷螺杆一体机组ACHP-01~02安装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2、主要技术参数：制冷量：≥428KW,进出水温度：12℃/7℃，制热量：≥447KW,进出水温度：40℃/45℃，媒介：R134a，配套启动柜（详细参数详见绍兴市第七人民医院净化工程暖通主材表一）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3、弹簧减震器（厂家配套）安装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4、含远控面板、流量开关、启动柜至设备的连线及保护管制安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5、需接入中央监控系统控制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6、室内、室外机连接铜管、铜管管件、冷媒、支架，室内室外机基础等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D6A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982C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79EE8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4"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51C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46D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离心式泵</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C60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1、冷水水泵CP-01~03安装 （卧式、室外型）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2、主要技术参数：流量:75m3/h,扬程:38m，2用1备 自带控制箱及变频器（详细参数详见绍兴市第七人民医院净化工程暖通主材表一）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3、减震台座、弹簧减震器（厂家配套）制作安装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4、热泵基座、控制箱至泵的连线及保护管制安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5、需接入中央监控系统控制</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6EA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D52B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7A2D9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7"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5CE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02C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离心式泵</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4097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1、热水水泵HP-01~03安装 （卧式、室外型）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2、主要技术参数：流量:75m3/h,扬程:38m，2用1备 自带控制箱及变频器（详细参数详见绍兴市第七人民医院净化工程暖通主材表一）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3、减震台座、弹簧减震器（厂家配套）制作安装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4、热泵基座、控制箱至泵的连线及保护管制安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5、需接入中央监控系统控制</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AD8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B295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58F6F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31A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1CF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电子除垢仪</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6D2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1.流量：75吨/小时，功率：150W，出入口尺寸：DN200，承压1.6MPa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A07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C940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766F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4D2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ACA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工业液体温度计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EFA3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1.量程0℃-100℃，承压1.6MPa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027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F16D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r>
      <w:tr w14:paraId="5F9EA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046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4BBB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压力表（带旋塞）</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D748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1.量程0-1.6MPa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010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766E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r>
      <w:tr w14:paraId="6DC72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89C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A54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法兰过滤器</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477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1.规格：DN150，承压1.6MPa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151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DA29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r>
      <w:tr w14:paraId="50EA6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0F7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64E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软接头（软管）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510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1.规格：DN150，法兰，承压1.6MPa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332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05AA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r>
      <w:tr w14:paraId="269FC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A3B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ABD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膨胀水箱 </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A498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1、膨胀水箱安装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2、规格、型号：有效容积1立方米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3、防雷接地措施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4、水箱支架及水箱保温措施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5、材质：不锈钢</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DF0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168D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01DD4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451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2EB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自动排气阀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033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1.规格：DN20，丝口，承压1.6MPa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2.材质：铜材质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FD9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F6F9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627F1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9C99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6DE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AD5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1.规格：DN150，承压1.6Mpa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995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023F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r>
      <w:tr w14:paraId="2ED4C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BC4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6DFF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C2D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1.规格：DN200，承压1.6Mpa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56B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FED6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r>
      <w:tr w14:paraId="5A621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5B9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C85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截止阀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10F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1.规格：DN32，承压1.6Mpa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F77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92AF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31AF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618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1FE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截止阀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C10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1.规格：DN50，承压1.6Mpa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5BE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2CDC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787DD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368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359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闸阀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CF3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1.规格：DN150，承压1.6Mpa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F89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392B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293AB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847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3C38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电动蝶阀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314D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1.规格：DN150，承压1.6Mpa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2.含执行机构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99E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A13B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18E3B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2FC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EC8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法兰止回阀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2FE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1.规格：DN150，承压1.6Mpa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5C3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0230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77392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8F4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560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排污阀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DE3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1.规格：DN25，承压1.6Mpa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354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4CA5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02D23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E87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347</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7B9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电动阀</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F3F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1.规格：DN150，承压1.6Mpa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2.含执行机构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DCC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BFE8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77BD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2"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045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348</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63A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703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3.材质:镀锌钢管（含清扫口）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4.型号、规格:DN40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C6D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1DB9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15.00</w:t>
            </w:r>
          </w:p>
        </w:tc>
      </w:tr>
      <w:tr w14:paraId="3214E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0EE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349</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3E16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无缝钢管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3E7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3.材质:无缝钢管（含管件）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4.型号、规格:φ108*4mm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5.连接方式:焊接连接、镀锌费、二次安装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27B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1A60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33.00</w:t>
            </w:r>
          </w:p>
        </w:tc>
      </w:tr>
      <w:tr w14:paraId="3F61C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3CF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350</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E91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无缝钢管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62F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3.材质:无缝钢管（含管件）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4.型号、规格:φ133*4mm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5.连接方式:法兰连接、镀锌费、二次安装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8BC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3C87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21.00</w:t>
            </w:r>
          </w:p>
        </w:tc>
      </w:tr>
      <w:tr w14:paraId="30C09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1"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EFC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351</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F0D8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无缝钢管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4BC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3.材质:无缝钢管（含管件）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4.型号、规格:φ159*4.5mm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5.连接方式:法兰连接、镀锌费、二次安装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F90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CA91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170.00</w:t>
            </w:r>
          </w:p>
        </w:tc>
      </w:tr>
      <w:tr w14:paraId="50A32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273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352</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DB0E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无缝钢管</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87B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2.介质:空调水管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3.材质:无缝钢管（含管件）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4.型号、规格:φ219*6mm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5.连接方式:法兰连接、镀锌费、二次安装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6.管道穿墙或楼板须加设套管，具体做法详见图纸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7.压力试验、刷油刷漆及吹、洗设计要求详见绍兴市第七人民医院净化工程空调设计说明</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088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5438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155.00</w:t>
            </w:r>
          </w:p>
        </w:tc>
      </w:tr>
      <w:tr w14:paraId="288F3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2"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259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353</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C02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空调水系统保温</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DADD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1.安装部位:空调冷水供回水管、膨胀水管、冷凝水管及其上的阀门、零配件等（包括管件、各类阀门、法兰、过滤器、伸缩软管、设备等）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2.绝热材料品种：保温采用难燃型橡塑绝热材料,湿阻因子≥20000.导热系数λ≤0.032(0℃时);λ≤0.036(40℃时),表观密度(kg/m3:50~60)。燃烧性能:通过难燃B1(B)级型式检验,氧指数&gt;38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3.绝热厚度：详见绍兴市第七人民医院净化工程暖通设计说明三（2.c）</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8C24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DB81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15.40</w:t>
            </w:r>
          </w:p>
        </w:tc>
      </w:tr>
      <w:tr w14:paraId="42C2B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E8F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354</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40E4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防潮层、保护层</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A48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1.名称：保温层外覆铝板保护壳制安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2.厚度：0.5mm</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00E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ED8F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400.00</w:t>
            </w:r>
          </w:p>
        </w:tc>
      </w:tr>
      <w:tr w14:paraId="52A8D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F0E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355</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B53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95C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暖通工程支架制作安装（符合施工及验收规范要求）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BBB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6FB7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795.22</w:t>
            </w:r>
          </w:p>
        </w:tc>
      </w:tr>
      <w:tr w14:paraId="59ED0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57A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356</w:t>
            </w:r>
          </w:p>
        </w:tc>
        <w:tc>
          <w:tcPr>
            <w:tcW w:w="1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912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2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DB8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1.除锈级别:手工除轻锈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2.油漆品种、涂刷遍数:防锈漆二遍、调和漆二遍</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419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EE4C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795.22</w:t>
            </w:r>
          </w:p>
        </w:tc>
      </w:tr>
    </w:tbl>
    <w:p w14:paraId="542F49D6">
      <w:pPr>
        <w:pStyle w:val="9"/>
        <w:rPr>
          <w:rFonts w:hint="default"/>
          <w:color w:val="auto"/>
          <w:highlight w:val="none"/>
          <w:lang w:val="en-US" w:eastAsia="zh-CN"/>
        </w:rPr>
      </w:pP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6"/>
        <w:gridCol w:w="2952"/>
        <w:gridCol w:w="8134"/>
        <w:gridCol w:w="904"/>
        <w:gridCol w:w="1434"/>
      </w:tblGrid>
      <w:tr w14:paraId="5E660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000" w:type="pct"/>
            <w:gridSpan w:val="5"/>
            <w:tcBorders>
              <w:top w:val="nil"/>
              <w:left w:val="nil"/>
              <w:bottom w:val="nil"/>
              <w:right w:val="nil"/>
            </w:tcBorders>
            <w:shd w:val="clear" w:color="auto" w:fill="auto"/>
            <w:vAlign w:val="center"/>
          </w:tcPr>
          <w:p w14:paraId="28BC87F9">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snapToGrid w:val="0"/>
                <w:color w:val="000000"/>
                <w:kern w:val="0"/>
                <w:sz w:val="40"/>
                <w:szCs w:val="40"/>
                <w:highlight w:val="none"/>
                <w:u w:val="none"/>
                <w:lang w:val="en-US" w:eastAsia="zh-CN" w:bidi="ar"/>
              </w:rPr>
              <w:t>1.3强电工程</w:t>
            </w:r>
          </w:p>
        </w:tc>
      </w:tr>
      <w:tr w14:paraId="55EF4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1BA6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序号</w:t>
            </w:r>
          </w:p>
        </w:tc>
        <w:tc>
          <w:tcPr>
            <w:tcW w:w="10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A208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项目名称</w:t>
            </w:r>
          </w:p>
        </w:tc>
        <w:tc>
          <w:tcPr>
            <w:tcW w:w="28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6FA0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项目特征</w:t>
            </w:r>
          </w:p>
        </w:tc>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DAEF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计量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单位</w:t>
            </w:r>
          </w:p>
        </w:tc>
        <w:tc>
          <w:tcPr>
            <w:tcW w:w="50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4204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工程量</w:t>
            </w:r>
          </w:p>
        </w:tc>
      </w:tr>
      <w:tr w14:paraId="20241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75F6A4">
            <w:pPr>
              <w:jc w:val="center"/>
              <w:rPr>
                <w:rFonts w:hint="eastAsia" w:ascii="宋体" w:hAnsi="宋体" w:eastAsia="宋体" w:cs="宋体"/>
                <w:i w:val="0"/>
                <w:iCs w:val="0"/>
                <w:color w:val="000000"/>
                <w:sz w:val="18"/>
                <w:szCs w:val="18"/>
                <w:highlight w:val="none"/>
                <w:u w:val="none"/>
              </w:rPr>
            </w:pPr>
          </w:p>
        </w:tc>
        <w:tc>
          <w:tcPr>
            <w:tcW w:w="10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E9364">
            <w:pPr>
              <w:jc w:val="center"/>
              <w:rPr>
                <w:rFonts w:hint="eastAsia" w:ascii="宋体" w:hAnsi="宋体" w:eastAsia="宋体" w:cs="宋体"/>
                <w:i w:val="0"/>
                <w:iCs w:val="0"/>
                <w:color w:val="000000"/>
                <w:sz w:val="18"/>
                <w:szCs w:val="18"/>
                <w:highlight w:val="none"/>
                <w:u w:val="none"/>
              </w:rPr>
            </w:pPr>
          </w:p>
        </w:tc>
        <w:tc>
          <w:tcPr>
            <w:tcW w:w="28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A4748">
            <w:pPr>
              <w:jc w:val="center"/>
              <w:rPr>
                <w:rFonts w:hint="eastAsia" w:ascii="宋体" w:hAnsi="宋体" w:eastAsia="宋体" w:cs="宋体"/>
                <w:i w:val="0"/>
                <w:iCs w:val="0"/>
                <w:color w:val="000000"/>
                <w:sz w:val="18"/>
                <w:szCs w:val="18"/>
                <w:highlight w:val="none"/>
                <w:u w:val="none"/>
              </w:rPr>
            </w:pPr>
          </w:p>
        </w:tc>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9D22F">
            <w:pPr>
              <w:jc w:val="center"/>
              <w:rPr>
                <w:rFonts w:hint="eastAsia" w:ascii="宋体" w:hAnsi="宋体" w:eastAsia="宋体" w:cs="宋体"/>
                <w:i w:val="0"/>
                <w:iCs w:val="0"/>
                <w:color w:val="000000"/>
                <w:sz w:val="18"/>
                <w:szCs w:val="18"/>
                <w:highlight w:val="none"/>
                <w:u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5FDBC">
            <w:pPr>
              <w:jc w:val="center"/>
              <w:rPr>
                <w:rFonts w:hint="eastAsia" w:ascii="宋体" w:hAnsi="宋体" w:eastAsia="宋体" w:cs="宋体"/>
                <w:i w:val="0"/>
                <w:iCs w:val="0"/>
                <w:color w:val="000000"/>
                <w:sz w:val="18"/>
                <w:szCs w:val="18"/>
                <w:highlight w:val="none"/>
                <w:u w:val="none"/>
              </w:rPr>
            </w:pPr>
          </w:p>
        </w:tc>
      </w:tr>
      <w:tr w14:paraId="057BB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71FAD">
            <w:pPr>
              <w:jc w:val="center"/>
              <w:rPr>
                <w:rFonts w:hint="eastAsia" w:ascii="宋体" w:hAnsi="宋体" w:eastAsia="宋体" w:cs="宋体"/>
                <w:i w:val="0"/>
                <w:iCs w:val="0"/>
                <w:color w:val="000000"/>
                <w:sz w:val="18"/>
                <w:szCs w:val="18"/>
                <w:highlight w:val="none"/>
                <w:u w:val="none"/>
              </w:rPr>
            </w:pPr>
          </w:p>
        </w:tc>
        <w:tc>
          <w:tcPr>
            <w:tcW w:w="10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FAB6E">
            <w:pPr>
              <w:jc w:val="center"/>
              <w:rPr>
                <w:rFonts w:hint="eastAsia" w:ascii="宋体" w:hAnsi="宋体" w:eastAsia="宋体" w:cs="宋体"/>
                <w:i w:val="0"/>
                <w:iCs w:val="0"/>
                <w:color w:val="000000"/>
                <w:sz w:val="18"/>
                <w:szCs w:val="18"/>
                <w:highlight w:val="none"/>
                <w:u w:val="none"/>
              </w:rPr>
            </w:pPr>
          </w:p>
        </w:tc>
        <w:tc>
          <w:tcPr>
            <w:tcW w:w="28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F60D7">
            <w:pPr>
              <w:jc w:val="center"/>
              <w:rPr>
                <w:rFonts w:hint="eastAsia" w:ascii="宋体" w:hAnsi="宋体" w:eastAsia="宋体" w:cs="宋体"/>
                <w:i w:val="0"/>
                <w:iCs w:val="0"/>
                <w:color w:val="000000"/>
                <w:sz w:val="18"/>
                <w:szCs w:val="18"/>
                <w:highlight w:val="none"/>
                <w:u w:val="none"/>
              </w:rPr>
            </w:pPr>
          </w:p>
        </w:tc>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3D4271">
            <w:pPr>
              <w:jc w:val="center"/>
              <w:rPr>
                <w:rFonts w:hint="eastAsia" w:ascii="宋体" w:hAnsi="宋体" w:eastAsia="宋体" w:cs="宋体"/>
                <w:i w:val="0"/>
                <w:iCs w:val="0"/>
                <w:color w:val="000000"/>
                <w:sz w:val="18"/>
                <w:szCs w:val="18"/>
                <w:highlight w:val="none"/>
                <w:u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A3761">
            <w:pPr>
              <w:jc w:val="center"/>
              <w:rPr>
                <w:rFonts w:hint="eastAsia" w:ascii="宋体" w:hAnsi="宋体" w:eastAsia="宋体" w:cs="宋体"/>
                <w:i w:val="0"/>
                <w:iCs w:val="0"/>
                <w:color w:val="000000"/>
                <w:sz w:val="18"/>
                <w:szCs w:val="18"/>
                <w:highlight w:val="none"/>
                <w:u w:val="none"/>
              </w:rPr>
            </w:pPr>
          </w:p>
        </w:tc>
      </w:tr>
      <w:tr w14:paraId="7CD5D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00B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6FFD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二层中心供应室</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D9988">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890A0">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0F99F">
            <w:pPr>
              <w:jc w:val="right"/>
              <w:rPr>
                <w:rFonts w:hint="eastAsia" w:ascii="宋体" w:hAnsi="宋体" w:eastAsia="宋体" w:cs="宋体"/>
                <w:i w:val="0"/>
                <w:iCs w:val="0"/>
                <w:color w:val="000000"/>
                <w:sz w:val="18"/>
                <w:szCs w:val="18"/>
                <w:highlight w:val="none"/>
                <w:u w:val="none"/>
              </w:rPr>
            </w:pPr>
          </w:p>
        </w:tc>
      </w:tr>
      <w:tr w14:paraId="3B858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FEA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AC6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C80B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2、编号：ZXAP1；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3、安装方式：挂墙安装；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368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FFB8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58DC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D56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1F7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23D7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2、编号：ZXAP2；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3、安装方式：挂墙安装；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409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5D82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00F7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123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5BA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C07E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2、编号：ZXBG；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3、安装方式：挂墙安装；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5F4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67B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E15C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E14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065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08A2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2、编号：DWAP（GYAP)；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3、安装方式：挂墙安装；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24A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E89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407A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D92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E9E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373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2、编号：ZXBG；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3、安装方式：挂墙安装；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51B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87FA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A152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DA1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BC2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C18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2、编号：SCLAP；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3、安装方式：挂墙安装；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4FA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49DD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ECAC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B45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9207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C8C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2、编号：ATP(3)/2/2；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3、安装方式：10#槽钢落地安装；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DF6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4021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3620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D4B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1F58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E03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2、编号：ATP(3)/2/1；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3、安装方式：10#槽钢落地安装；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C98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E887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1923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213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2A2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984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2、编号：ATP(3)/2/3；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3、安装方式：10#槽钢落地安装；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6DC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3477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CD30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450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343E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8C4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2、编号：ATP(3)/2/KT2；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3、安装方式：10#槽钢落地安装；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DC3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F29D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333B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A04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04E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FE53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2、编号：ATP(2)/3-DSA；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3、安装方式：10#槽钢落地安装；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931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7DDE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D999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A68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DEF4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DF8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1、名称：金属槽式桥架敷设；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2、规格：100*100mm；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3、含桥架本体及隔板、扣锁、连接片（内外）、螺栓、盖板、铜接地线安装，厚度满足相关规范要求"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0A5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E41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23.64</w:t>
            </w:r>
          </w:p>
        </w:tc>
      </w:tr>
      <w:tr w14:paraId="12EAB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675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7AE3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72F8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1、名称：金属槽式桥架敷设；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2、规格：200*100mm；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3、含桥架本体及隔板、扣锁、连接片（内外）、螺栓、盖板、铜接地线安装，厚度满足相关规范要求"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19F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8706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82.47</w:t>
            </w:r>
          </w:p>
        </w:tc>
      </w:tr>
      <w:tr w14:paraId="312AD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12A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3ED5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801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1、名称：金属槽式桥架敷设；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2、规格：300*150mm；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3、含桥架本体及隔板、扣锁、连接片（内外）、螺栓、盖板、铜接地线安装，厚度满足相关规范要求"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300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54D1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36.77</w:t>
            </w:r>
          </w:p>
        </w:tc>
      </w:tr>
      <w:tr w14:paraId="5428F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E05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E00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AE2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1、名称：金属槽式桥架敷设；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2、规格：400*200mm；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3、含桥架本体及隔板、扣锁、连接片（内外）、螺栓、盖板、铜接地线安装，厚度满足相关规范要求"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4A9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5AFB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59.71</w:t>
            </w:r>
          </w:p>
        </w:tc>
      </w:tr>
      <w:tr w14:paraId="7A5DD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2E9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E70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313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1、名称：镀锌钢管敷设；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2、规格：SC20；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3、配置形式：砖、混凝土结构暗配。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A28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7E69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1503.50</w:t>
            </w:r>
          </w:p>
        </w:tc>
      </w:tr>
      <w:tr w14:paraId="4885F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494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0B2A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027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1、名称：镀锌钢管敷设；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2、规格：SC25；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3、配置形式：砖、混凝土结构暗配。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708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5029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29.60</w:t>
            </w:r>
          </w:p>
        </w:tc>
      </w:tr>
      <w:tr w14:paraId="11179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DDB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347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618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1、名称：镀锌钢管敷设；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2、规格：SC32；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3、配置形式：砖、混凝土结构暗配。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6F4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9CD2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45.20</w:t>
            </w:r>
          </w:p>
        </w:tc>
      </w:tr>
      <w:tr w14:paraId="3530A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A4B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D4FF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EA6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1、名称：镀锌钢管敷设；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2、规格：SC40；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3、配置形式：砖、混凝土结构暗配。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A87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CCA2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36.60</w:t>
            </w:r>
          </w:p>
        </w:tc>
      </w:tr>
      <w:tr w14:paraId="083AC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729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70E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DAA0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1、名称：镀锌钢管敷设；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2、规格：SC50；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3、配置形式：砖、混凝土结构暗配。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B44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50AC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14.79</w:t>
            </w:r>
          </w:p>
        </w:tc>
      </w:tr>
      <w:tr w14:paraId="23E7E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95A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C46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C8BD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1.金属软管敷设 内径（mm）≤20</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31C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3C88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124.00</w:t>
            </w:r>
          </w:p>
        </w:tc>
      </w:tr>
      <w:tr w14:paraId="1168E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169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422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铁构件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78C1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电气工程支架制作安装（符合施工及验收规范要求）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CBF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2959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243.00</w:t>
            </w:r>
          </w:p>
        </w:tc>
      </w:tr>
      <w:tr w14:paraId="69E3A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F45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543F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9648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2、型号及规格：WDZB-YJY-4X185+1X95；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C29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05F4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87.86</w:t>
            </w:r>
          </w:p>
        </w:tc>
      </w:tr>
      <w:tr w14:paraId="19AD9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8AF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0176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8E9B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2、型号及规格：WDZA-YJY-4X185+1X95；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BE9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7E48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43.70</w:t>
            </w:r>
          </w:p>
        </w:tc>
      </w:tr>
      <w:tr w14:paraId="026E8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B0D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0AB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C17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2、型号及规格：WDZB-YJY-4x25+1x16；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BBA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C155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248.70</w:t>
            </w:r>
          </w:p>
        </w:tc>
      </w:tr>
      <w:tr w14:paraId="4F733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FCD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20F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2FF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 5x10；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DC7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8A4C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98.50</w:t>
            </w:r>
          </w:p>
        </w:tc>
      </w:tr>
      <w:tr w14:paraId="4AB0B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0E2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CAA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E9D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2、型号及规格：WDZ-YJY 5x10；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95A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EE95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58.50</w:t>
            </w:r>
          </w:p>
        </w:tc>
      </w:tr>
      <w:tr w14:paraId="2F7F1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BEB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72B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7C0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 5x6；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D10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974F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227.50</w:t>
            </w:r>
          </w:p>
        </w:tc>
      </w:tr>
      <w:tr w14:paraId="51AA4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38C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0569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4020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2、型号及规格：WDZ-YJY 5x6；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CDA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34D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121.00</w:t>
            </w:r>
          </w:p>
        </w:tc>
      </w:tr>
      <w:tr w14:paraId="7BB17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071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7E19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645E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 5x4；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6F5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BF93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32.00</w:t>
            </w:r>
          </w:p>
        </w:tc>
      </w:tr>
      <w:tr w14:paraId="32E98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3AD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189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A83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 4x2.5；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1DC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A670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11.50</w:t>
            </w:r>
          </w:p>
        </w:tc>
      </w:tr>
      <w:tr w14:paraId="0B97B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A7E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619A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AD5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 3x4；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159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499A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13.60</w:t>
            </w:r>
          </w:p>
        </w:tc>
      </w:tr>
      <w:tr w14:paraId="7D1AD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6B5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802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708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2、型号及规格：WDZB-KYJY-7*1.5；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90B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719D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168.00</w:t>
            </w:r>
          </w:p>
        </w:tc>
      </w:tr>
      <w:tr w14:paraId="0E225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7B3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970F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2D7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1、名称：电线敷设；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2、型号及规格：WDZB-BYJ-2.5；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D4B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BF49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5196.00</w:t>
            </w:r>
          </w:p>
        </w:tc>
      </w:tr>
      <w:tr w14:paraId="09AE7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46F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2121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CEF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E59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06DB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736.00</w:t>
            </w:r>
          </w:p>
        </w:tc>
      </w:tr>
      <w:tr w14:paraId="68BC4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5FA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A89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858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2、型号及规格：WDZB-BYJ-4.0；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AF3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5EE2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1368.00</w:t>
            </w:r>
          </w:p>
        </w:tc>
      </w:tr>
      <w:tr w14:paraId="19673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1EB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002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E02C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1、名称:安全型五孔插座；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2、规格：250V,10A,安全型</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22E4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CC08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w:t>
            </w:r>
          </w:p>
        </w:tc>
      </w:tr>
      <w:tr w14:paraId="1F0B0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F34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1856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21F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1、名称:安全防溅型插座；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2、规格：250V,10A,安全型</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F36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DACD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7EC5D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0ED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EF7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371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1、名称:传递窗插座；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2、规格：250V,10A,安全型</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5F7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01C2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r>
      <w:tr w14:paraId="11ACC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DED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9F93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CECA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1、名称:感应龙头插座；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2、规格：250V,10A,安全型</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B36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1471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425AD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BCE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C3D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A64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1、名称：单联单控暗装开关；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2、规格：250V,10A,安全型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8FB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2644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r>
      <w:tr w14:paraId="30BCD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FDB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AB49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1E7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1、名称：双联单控暗装开关；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2、规格：250V,10A,安全型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D8A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1CEE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r>
      <w:tr w14:paraId="35F70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F7A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904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A78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1、名称：三联单控暗装开关；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2、规格：250V,10A,安全型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350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9835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6AAF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EBF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705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D6E6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1、名称：四联单控暗装开关；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2、规格：250V,10A,安全型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D56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911C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94A9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27C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EB14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E830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1、名称：单联双控暗装开关；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2、规格：250V,10A,安全型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BB8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DF67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r>
      <w:tr w14:paraId="153EB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F9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626F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113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1、名称：双联双控暗装开关；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2、规格：250V,10A,安全型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053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A367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C690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803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8C58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CF7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1、名称：LED灯盘；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2、型号规格：LED,32W,600*600mm 配驱动模块,灯具效能不低于80Lm/W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AEF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5226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43</w:t>
            </w:r>
          </w:p>
        </w:tc>
      </w:tr>
      <w:tr w14:paraId="7E6DA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5E2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11E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8DC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1、名称：LED气密型洁净灯盘；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2、型号规格：LED,32W,600*600mm 配驱动模块,灯具效能不低于80Lm/W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860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FE70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r>
      <w:tr w14:paraId="59E1E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A5C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2C83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13A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1、名称：LED气密型洁净灯盘；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2、型号规格：LED,40W,1200*300mm 配驱动模块,灯具效能不低于80Lm/W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508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A9CD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w:t>
            </w:r>
          </w:p>
        </w:tc>
      </w:tr>
      <w:tr w14:paraId="735A1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B0C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B68D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F5D3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1、名称：LED灯盘；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2、型号规格：LED,24W,300*300mm 配驱动模块,灯具效能不低于80Lm/W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51E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99B1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CEAF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84D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887F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4AC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1、名称：双管荧光灯 2X18w</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B28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C740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3321F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A38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B48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工厂灯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0F1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1、名称：防爆灯；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2、型号：LED,1*18W 配驱动模块,灯具效能不低于80Lm/W</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8C1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4CB4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1FB67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464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141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装饰灯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37D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1、名称：防水防尘筒灯；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2、型号：LED,1*12W 配驱动模块,灯具效能不低于80Lm/W</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818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D95D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7D256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77A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4BA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接线盒</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AFB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1、名称：接线盒暗装；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2、材质、钢质；</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ED3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11D9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237</w:t>
            </w:r>
          </w:p>
        </w:tc>
      </w:tr>
      <w:tr w14:paraId="49618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021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875E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接线盒</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E70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1、名称：接线盒明装；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2、材质、钢质；</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DCE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F802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w:t>
            </w:r>
          </w:p>
        </w:tc>
      </w:tr>
      <w:tr w14:paraId="4344F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D97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644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6CF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1.户内干包式电力电缆头制作、安装 干包终端头（1kV以下截面mm2以下）35`铜芯10mm2及以下三芯及以上电缆头制安</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2D7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CCC8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w:t>
            </w:r>
          </w:p>
        </w:tc>
      </w:tr>
      <w:tr w14:paraId="14553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371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ED0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38F8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1.户内干包式电力电缆头制作、安装 干包终端头（1kV以下截面mm2以下）35`铜芯25mm2及以下三芯及以上电缆头制安</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7AF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EA4B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6B27F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113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BDE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9F86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1.户内干包式电力电缆头制作、安装 干包终端头（1kV以下截面mm2以下）240</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2D1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E110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26039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CF2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E24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等电位端子箱、 测试板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DF4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1、名称：等电位接地箱；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2、安装方式：嵌入式安装；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3、含箱体及箱内元器件。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402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93C2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5234E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09E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8E9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接地母线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992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1、名称：镀锌扁铁；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2、规格：40*4mm。</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4C9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B18A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50.00</w:t>
            </w:r>
          </w:p>
        </w:tc>
      </w:tr>
      <w:tr w14:paraId="6F59D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67B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442D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接地装置</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AC86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1.独立接地装置6根接地极以内</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6B2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5FE1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8961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101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9556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送配电装置系统</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CF51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1.送配电装置系统调试 1kV以下交流供电(综  合)</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F9F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5011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7551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6B1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二</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5B1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手术室</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47D88">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35B43">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B42B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w:t>
            </w:r>
          </w:p>
        </w:tc>
      </w:tr>
      <w:tr w14:paraId="11EF8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4F0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EDD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25D0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2、编号：SSALP；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3、安装方式：挂墙安装；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B77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CC5C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8588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E91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0DE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225A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2、编号：MZAP；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3、安装方式：挂墙安装；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5E5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CE96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2E98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C94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183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021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2、编号：ATP(2)/3/2；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3、安装方式：10#槽钢落地安装；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FE5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C6DB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3456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04A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E24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0141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1、名称：手术室隔离电源箱；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2、编号：SS01~SS02；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3、规格：含8KVA隔离变压器、绝缘监视仪、定位仪外接报警显示和测试仪及图纸所示所有元器件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594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2891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9A46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BBE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4EA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Ups不间断电源及其附属设备安装</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2BB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1、40KVA三进三出/30分钟工频机,电池采用锂电池，具体需满足图纸要求及规范要求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B33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8DB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A9C9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D79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075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322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1、名称：金属槽式桥架敷设；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2、规格：100*100mm；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3、含桥架本体及隔板、扣锁、连接片（内外）、螺栓、盖板、铜接地线安装，厚度满足相关规范要求"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3A9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2D5E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47.50</w:t>
            </w:r>
          </w:p>
        </w:tc>
      </w:tr>
      <w:tr w14:paraId="685AA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EF3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B8B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BBA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1、名称：金属槽式桥架敷设；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2、规格：200*100mm；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3、含桥架本体及隔板、扣锁、连接片（内外）、螺栓、盖板、铜接地线安装，厚度满足相关规范要求"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D0D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C60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41.79</w:t>
            </w:r>
          </w:p>
        </w:tc>
      </w:tr>
      <w:tr w14:paraId="74D7D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680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0A8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7825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1、名称：金属槽式桥架敷设；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2、规格：300*100mm；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3、含桥架本体及隔板、扣锁、连接片（内外）、螺栓、盖板、铜接地线安装，厚度满足相关规范要求"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2EF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9B0D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28.42</w:t>
            </w:r>
          </w:p>
        </w:tc>
      </w:tr>
      <w:tr w14:paraId="347BC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EDA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1A99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AF72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1、名称：镀锌钢管敷设；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2、规格：SC20；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3、配置形式：砖、混凝土结构暗配。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681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D1EB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1902.50</w:t>
            </w:r>
          </w:p>
        </w:tc>
      </w:tr>
      <w:tr w14:paraId="32FCD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C61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403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4C60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1、名称：镀锌钢管敷设；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2、规格：SC50；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3、配置形式：砖、混凝土结构暗配。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FA5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8A88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17.30</w:t>
            </w:r>
          </w:p>
        </w:tc>
      </w:tr>
      <w:tr w14:paraId="16548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53A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D87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50E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1.金属软管敷设 内径（mm）≤20</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567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10CC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86.00</w:t>
            </w:r>
          </w:p>
        </w:tc>
      </w:tr>
      <w:tr w14:paraId="6729C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36E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82BF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2473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1、名称：塑料管敷设；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2、规格：PVC20；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3、配置形式：砖、混凝土结构暗配。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F3B4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78A9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227.60</w:t>
            </w:r>
          </w:p>
        </w:tc>
      </w:tr>
      <w:tr w14:paraId="40C96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E40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2E0C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铁构件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31EF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电气工程支架制作安装（符合施工及验收规范要求）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33F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3EC2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142.00</w:t>
            </w:r>
          </w:p>
        </w:tc>
      </w:tr>
      <w:tr w14:paraId="16FDB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E59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14D6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985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 4x50+1x25；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9C7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9295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42.60</w:t>
            </w:r>
          </w:p>
        </w:tc>
      </w:tr>
      <w:tr w14:paraId="08D3D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726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837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ACB2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2、型号及规格：WDZB-YJY-4x25+1x16；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D99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873A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15.40</w:t>
            </w:r>
          </w:p>
        </w:tc>
      </w:tr>
      <w:tr w14:paraId="7F9AC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F2C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5D2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70A2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 5x16；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A41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6255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32.90</w:t>
            </w:r>
          </w:p>
        </w:tc>
      </w:tr>
      <w:tr w14:paraId="7E5BB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801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4BC9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FDF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 5x6；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7E9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90E2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37.30</w:t>
            </w:r>
          </w:p>
        </w:tc>
      </w:tr>
      <w:tr w14:paraId="27B67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283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D578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6CB0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 3x16；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6BA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A2AC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25.60</w:t>
            </w:r>
          </w:p>
        </w:tc>
      </w:tr>
      <w:tr w14:paraId="03D49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7F8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5C4B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0E9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2、型号及规格：WDZ-YJY 3x16；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B63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DF18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19.80</w:t>
            </w:r>
          </w:p>
        </w:tc>
      </w:tr>
      <w:tr w14:paraId="5E0B1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979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C1F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FD90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1.户内干包式电力电缆头制作、安装 干包终端头（1kV以下截面mm2以下）35`铜芯10mm2及以下三芯及以上电缆头制安</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E7B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DBD7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0EA55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B24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BFDA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F5C3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1.户内干包式电力电缆头制作、安装 干包终端头（1kV以下截面mm2以下）35`铜芯25mm2及以下三芯及以上电缆头制安</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125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2F15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r>
      <w:tr w14:paraId="29C0C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B8C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A44B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081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1.户内干包式电力电缆头制作、安装 干包终端头（1kV以下截面mm2以下）120</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35A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5B87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566F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6CB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6C9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24D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1、名称：电线敷设；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2、型号及规格：WDZB-BYJ-2.5；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D3C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C194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3788.00</w:t>
            </w:r>
          </w:p>
        </w:tc>
      </w:tr>
      <w:tr w14:paraId="0BD29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E239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926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05C9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1、名称：电线敷设；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2、型号及规格：WDZB-BYJ-4.0；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562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5FD0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2879.00</w:t>
            </w:r>
          </w:p>
        </w:tc>
      </w:tr>
      <w:tr w14:paraId="27B81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A0A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C93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C27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1、名称：电线敷设；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2、型号及规格：WDZB-BYJ-10；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CED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E03F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121.00</w:t>
            </w:r>
          </w:p>
        </w:tc>
      </w:tr>
      <w:tr w14:paraId="7F6D2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4A6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4E3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07BD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1、名称：电线敷设；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2、型号及规格：WDZB-BYJ-16；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239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3C87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75.60</w:t>
            </w:r>
          </w:p>
        </w:tc>
      </w:tr>
      <w:tr w14:paraId="60678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10E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45F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D3F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1、名称：电线敷设；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2、型号及规格：WDZ-BYJR-6.0；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D79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D34C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83.60</w:t>
            </w:r>
          </w:p>
        </w:tc>
      </w:tr>
      <w:tr w14:paraId="6FFED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C89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16B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36A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1、名称:安全型五孔插座；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2、规格：250V,10A,安全型</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3D4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1FE6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58</w:t>
            </w:r>
          </w:p>
        </w:tc>
      </w:tr>
      <w:tr w14:paraId="20581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944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866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5ACB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1、名称:安全防溅型插座；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2、规格：250V,10A,安全型</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705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7749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77169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3EC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045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684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1、名称:传递窗插座；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2、规格：250V,10A,安全型</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AF03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6DB9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080A2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271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CDE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2C7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1、名称:感应龙头插座；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2、规格：250V,10A,安全型</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BF3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7569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r>
      <w:tr w14:paraId="7D722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E9A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A2D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C52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1、名称:防爆插座 EXD E II C T6</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27F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EAB0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08898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5BA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414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E8BD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1、名称：单联单控暗装开关；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2、规格：250V,10A,安全型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756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6E7F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r>
      <w:tr w14:paraId="52EDA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A75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526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B209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1、名称：双联单控暗装开关；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2、规格：250V,10A,安全型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BC4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CFA9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r>
      <w:tr w14:paraId="347B6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886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5A9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EE14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1、名称：单联双控暗装开关；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2、规格：250V,10A,安全型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E93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708F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r>
      <w:tr w14:paraId="2DCFF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022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1A9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防爆开关 </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967D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1、名称：防爆开关 220V 10A</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E59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13B4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27755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125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3AEF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250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1、名称：LED灯盘；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2、型号规格：LED,32W,600*600mm 配驱动模块,灯具效能不低于80Lm/W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AEA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D3EA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r>
      <w:tr w14:paraId="65B80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D11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DF36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A7C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1、名称：LED气密型洁净灯盘；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2、型号规格：LED,32W,600*600mm 配驱动模块,灯具效能不低于80Lm/W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433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0CE0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r>
      <w:tr w14:paraId="46FB3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7C8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297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79E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1、名称：LED气密型洁净灯盘；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2、型号规格：LED,40W,1200*300mm 配驱动模块,灯具效能不低于80Lm/W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7E4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4066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w:t>
            </w:r>
          </w:p>
        </w:tc>
      </w:tr>
      <w:tr w14:paraId="51A8C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207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FC0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DA08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1、名称：手术室LED气密型洁净灯盘；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2、型号规格LED,40W,1200*300mm 配驱动模块,灯具效能不低于80Lm/W</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05D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888A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28DF1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57A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4B6A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A3AA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1、名称：手术室LED气密型洁净灯盘；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2、型号规格LED,40W,1200*300mm 配驱动模块,灯具效能不低于80Lm/W 带应急模块（30min）</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E39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7F1C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103DA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15C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BF82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47A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1、手术中灯</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1ED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22A1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03BC8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17E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BFA1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工厂灯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31F1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1、名称：防爆灯；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2、型号：LED,1*18W 配驱动模块,灯具效能不低于80Lm/W</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150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B038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2A3A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A8E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224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装饰灯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C1C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1、名称：防水防尘筒灯；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2、型号：LED,1*12W 配驱动模块,灯具效能不低于80Lm/W</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775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88D6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3EE30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C5F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9BA4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接线盒</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B851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1、名称：接线盒暗装；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2、材质、钢质；</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352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954D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189</w:t>
            </w:r>
          </w:p>
        </w:tc>
      </w:tr>
      <w:tr w14:paraId="14198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624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2A1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接线盒</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5189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1、名称：接线盒明装；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2、材质、钢质；</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B63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DFF9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w:t>
            </w:r>
          </w:p>
        </w:tc>
      </w:tr>
      <w:tr w14:paraId="26209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82E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C50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等电位端子箱、 测试板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E82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1、名称：等电位接地箱；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2、安装方式：嵌入式安装；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3、含箱体及箱内元器件。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847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7037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r>
      <w:tr w14:paraId="38605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0D6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57E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接地母线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7B4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1、名称：镀锌扁铁；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2、规格：40*4mm。</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81F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7AAC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70.00</w:t>
            </w:r>
          </w:p>
        </w:tc>
      </w:tr>
      <w:tr w14:paraId="00ED2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91D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DAD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接地装置</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D37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1.独立接地装置6根接地极以内</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74E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14D3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4A18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D27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81E0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送配电装置系统</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74BF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1.送配电装置系统调试 1kV以下交流供电(综  合)</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F96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44B9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DAA8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54F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三</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287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静配中心</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108EE">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332B0">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3E44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w:t>
            </w:r>
          </w:p>
        </w:tc>
      </w:tr>
      <w:tr w14:paraId="31764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BF0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2FA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33D2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2、编号：JPAP1；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3、安装方式：挂墙安装；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0BA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A2EC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5855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70A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D33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46FE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2、编号：JPAP2；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3、安装方式：挂墙安装；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246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5CAC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141D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446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368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1499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2、编号：JPAP3；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3、安装方式：挂墙安装；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164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7A34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62CD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F39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D14D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52D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2、编号：JPAP4；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3、安装方式：挂墙安装；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345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72B6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AC12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99D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926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3F40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2、编号：ATP-JP(3)/3/1；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3、安装方式：10#槽钢落地安装；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2D9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88F9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237E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87F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310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069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2、编号：ATP-JP(3)/4/1；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3、安装方式：10#槽钢落地安装；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FBF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C16B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E908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63E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B1F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64C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2、编号：AP(2)/4/KT4；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3、安装方式：10#槽钢落地安装；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313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ECD7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ECFD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891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701D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A85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2、编号：AP(2)/4/KT2；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3、安装方式：10#槽钢落地安装；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109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60B3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A773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F5E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15E3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D91D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2、编号：AP(2)/4/KT3；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3、安装方式：10#槽钢落地安装；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635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7BBC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C472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C1F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B08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FC29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1、名称：金属槽式桥架敷设；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2、规格：100*100mm；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3、含桥架本体及隔板、扣锁、连接片（内外）、螺栓、盖板、铜接地线安装，厚度满足相关规范要求"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8B2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400B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47.85</w:t>
            </w:r>
          </w:p>
        </w:tc>
      </w:tr>
      <w:tr w14:paraId="518FB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F72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D66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2E00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1、名称：金属槽式桥架敷设；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2、规格：200*100mm；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3、含桥架本体及隔板、扣锁、连接片（内外）、螺栓、盖板、铜接地线安装，厚度满足相关规范要求"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704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8C88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16.63</w:t>
            </w:r>
          </w:p>
        </w:tc>
      </w:tr>
      <w:tr w14:paraId="03882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A7E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791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1381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1、名称：金属槽式桥架敷设；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2、规格：300*100mm；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3、含桥架本体及隔板、扣锁、连接片（内外）、螺栓、盖板、铜接地线安装，厚度满足相关规范要求"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3E6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AA20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16.30</w:t>
            </w:r>
          </w:p>
        </w:tc>
      </w:tr>
      <w:tr w14:paraId="775A7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A6D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35E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CA7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1、名称：室外不锈钢桥架敷设；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2、规格：300*100mm；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3、含桥架本体及隔板、扣锁、连接片（内外）、螺栓、盖板、铜接地线安装，厚度满足相关规范要求"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AE5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EE3A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25.60</w:t>
            </w:r>
          </w:p>
        </w:tc>
      </w:tr>
      <w:tr w14:paraId="6A87C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074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A13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034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1、名称：镀锌钢管敷设；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2、规格：SC20；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3、配置形式：砖、混凝土结构暗配。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022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77A4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963.50</w:t>
            </w:r>
          </w:p>
        </w:tc>
      </w:tr>
      <w:tr w14:paraId="6E579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4B6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FCD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A45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1、名称：镀锌钢管敷设；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2、规格：SC32；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3、配置形式：砖、混凝土结构暗配。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379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DF8F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28.50</w:t>
            </w:r>
          </w:p>
        </w:tc>
      </w:tr>
      <w:tr w14:paraId="544A6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70B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164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0432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1、名称：镀锌钢管敷设；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2、规格：SC40；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3、配置形式：砖、混凝土结构暗配。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856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36C1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13.90</w:t>
            </w:r>
          </w:p>
        </w:tc>
      </w:tr>
      <w:tr w14:paraId="470F9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537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0B8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62F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1、名称：镀锌钢管敷设；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2、规格：SC50；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3、配置形式：砖、混凝土结构暗配。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754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980B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32.60</w:t>
            </w:r>
          </w:p>
        </w:tc>
      </w:tr>
      <w:tr w14:paraId="14FA2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5FC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F9C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4A25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1、名称：镀锌钢管敷设；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2、规格：SC65；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3、配置形式：砖、混凝土结构暗配。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559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6CBE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3.60</w:t>
            </w:r>
          </w:p>
        </w:tc>
      </w:tr>
      <w:tr w14:paraId="6ADA6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D86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737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70C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1.金属软管敷设 内径（mm）≤20</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CF2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3086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77.00</w:t>
            </w:r>
          </w:p>
        </w:tc>
      </w:tr>
      <w:tr w14:paraId="366E6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D0C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541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铁构件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324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电气工程支架制作安装（符合施工及验收规范要求）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133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B3FA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128.00</w:t>
            </w:r>
          </w:p>
        </w:tc>
      </w:tr>
      <w:tr w14:paraId="03D8A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B40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11A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3C0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2、型号及规格：WDZB-YJY-4x240+1x120；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883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85B1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59.20</w:t>
            </w:r>
          </w:p>
        </w:tc>
      </w:tr>
      <w:tr w14:paraId="2C760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971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62A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4AEE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2、型号及规格：WDZB-YJY-4x50+1x25；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2B2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A66B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15.80</w:t>
            </w:r>
          </w:p>
        </w:tc>
      </w:tr>
      <w:tr w14:paraId="702EA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4DD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EB5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799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2、型号及规格：WDZB-YJY-4x35+1x16；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2FB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9FD5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27.30</w:t>
            </w:r>
          </w:p>
        </w:tc>
      </w:tr>
      <w:tr w14:paraId="2CF92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B3B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4A17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511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2、型号及规格：WDZB-YJY-4x70+1x35；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9E4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9A77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19.20</w:t>
            </w:r>
          </w:p>
        </w:tc>
      </w:tr>
      <w:tr w14:paraId="1C965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DA0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95A8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CD4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2、型号及规格：WDZB-YJY-4x25+1x16；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BFB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A330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17.70</w:t>
            </w:r>
          </w:p>
        </w:tc>
      </w:tr>
      <w:tr w14:paraId="11EA4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669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9CA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E09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 5x10；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199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0433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48.60</w:t>
            </w:r>
          </w:p>
        </w:tc>
      </w:tr>
      <w:tr w14:paraId="61A63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4D9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ECD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9C1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2、型号及规格：WDZB-YJY 5x6；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A0B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299C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97.50</w:t>
            </w:r>
          </w:p>
        </w:tc>
      </w:tr>
      <w:tr w14:paraId="6538D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3BC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6F5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F070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1、名称：电线敷设；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2、型号及规格：WDZB-BYJ-2.5；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2F4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A7A2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2276.00</w:t>
            </w:r>
          </w:p>
        </w:tc>
      </w:tr>
      <w:tr w14:paraId="46ADA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2D7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68D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B85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1、名称：电线敷设；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2、型号及规格：WDZB-BYJ-4.0；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B04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715B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1632.50</w:t>
            </w:r>
          </w:p>
        </w:tc>
      </w:tr>
      <w:tr w14:paraId="65BA0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98E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8E1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FD7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1、名称：电线敷设；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2、型号及规格：WDZB-BYJR-6.0；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33E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1E76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83.60</w:t>
            </w:r>
          </w:p>
        </w:tc>
      </w:tr>
      <w:tr w14:paraId="1CA36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795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988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069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1、名称:安全型五孔插座；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2、规格：250V,10A,安全型</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AF0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37C5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42</w:t>
            </w:r>
          </w:p>
        </w:tc>
      </w:tr>
      <w:tr w14:paraId="7D312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453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68C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6576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1、名称:安全防溅型插座；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2、规格：250V,10A,安全型</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346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8EA8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6B161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93D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3722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422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1、名称:传递窗插座；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2、规格：250V,10A,安全型</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487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2126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r>
      <w:tr w14:paraId="23123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570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F9E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BF75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1、名称:感应龙头插座；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2、规格：250V,10A,安全型</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A8D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09AB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7B536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DEF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A21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6440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1、名称:三孔插座；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2、规格：250V,16A,安全型</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C8A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A990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25A7B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A28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B2D5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B3D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1、名称：单联单控暗装开关；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2、规格：250V,10A,安全型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33C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E244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r>
      <w:tr w14:paraId="38B34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929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6CF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A90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1、名称：双联单控暗装开关；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2、规格：250V,10A,安全型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614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09D6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31AF0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D18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53A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EE4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1、名称：三联单控暗装开关；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2、规格：250V,10A,安全型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B7A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751C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55232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9ED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327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4C1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1、名称：四联单控暗装开关；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2、规格：250V,10A,安全型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1EB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6D3D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25B6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8C0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A2D6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C5E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1、名称：单联双控暗装开关；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2、规格：250V,10A,安全型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2CB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901C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r>
      <w:tr w14:paraId="7AF4B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FDD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2677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AF4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1、名称：LED灯盘；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2、型号规格：LED,32W,600*600mm 配驱动模块,灯具效能不低于80Lm/W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963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E934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619C9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7F2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9F0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3A5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1、名称：LED气密型洁净灯盘；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2、型号规格：LED,32W,600*600mm 配驱动模块,灯具效能不低于80Lm/W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3.潮湿场所开关的IP值不低于IP65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3BD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10AF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57</w:t>
            </w:r>
          </w:p>
        </w:tc>
      </w:tr>
      <w:tr w14:paraId="27D0F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550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5E3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22C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1、名称：双管荧光灯 2X18w</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110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487C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r>
      <w:tr w14:paraId="148BA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9D5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5EBC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工厂灯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A39F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1、名称：防爆灯；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2、型号：LED,1*18W 配驱动模块,灯具效能不低于80Lm/W</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277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16AE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w:t>
            </w:r>
          </w:p>
        </w:tc>
      </w:tr>
      <w:tr w14:paraId="0373E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350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5D3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装饰灯</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797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1、名称：防水防尘筒灯；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2、型号：LED,1*12W 配驱动模块,灯具效能不低于80Lm/W</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EDD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A3A2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w:t>
            </w:r>
          </w:p>
        </w:tc>
      </w:tr>
      <w:tr w14:paraId="58972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9D3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F8C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接线盒</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18C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1、名称：接线盒暗装；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2、材质、钢质；</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A1A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4A2D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175</w:t>
            </w:r>
          </w:p>
        </w:tc>
      </w:tr>
      <w:tr w14:paraId="2B6A6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3A4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998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接线盒</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E03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1、名称：接线盒明装；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2、材质、钢质；</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946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23E7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w:t>
            </w:r>
          </w:p>
        </w:tc>
      </w:tr>
      <w:tr w14:paraId="64A46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F5F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0D2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376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1.户内干包式电力电缆头制作、安装 干包终端头（1kV以下截面mm2以下）35`铜芯10mm2及以下三芯及以上电缆头制安</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B1E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4730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w:t>
            </w:r>
          </w:p>
        </w:tc>
      </w:tr>
      <w:tr w14:paraId="23333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0D5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0FB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3FEE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1.户内干包式电力电缆头制作、安装 干包终端头（1kV以下截面mm2以下）35`铜芯25mm2及以下三芯及以上电缆头制安</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2DD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9F37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65B3D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93A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BF8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23E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1.户内干包式电力电缆头制作、安装 干包终端头（1kV以下截面mm2以下）35</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701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4DF4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4160E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9D9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5EF1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2A5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1.户内干包式电力电缆头制作、安装 干包终端头（1kV以下截面mm2以下）120</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C08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8421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38BDB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1E2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2C00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692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1.户内干包式电力电缆头制作、安装 干包终端头（1kV以下截面mm2以下）240</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1C2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964E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2B920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A4D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030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等电位端子箱、 测试板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B45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1、名称：等电位接地箱；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2、安装方式：嵌入式安装；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3、含箱体及箱内元器件。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C89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FB86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32161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8CC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C7A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接地母线</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B70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1、名称：镀锌扁铁；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2、规格：40*4mm。</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DB0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C780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30.00</w:t>
            </w:r>
          </w:p>
        </w:tc>
      </w:tr>
      <w:tr w14:paraId="3D4BB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081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B26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接地装置</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2D72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1.独立接地装置6根接地极以内</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CDB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198B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76A1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15E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62E9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送配电装置系统</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AC5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1.送配电装置系统调试 1kV以下交流供电(综  合)</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558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92E8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CB86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229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四</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29F9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冷热源</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AB7DE">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93DD1">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338C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w:t>
            </w:r>
          </w:p>
        </w:tc>
      </w:tr>
      <w:tr w14:paraId="6C1FF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AD7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A24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5D41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1、名称：冷水水泵控制柜室外型IP65；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2、编号：CP；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3、安装方式：落地安装,底座周围采取封闭措施；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463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6945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EFA3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2A1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7F91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7420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1、名称：冷水水泵控制柜室外型IP65；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2、编号：HP；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3、安装方式：落地安装,底座周围采取封闭措施；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5、含箱体及箱内元器件，具体见图。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731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99BD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1974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2D3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D49D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D129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1、名称：镀锌钢管敷设；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2、规格：SC25；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3、配置形式：砖、混凝土结构暗配。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E2C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7033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36.20</w:t>
            </w:r>
          </w:p>
        </w:tc>
      </w:tr>
      <w:tr w14:paraId="3A37B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420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391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4AE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1、名称：镀锌钢管敷设；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2、规格：SC50；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3、配置形式：砖、混凝土结构暗配。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05B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B637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36.20</w:t>
            </w:r>
          </w:p>
        </w:tc>
      </w:tr>
      <w:tr w14:paraId="10953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392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45CB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BDA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2、型号及规格：WDZA-YJY 5x16；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9A2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8009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74.80</w:t>
            </w:r>
          </w:p>
        </w:tc>
      </w:tr>
      <w:tr w14:paraId="6E166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92E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18A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371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1、名称：电缆敷设；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2、型号及规格：WDZ-YJY 4x2.5；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09D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8447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74.80</w:t>
            </w:r>
          </w:p>
        </w:tc>
      </w:tr>
      <w:tr w14:paraId="2A3FB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779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99F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1441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1.户内干包式电力电缆头制作、安装 干包终端头（1kV以下截面mm2以下）35`铜芯10mm2及以下三芯及以上电缆头制安</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BB0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0034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0753D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9F5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47F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1311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1.户内干包式电力电缆头制作、安装 干包终端头（1kV以下截面mm2以下）35`铜芯25mm2及以下三芯及以上电缆头制安</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B5E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A30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651DB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20B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C3C0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送配电装置系统</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B8AAC">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9C5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BCF0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AEBB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E82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五</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794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防火封堵</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ADFB7">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F5A1D">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21AC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w:t>
            </w:r>
          </w:p>
        </w:tc>
      </w:tr>
      <w:tr w14:paraId="51E11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387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8588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防火封堵</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F3C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1.电气系统防火堵料(含防火隔板，防火包，无机防火堵料、有机防火堵料、电缆防火包)封堵，满足图纸设计要求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508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D8E4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bl>
    <w:p w14:paraId="155AC851">
      <w:pPr>
        <w:rPr>
          <w:rFonts w:hint="default"/>
          <w:highlight w:val="none"/>
          <w:lang w:val="en-US" w:eastAsia="zh-CN"/>
        </w:rPr>
      </w:pPr>
    </w:p>
    <w:p w14:paraId="5BDFEE25">
      <w:pPr>
        <w:pStyle w:val="9"/>
        <w:rPr>
          <w:rFonts w:hint="default"/>
          <w:color w:val="auto"/>
          <w:highlight w:val="none"/>
          <w:lang w:val="en-US" w:eastAsia="zh-CN"/>
        </w:rPr>
      </w:pP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30"/>
        <w:gridCol w:w="2813"/>
        <w:gridCol w:w="8202"/>
        <w:gridCol w:w="970"/>
        <w:gridCol w:w="1405"/>
      </w:tblGrid>
      <w:tr w14:paraId="3D6EC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000" w:type="pct"/>
            <w:gridSpan w:val="5"/>
            <w:tcBorders>
              <w:top w:val="nil"/>
              <w:left w:val="nil"/>
              <w:bottom w:val="nil"/>
              <w:right w:val="nil"/>
            </w:tcBorders>
            <w:shd w:val="clear" w:color="auto" w:fill="auto"/>
            <w:vAlign w:val="center"/>
          </w:tcPr>
          <w:p w14:paraId="208A7060">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snapToGrid w:val="0"/>
                <w:color w:val="000000"/>
                <w:kern w:val="0"/>
                <w:sz w:val="40"/>
                <w:szCs w:val="40"/>
                <w:highlight w:val="none"/>
                <w:u w:val="none"/>
                <w:lang w:val="en-US" w:eastAsia="zh-CN" w:bidi="ar"/>
              </w:rPr>
              <w:t>1.4弱电工程</w:t>
            </w:r>
          </w:p>
        </w:tc>
      </w:tr>
      <w:tr w14:paraId="6AA24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2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AA50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序号</w:t>
            </w:r>
          </w:p>
        </w:tc>
        <w:tc>
          <w:tcPr>
            <w:tcW w:w="9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6A49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项目名称</w:t>
            </w:r>
          </w:p>
        </w:tc>
        <w:tc>
          <w:tcPr>
            <w:tcW w:w="288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F2CF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项目特征</w:t>
            </w:r>
          </w:p>
        </w:tc>
        <w:tc>
          <w:tcPr>
            <w:tcW w:w="3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3B49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计量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单位</w:t>
            </w:r>
          </w:p>
        </w:tc>
        <w:tc>
          <w:tcPr>
            <w:tcW w:w="4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F948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工程量</w:t>
            </w:r>
          </w:p>
        </w:tc>
      </w:tr>
      <w:tr w14:paraId="15D01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2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6D1F1">
            <w:pPr>
              <w:jc w:val="center"/>
              <w:rPr>
                <w:rFonts w:hint="eastAsia" w:ascii="宋体" w:hAnsi="宋体" w:eastAsia="宋体" w:cs="宋体"/>
                <w:i w:val="0"/>
                <w:iCs w:val="0"/>
                <w:color w:val="000000"/>
                <w:sz w:val="18"/>
                <w:szCs w:val="18"/>
                <w:highlight w:val="none"/>
                <w:u w:val="none"/>
              </w:rPr>
            </w:pPr>
          </w:p>
        </w:tc>
        <w:tc>
          <w:tcPr>
            <w:tcW w:w="9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0DBFE">
            <w:pPr>
              <w:jc w:val="center"/>
              <w:rPr>
                <w:rFonts w:hint="eastAsia" w:ascii="宋体" w:hAnsi="宋体" w:eastAsia="宋体" w:cs="宋体"/>
                <w:i w:val="0"/>
                <w:iCs w:val="0"/>
                <w:color w:val="000000"/>
                <w:sz w:val="18"/>
                <w:szCs w:val="18"/>
                <w:highlight w:val="none"/>
                <w:u w:val="none"/>
              </w:rPr>
            </w:pPr>
          </w:p>
        </w:tc>
        <w:tc>
          <w:tcPr>
            <w:tcW w:w="2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C322B">
            <w:pPr>
              <w:jc w:val="center"/>
              <w:rPr>
                <w:rFonts w:hint="eastAsia" w:ascii="宋体" w:hAnsi="宋体" w:eastAsia="宋体" w:cs="宋体"/>
                <w:i w:val="0"/>
                <w:iCs w:val="0"/>
                <w:color w:val="000000"/>
                <w:sz w:val="18"/>
                <w:szCs w:val="18"/>
                <w:highlight w:val="none"/>
                <w:u w:val="none"/>
              </w:rPr>
            </w:pP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826EC">
            <w:pPr>
              <w:jc w:val="center"/>
              <w:rPr>
                <w:rFonts w:hint="eastAsia" w:ascii="宋体" w:hAnsi="宋体" w:eastAsia="宋体" w:cs="宋体"/>
                <w:i w:val="0"/>
                <w:iCs w:val="0"/>
                <w:color w:val="000000"/>
                <w:sz w:val="18"/>
                <w:szCs w:val="18"/>
                <w:highlight w:val="none"/>
                <w:u w:val="none"/>
              </w:rPr>
            </w:pPr>
          </w:p>
        </w:tc>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F5712">
            <w:pPr>
              <w:jc w:val="center"/>
              <w:rPr>
                <w:rFonts w:hint="eastAsia" w:ascii="宋体" w:hAnsi="宋体" w:eastAsia="宋体" w:cs="宋体"/>
                <w:i w:val="0"/>
                <w:iCs w:val="0"/>
                <w:color w:val="000000"/>
                <w:sz w:val="18"/>
                <w:szCs w:val="18"/>
                <w:highlight w:val="none"/>
                <w:u w:val="none"/>
              </w:rPr>
            </w:pPr>
          </w:p>
        </w:tc>
      </w:tr>
      <w:tr w14:paraId="5FA81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2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422DC">
            <w:pPr>
              <w:jc w:val="center"/>
              <w:rPr>
                <w:rFonts w:hint="eastAsia" w:ascii="宋体" w:hAnsi="宋体" w:eastAsia="宋体" w:cs="宋体"/>
                <w:i w:val="0"/>
                <w:iCs w:val="0"/>
                <w:color w:val="000000"/>
                <w:sz w:val="18"/>
                <w:szCs w:val="18"/>
                <w:highlight w:val="none"/>
                <w:u w:val="none"/>
              </w:rPr>
            </w:pPr>
          </w:p>
        </w:tc>
        <w:tc>
          <w:tcPr>
            <w:tcW w:w="9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0876B">
            <w:pPr>
              <w:jc w:val="center"/>
              <w:rPr>
                <w:rFonts w:hint="eastAsia" w:ascii="宋体" w:hAnsi="宋体" w:eastAsia="宋体" w:cs="宋体"/>
                <w:i w:val="0"/>
                <w:iCs w:val="0"/>
                <w:color w:val="000000"/>
                <w:sz w:val="18"/>
                <w:szCs w:val="18"/>
                <w:highlight w:val="none"/>
                <w:u w:val="none"/>
              </w:rPr>
            </w:pPr>
          </w:p>
        </w:tc>
        <w:tc>
          <w:tcPr>
            <w:tcW w:w="288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96C00">
            <w:pPr>
              <w:jc w:val="center"/>
              <w:rPr>
                <w:rFonts w:hint="eastAsia" w:ascii="宋体" w:hAnsi="宋体" w:eastAsia="宋体" w:cs="宋体"/>
                <w:i w:val="0"/>
                <w:iCs w:val="0"/>
                <w:color w:val="000000"/>
                <w:sz w:val="18"/>
                <w:szCs w:val="18"/>
                <w:highlight w:val="none"/>
                <w:u w:val="none"/>
              </w:rPr>
            </w:pP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93E63">
            <w:pPr>
              <w:jc w:val="center"/>
              <w:rPr>
                <w:rFonts w:hint="eastAsia" w:ascii="宋体" w:hAnsi="宋体" w:eastAsia="宋体" w:cs="宋体"/>
                <w:i w:val="0"/>
                <w:iCs w:val="0"/>
                <w:color w:val="000000"/>
                <w:sz w:val="18"/>
                <w:szCs w:val="18"/>
                <w:highlight w:val="none"/>
                <w:u w:val="none"/>
              </w:rPr>
            </w:pPr>
          </w:p>
        </w:tc>
        <w:tc>
          <w:tcPr>
            <w:tcW w:w="4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FC4C1">
            <w:pPr>
              <w:jc w:val="center"/>
              <w:rPr>
                <w:rFonts w:hint="eastAsia" w:ascii="宋体" w:hAnsi="宋体" w:eastAsia="宋体" w:cs="宋体"/>
                <w:i w:val="0"/>
                <w:iCs w:val="0"/>
                <w:color w:val="000000"/>
                <w:sz w:val="18"/>
                <w:szCs w:val="18"/>
                <w:highlight w:val="none"/>
                <w:u w:val="none"/>
              </w:rPr>
            </w:pPr>
          </w:p>
        </w:tc>
      </w:tr>
      <w:tr w14:paraId="023B3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7C3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024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中心供应室</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6FD70">
            <w:pPr>
              <w:rPr>
                <w:rFonts w:hint="eastAsia" w:ascii="宋体" w:hAnsi="宋体" w:eastAsia="宋体" w:cs="宋体"/>
                <w:i w:val="0"/>
                <w:iCs w:val="0"/>
                <w:color w:val="000000"/>
                <w:sz w:val="18"/>
                <w:szCs w:val="18"/>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56747">
            <w:pPr>
              <w:jc w:val="center"/>
              <w:rPr>
                <w:rFonts w:hint="eastAsia" w:ascii="宋体" w:hAnsi="宋体" w:eastAsia="宋体" w:cs="宋体"/>
                <w:i w:val="0"/>
                <w:iCs w:val="0"/>
                <w:color w:val="000000"/>
                <w:sz w:val="18"/>
                <w:szCs w:val="18"/>
                <w:highlight w:val="none"/>
                <w:u w:val="none"/>
              </w:rPr>
            </w:pP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0CED4">
            <w:pPr>
              <w:jc w:val="center"/>
              <w:rPr>
                <w:rFonts w:hint="eastAsia" w:ascii="宋体" w:hAnsi="宋体" w:eastAsia="宋体" w:cs="宋体"/>
                <w:i w:val="0"/>
                <w:iCs w:val="0"/>
                <w:color w:val="000000"/>
                <w:sz w:val="18"/>
                <w:szCs w:val="18"/>
                <w:highlight w:val="none"/>
                <w:u w:val="none"/>
              </w:rPr>
            </w:pPr>
          </w:p>
        </w:tc>
      </w:tr>
      <w:tr w14:paraId="7B170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E80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7BB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语音信息双口插座</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6106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8线插针：磷青铜，镀金(20~50uinch)，插头插座可重复插拔不小于750次、符合千兆以太网应用系统、提供高达250MHz的可用带宽</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C77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B86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24.00 </w:t>
            </w:r>
          </w:p>
        </w:tc>
      </w:tr>
      <w:tr w14:paraId="3FB18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ADB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627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无线授权</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E6A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增强型无线控制器license授权函-管理8AP-企业网专用-V7专用</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6E7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C25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598E3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18F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FB0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吸顶无线AP</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A0DF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WI-FI6 1775M双频千兆吸顶AP，千兆LAN口上联，内置天线，支持2.4GHz/5GHz双频通信，支持802.11a/b/g/n/ac Wave1/Wave2/ax协议。支持AP与路由两种工作模式，支持二、三层漫游，支持PoE供电和本地供电</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542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3E6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6.00 </w:t>
            </w:r>
          </w:p>
        </w:tc>
      </w:tr>
      <w:tr w14:paraId="68593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442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050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网络半球摄像机</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9C1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红外/彩转黑,,200万1/3” CMOS 超宽动态,2.8-12mm电动变焦,POE/坚固型, 最大图像尺寸1920*1080;</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1EF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B4F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12.00 </w:t>
            </w:r>
          </w:p>
        </w:tc>
      </w:tr>
      <w:tr w14:paraId="40A07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529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802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数字硬盘录像机</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E7E6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16路4盘位</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BA3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58A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3A1D4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CEE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6EF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监控硬盘</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8EE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6TB</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93A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5C8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4DB09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2B1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3FE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液晶显示器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CB0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24英寸液晶安防监控显示器</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43C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B5F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128A1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FD6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6E2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24口POE接入交换机</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E71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24个10/100/1000Mbps自适应电口交换机(支持POE/POE+，POE功率370W)，固化4个SFP千兆光口，交换容量336Gbps，包转发率42Mpps，支持VLAN、ACL、端口镜像、端口聚合等功能</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306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9DF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10E82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298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0FA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理线架</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AA6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24口、19英寸、1U</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FFF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80F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2011D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D79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30F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24口网络交换机</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8B79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24口10/100/1000Mbps自适应电口交换机,固化4个SFP千兆光口,交换容量336Gbps,包转发率42Mpps,支持VLAN、ACL、端口镜像、端口聚合等功能,支持睿易APP和MACC云平台统一管理</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D91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99A4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78181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62B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EB3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理线架</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A843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24口、19英寸、1U</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8BD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21A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60B25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7A7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743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双门互锁门禁</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2F2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拉丝不锈钢工艺、白色ABS合身，PET保护膜，XH插拔端口量身设计，蓝色指示灯，灯光醒目。接入二门互锁，延时可调、含2套磁力锁+4个指示灯</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B0C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FEE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5DD57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DA3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F0C4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门禁读卡器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E6C8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 LED状态指示、内置反破坏开关,防止被拆卸破坏、具备RS485及Wiegand 双通讯介面、开机时,自动侦测及启用已设定之参数内置蜂鸣器提示、刷卡</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639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5D1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4605C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941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D0D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门禁控制器（含箱体）</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C0AB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标准RJ45网络接口,100MTCP/IP通讯,支持外围IP云访问,支持4万张卡片使用,20万笔进出记录,可搭配LCD显示读卡器可显示中/英文名称,4组韦根(Wiegand)输入接口,可通过软件设定、提供多重开门方式选择,提供多重时段及卡片权限设定、具区域反潜回、反胁迫、开门逾时、强行进入等功能,与读卡器线路异常检测与提示,输入电源温度监测,时钟自我修正,可使用楼层控管方式、提供工具软件远端设定相关参数及联机更新韧体程序</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025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0A6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054FD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5E8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A793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双门磁力锁</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0B72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磁力锁，含磁力锁支架LZ+弧形3件套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超低温型电锁、状态信号输入输出 磁感应上锁,延时启动时间可调节、具双电流过载保护装置</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F3E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C1E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517EC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E77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96B4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出门按钮</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DB5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86型、触点能力: 250V 6A</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049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7B3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22CDB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4AC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618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扬声器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F41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3W吸顶式扬声器,CH-705</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FE7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E9F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11.00 </w:t>
            </w:r>
          </w:p>
        </w:tc>
      </w:tr>
      <w:tr w14:paraId="08240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C90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D29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音量控制器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B86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1、音量控制器 6W音控，可扩展至30、60、120、200W。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线制：2，3，4.</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尺寸：85*85*60mm。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兼有强插输入和音量控制两种功能。</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198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E14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7.00 </w:t>
            </w:r>
          </w:p>
        </w:tc>
      </w:tr>
      <w:tr w14:paraId="42DED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B67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469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前置广播功放</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24DB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内置蓝牙、收音、USB播放功能，可通过红外线遥控器控制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带有段码管屏幕，直观的显示，更方便用户选择和操作</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支持线路输出，100V、70V定压式输出和4Ω-16Ω定阻式输出，具有断电记忆功能</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1路EMC报警信号输入，可以从其它设备输入报警信号到本机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额定输出功率： 60W/120W/250W/350W/500W/650W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具有优先级功能，优先级为MUTE&gt;EMC&gt;MIC1&gt;其他（当有警报声时钟声无输出）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有总音量控制；话筒、线路单独音量控制；高音、低音音调控制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SIRNE短路触发功能，本机可远程控制或被其它设备控制，独立报警声输出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电源供电：AC115V或230V 50/60Hz</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6B1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E31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60FAD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4FC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053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寻呼器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B22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按电声学原理精心设计、采用直径16mm小膜片背极式电容极头，具有良好的频响特</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音质保真、清晰、宏亮；先进的表面处理工艺，软管加工方法独特，弯曲时手感良好，</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作防锈处理；灯环显示新颖的鹅颈式外形，美观大方；</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输入阻抗：600欧；频响：50-15000Hz；灵敏度：-54dB±3dB；</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C50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84B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55D7D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E63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二</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15D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手术部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D3A9D">
            <w:pPr>
              <w:rPr>
                <w:rFonts w:hint="eastAsia" w:ascii="宋体" w:hAnsi="宋体" w:eastAsia="宋体" w:cs="宋体"/>
                <w:i w:val="0"/>
                <w:iCs w:val="0"/>
                <w:color w:val="000000"/>
                <w:sz w:val="18"/>
                <w:szCs w:val="18"/>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72466">
            <w:pPr>
              <w:jc w:val="center"/>
              <w:rPr>
                <w:rFonts w:hint="eastAsia" w:ascii="宋体" w:hAnsi="宋体" w:eastAsia="宋体" w:cs="宋体"/>
                <w:i w:val="0"/>
                <w:iCs w:val="0"/>
                <w:color w:val="000000"/>
                <w:sz w:val="18"/>
                <w:szCs w:val="18"/>
                <w:highlight w:val="none"/>
                <w:u w:val="none"/>
              </w:rPr>
            </w:pP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B5652">
            <w:pPr>
              <w:jc w:val="center"/>
              <w:rPr>
                <w:rFonts w:hint="eastAsia" w:ascii="宋体" w:hAnsi="宋体" w:eastAsia="宋体" w:cs="宋体"/>
                <w:i w:val="0"/>
                <w:iCs w:val="0"/>
                <w:color w:val="000000"/>
                <w:sz w:val="18"/>
                <w:szCs w:val="18"/>
                <w:highlight w:val="none"/>
                <w:u w:val="none"/>
              </w:rPr>
            </w:pPr>
          </w:p>
        </w:tc>
      </w:tr>
      <w:tr w14:paraId="2D060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355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03D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语音信息双口插座</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C53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8线插针：磷青铜，镀金(20~50uinch)，插头插座可重复插拔不小于750次、符合千兆以太网应用系统、提供高达250MHz的可用带宽</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73D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AF7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27.00 </w:t>
            </w:r>
          </w:p>
        </w:tc>
      </w:tr>
      <w:tr w14:paraId="3A41A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099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D3F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无线授权</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8A6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增强型无线控制器license授权函-管理8AP-企业网专用-V7专用</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F5D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282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45448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A74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CAE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吸顶无线AP</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96C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WI-FI6 1775M双频千兆吸顶AP，千兆LAN口上联，内置天线，支持2.4GHz/5GHz双频通信，支持802.11a/b/g/n/ac Wave1/Wave2/ax协议。支持AP与路由两种工作模式，支持二、三层漫游，支持PoE供电和本地供电</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930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9A9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3.00 </w:t>
            </w:r>
          </w:p>
        </w:tc>
      </w:tr>
      <w:tr w14:paraId="5FCFB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584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DEC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网络半球摄像机</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7417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红外/彩转黑,,200万1/3” CMOS 超宽动态,2.8-12mm电动变焦,POE/坚固型, 最大图像尺寸1920*1080;</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D77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181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16.00 </w:t>
            </w:r>
          </w:p>
        </w:tc>
      </w:tr>
      <w:tr w14:paraId="21A2E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C3C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623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拾音器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62A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拾音范围:60平方米;传输距离:3000米;灵敏度:-38dB</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298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957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53CC0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982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837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数字硬盘录像机</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0AA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16路4盘位</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52F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569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05060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EBB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E11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监控硬盘</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110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6TB</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FD7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5F3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76D39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15F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5BA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液晶显示器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CB0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24英寸液晶安防监控显示器</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21E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57C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35109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BDB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CC4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24口POE接入交换机</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2F5E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24个10/100/1000Mbps自适应电口交换机(支持POE/POE+，POE功率370W)，固化4个SFP千兆光口，交换容量336Gbps，包转发率42Mpps，支持VLAN、ACL、端口镜像、端口聚合等功能</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661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848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6C0A0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2F2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805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理线架</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99F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24口、19英寸、1U</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51A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7B3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44429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693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21D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24口网络交换机</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736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24口10/100/1000Mbps自适应电口交换机,固化4个SFP千兆光口,交换容量336Gbps,包转发率42Mpps,支持VLAN、ACL、端口镜像、端口聚合等功能,支持睿易APP和MACC云平台统一管理</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B09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F90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4C641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A8C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1F2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理线架</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3F6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24口、19英寸、1U</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089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AC3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08AB5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542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55A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门禁读卡器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6CC7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 LED状态指示、内置反破坏开关,防止被拆卸破坏、具备RS485及Wiegand 双通讯介面、开机时,自动侦测及启用已设定之参数内置蜂鸣器提示、刷卡</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07A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15A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6.00 </w:t>
            </w:r>
          </w:p>
        </w:tc>
      </w:tr>
      <w:tr w14:paraId="38B5A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A03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AEA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门禁控制器（含箱体）</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6A7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标准RJ45网络接口,100MTCP/IP通讯,支持外围IP云访问,支持4万张卡片使用,20万笔进出记录,可搭配LCD显示读卡器可显示中/英文名称,4组韦根(Wiegand)输入接口,可通过软件设定、提供多重开门方式选择,提供多重时段及卡片权限设定、具区域反潜回、反胁迫、开门逾时、强行进入等功能,与读卡器线路异常检测与提示,输入电源温度监测,时钟自我修正,可使用楼层控管方式、提供工具软件远端设定相关参数及联机更新韧体程序</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337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20E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6.00 </w:t>
            </w:r>
          </w:p>
        </w:tc>
      </w:tr>
      <w:tr w14:paraId="13E05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6B6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D41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双门磁力锁</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3566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磁力锁，含磁力锁支架LZ+弧形3件套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超低温型电锁、状态信号输入输出 磁感应上锁,延时启动时间可调节、具双电流过载保护装置</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5C6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703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0A980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8A0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EB2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单门磁力锁</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150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磁力锁，含磁力锁支架LZ+弧形3件套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超低温型电锁、状态信号输入输出 磁感应上锁,延时启动时间可调节、具双电流过载保护装置</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83F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95D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29255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7F6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E35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出门按钮</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303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86型、触点能力: 250V 6A</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747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6F0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6.00 </w:t>
            </w:r>
          </w:p>
        </w:tc>
      </w:tr>
      <w:tr w14:paraId="314B8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501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26C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扬声器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643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3W吸顶式扬声器,CH-705</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20C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331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13.00 </w:t>
            </w:r>
          </w:p>
        </w:tc>
      </w:tr>
      <w:tr w14:paraId="36527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91D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A29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音量控制器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C6B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1、音量控制器 6W音控，可扩展至30、60、120、200W。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线制：2，3，4.</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尺寸：85*85*60mm。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兼有强插输入和音量控制两种功能。</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EE1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DCD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7.00 </w:t>
            </w:r>
          </w:p>
        </w:tc>
      </w:tr>
      <w:tr w14:paraId="43135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BFC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6E8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前置广播功放</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221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内置蓝牙、收音、USB播放功能，可通过红外线遥控器控制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带有段码管屏幕，直观的显示，更方便用户选择和操作</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支持线路输出，100V、70V定压式输出和4Ω-16Ω定阻式输出，具有断电记忆功能</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1路EMC报警信号输入，可以从其它设备输入报警信号到本机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额定输出功率： 60W/120W/250W/350W/500W/650W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具有优先级功能，优先级为MUTE&gt;EMC&gt;MIC1&gt;其他（当有警报声时钟声无输出）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有总音量控制；话筒、线路单独音量控制；高音、低音音调控制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SIRNE短路触发功能，本机可远程控制或被其它设备控制，独立报警声输出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电源供电：AC115V或230V 50/60Hz</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B1D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C04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0777C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B0D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9E1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寻呼器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012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按电声学原理精心设计、采用直径16mm小膜片背极式电容极头，具有良好的频响特</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音质保真、清晰、宏亮；先进的表面处理工艺，软管加工方法独特，弯曲时手感良好，</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作防锈处理；灯环显示新颖的鹅颈式外形，美观大方；</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输入阻抗：600欧；频响：50-15000Hz；灵敏度：-54dB±3dB；</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057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EE3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0E268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EAB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8D7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交换机</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099A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24口</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1F3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4DF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514BC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FC2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43</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27B9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护理通讯信息系统软件</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1BA45">
            <w:pPr>
              <w:rPr>
                <w:rFonts w:hint="eastAsia" w:ascii="宋体" w:hAnsi="宋体" w:eastAsia="宋体" w:cs="宋体"/>
                <w:i w:val="0"/>
                <w:iCs w:val="0"/>
                <w:color w:val="000000"/>
                <w:sz w:val="18"/>
                <w:szCs w:val="18"/>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A2A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637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57098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3A9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44</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A7D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医护系IP网络型主机</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F480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30路主机,≥15英寸触摸显示屏,1080P高清视频</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1C9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68A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7B5DA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50B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45</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FA2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床头对讲分机</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FC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IP网络型,≥5英寸液晶显示屏,电容式触摸屏;内置POE模块</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587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671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28DE8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218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46</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B4F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双面显示屏</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F28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双面29英寸 彩色液晶走廊显示屏 ,吸顶安装</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0D6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121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7F0BF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87D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三</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EB2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静配中心</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F810F">
            <w:pPr>
              <w:rPr>
                <w:rFonts w:hint="eastAsia" w:ascii="宋体" w:hAnsi="宋体" w:eastAsia="宋体" w:cs="宋体"/>
                <w:i w:val="0"/>
                <w:iCs w:val="0"/>
                <w:color w:val="000000"/>
                <w:sz w:val="18"/>
                <w:szCs w:val="18"/>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03D6C">
            <w:pPr>
              <w:jc w:val="center"/>
              <w:rPr>
                <w:rFonts w:hint="eastAsia" w:ascii="宋体" w:hAnsi="宋体" w:eastAsia="宋体" w:cs="宋体"/>
                <w:i w:val="0"/>
                <w:iCs w:val="0"/>
                <w:color w:val="000000"/>
                <w:sz w:val="18"/>
                <w:szCs w:val="18"/>
                <w:highlight w:val="none"/>
                <w:u w:val="none"/>
              </w:rPr>
            </w:pP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3CE0E">
            <w:pPr>
              <w:jc w:val="center"/>
              <w:rPr>
                <w:rFonts w:hint="eastAsia" w:ascii="宋体" w:hAnsi="宋体" w:eastAsia="宋体" w:cs="宋体"/>
                <w:i w:val="0"/>
                <w:iCs w:val="0"/>
                <w:color w:val="000000"/>
                <w:sz w:val="18"/>
                <w:szCs w:val="18"/>
                <w:highlight w:val="none"/>
                <w:u w:val="none"/>
              </w:rPr>
            </w:pPr>
          </w:p>
        </w:tc>
      </w:tr>
      <w:tr w14:paraId="1B32C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BD2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07D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语音信息双口插座</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47A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8线插针：磷青铜，镀金(20~50uinch)，插头插座可重复插拔不小于750次、符合千兆以太网应用系统、提供高达250MHz的可用带宽</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4EA5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118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25.00 </w:t>
            </w:r>
          </w:p>
        </w:tc>
      </w:tr>
      <w:tr w14:paraId="66FF6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F92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48</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6B1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无线授权</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87F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增强型无线控制器license授权函-管理8AP-企业网专用-V7专用</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847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5FD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043F0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CD8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86A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吸顶无线AP</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9DA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WI-FI6 1775M双频千兆吸顶AP，千兆LAN口上联，内置天线，支持2.4GHz/5GHz双频通信，支持802.11a/b/g/n/ac Wave1/Wave2/ax协议。支持AP与路由两种工作模式，支持二、三层漫游，支持PoE供电和本地供电</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6F7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D12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5.00 </w:t>
            </w:r>
          </w:p>
        </w:tc>
      </w:tr>
      <w:tr w14:paraId="2009C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A53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3A7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网络半球摄像机</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109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红外/彩转黑,,200万1/3” CMOS 超宽动态,2.8-12mm电动变焦,POE/坚固型, 最大图像尺寸1920*1080;</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CD3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9D5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11.00 </w:t>
            </w:r>
          </w:p>
        </w:tc>
      </w:tr>
      <w:tr w14:paraId="61AC2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D69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7A2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数字硬盘录像机</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8D4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16路4盘位</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1E2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03B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2B6CC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3E2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ECA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监控硬盘</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C16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6TB</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E95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CDD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0A4D8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32C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53</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775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液晶显示器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161A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24英寸液晶安防监控显示器</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AC3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F5F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49B9B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C44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54</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BDE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24口POE接入交换机</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3FB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24个10/100/1000Mbps自适应电口交换机(支持POE/POE+，POE功率370W)，固化4个SFP千兆光口，交换容量336Gbps，包转发率42Mpps，支持VLAN、ACL、端口镜像、端口聚合等功能</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929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616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417FA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A31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55</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A1B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理线架</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6EE7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24口、19英寸、1U</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DDE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AD4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73D13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A0D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56</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E20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门禁读卡器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D50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 LED状态指示、内置反破坏开关,防止被拆卸破坏、具备RS485及Wiegand 双通讯介面、开机时,自动侦测及启用已设定之参数内置蜂鸣器提示、刷卡</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101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E8E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17FA3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118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57</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305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门禁控制器（含箱体）</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C3B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标准RJ45网络接口,100MTCP/IP通讯,支持外围IP云访问,支持4万张卡片使用,20万笔进出记录,可搭配LCD显示读卡器可显示中/英文名称,4组韦根(Wiegand)输入接口,可通过软件设定、提供多重开门方式选择,提供多重时段及卡片权限设定、具区域反潜回、反胁迫、开门逾时、强行进入等功能,与读卡器线路异常检测与提示,输入电源温度监测,时钟自我修正,可使用楼层控管方式、提供工具软件远端设定相关参数及联机更新韧体程序</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8B4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156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591CA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881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58</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F10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双门磁力锁</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603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磁力锁，含磁力锁支架LZ+弧形3件套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超低温型电锁、状态信号输入输出 磁感应上锁,延时启动时间可调节、具双电流过载保护装置</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157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把</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702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3.00 </w:t>
            </w:r>
          </w:p>
        </w:tc>
      </w:tr>
      <w:tr w14:paraId="1629F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591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59</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D3B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单门磁力锁</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C3F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磁力锁，含磁力锁支架LZ+弧形3件套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超低温型电锁、状态信号输入输出 磁感应上锁,延时启动时间可调节、具双电流过载保护装置</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0F9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736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498DC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A29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B2A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出门按钮</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EB8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86型、触点能力: 250V 6A</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A85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77F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60953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E5C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325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扬声器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E72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3W吸顶式扬声器,CH-705</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D9A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057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10.00 </w:t>
            </w:r>
          </w:p>
        </w:tc>
      </w:tr>
      <w:tr w14:paraId="46761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E96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838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音量控制器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5343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1、音量控制器 6W音控，可扩展至30、60、120、200W。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线制：2，3，4.</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尺寸：85*85*60mm。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兼有强插输入和音量控制两种功能。</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115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833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7.00 </w:t>
            </w:r>
          </w:p>
        </w:tc>
      </w:tr>
      <w:tr w14:paraId="24395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EF1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63</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CCF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前置广播功放</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67A8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内置蓝牙、收音、USB播放功能，可通过红外线遥控器控制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带有段码管屏幕，直观的显示，更方便用户选择和操作</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支持线路输出，100V、70V定压式输出和4Ω-16Ω定阻式输出，具有断电记忆功能</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1路EMC报警信号输入，可以从其它设备输入报警信号到本机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额定输出功率： 60W/120W/250W/350W/500W/650W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具有优先级功能，优先级为MUTE&gt;EMC&gt;MIC1&gt;其他（当有警报声时钟声无输出）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有总音量控制；话筒、线路单独音量控制；高音、低音音调控制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SIRNE短路触发功能，本机可远程控制或被其它设备控制，独立报警声输出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电源供电：AC115V或230V 50/60Hz</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7FC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DAF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14D15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9A4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64</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C4E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寻呼器</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8A9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按电声学原理精心设计、采用直径16mm小膜片背极式电容极头，具有良好的频响特</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音质保真、清晰、宏亮；先进的表面处理工艺，软管加工方法独特，弯曲时手感良好，</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作防锈处理；灯环显示新颖的鹅颈式外形，美观大方；</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输入阻抗：600欧；频响：50-15000Hz；灵敏度：-54dB±3dB；</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549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EC0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0D1D6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BAF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四</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D2F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管线工程量</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2AACF">
            <w:pPr>
              <w:rPr>
                <w:rFonts w:hint="eastAsia" w:ascii="宋体" w:hAnsi="宋体" w:eastAsia="宋体" w:cs="宋体"/>
                <w:i w:val="0"/>
                <w:iCs w:val="0"/>
                <w:color w:val="000000"/>
                <w:sz w:val="18"/>
                <w:szCs w:val="18"/>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C2493">
            <w:pPr>
              <w:jc w:val="center"/>
              <w:rPr>
                <w:rFonts w:hint="eastAsia" w:ascii="宋体" w:hAnsi="宋体" w:eastAsia="宋体" w:cs="宋体"/>
                <w:i w:val="0"/>
                <w:iCs w:val="0"/>
                <w:color w:val="000000"/>
                <w:sz w:val="18"/>
                <w:szCs w:val="18"/>
                <w:highlight w:val="none"/>
                <w:u w:val="none"/>
              </w:rPr>
            </w:pP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9B951">
            <w:pPr>
              <w:jc w:val="center"/>
              <w:rPr>
                <w:rFonts w:hint="eastAsia" w:ascii="宋体" w:hAnsi="宋体" w:eastAsia="宋体" w:cs="宋体"/>
                <w:i w:val="0"/>
                <w:iCs w:val="0"/>
                <w:color w:val="000000"/>
                <w:sz w:val="18"/>
                <w:szCs w:val="18"/>
                <w:highlight w:val="none"/>
                <w:u w:val="none"/>
              </w:rPr>
            </w:pPr>
          </w:p>
        </w:tc>
      </w:tr>
      <w:tr w14:paraId="126DD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62C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65</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0AC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线管敷设</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1426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1、名称：紧定式套接钢管敷设管；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3、规格：JDG20；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4、配置形式：砖、混凝土结构暗配。</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761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A83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5515.00 </w:t>
            </w:r>
          </w:p>
        </w:tc>
      </w:tr>
      <w:tr w14:paraId="4F76A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0A7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66</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F13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电线电缆</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252E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1、名称：电线电缆敷设；</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2、型号及规格：CAT6 UTP；</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1D2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763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12551.00 </w:t>
            </w:r>
          </w:p>
        </w:tc>
      </w:tr>
      <w:tr w14:paraId="477E1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8B3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67</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9D2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电线电缆</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F23C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1、名称：电线电缆敷设；</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2、型号及规格：RVV-2x1.0；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C18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2AF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2398.00 </w:t>
            </w:r>
          </w:p>
        </w:tc>
      </w:tr>
      <w:tr w14:paraId="5D5A8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F5A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68</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D9A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电线电缆</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4DA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1、名称：电线电缆敷设；</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2、型号及规格：WDZ-RVV-2*1.0；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273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531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902.00 </w:t>
            </w:r>
          </w:p>
        </w:tc>
      </w:tr>
      <w:tr w14:paraId="4592C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6BA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69</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8AE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电线电缆</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31B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1、名称：电线电缆敷设；</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2、型号及规格：WDZ-RVV-6*1.0；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EF0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710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902.00 </w:t>
            </w:r>
          </w:p>
        </w:tc>
      </w:tr>
      <w:tr w14:paraId="3767E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289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70</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789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电线电缆</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F66B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1、名称：电线电缆敷设；</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2、型号及规格：WDZ-RVV-4*1.0；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C6FC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EE4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902.00 </w:t>
            </w:r>
          </w:p>
        </w:tc>
      </w:tr>
      <w:tr w14:paraId="70F06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EC5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303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电线电缆</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500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1、名称：电线电缆敷设；</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2、型号及规格：WDZ-RYY2X1.0；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3、敷设方式：穿管、桥架敷设。</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629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652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374.00 </w:t>
            </w:r>
          </w:p>
        </w:tc>
      </w:tr>
      <w:tr w14:paraId="5A112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468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914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桥架敷设</w:t>
            </w:r>
          </w:p>
        </w:tc>
        <w:tc>
          <w:tcPr>
            <w:tcW w:w="28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9EAB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1、名称：桥架敷设；</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2、规格：200*100mm；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3、材质：热镀锌；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4、类型：槽式桥架；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5、接地方式：桥架连接片之间采用铜编织带作接地跨接；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6、含弯头、三通、四通、桥架盖板及配件等。</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ED2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B47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92.00 </w:t>
            </w:r>
          </w:p>
        </w:tc>
      </w:tr>
    </w:tbl>
    <w:p w14:paraId="2E14A4A9">
      <w:pPr>
        <w:rPr>
          <w:rFonts w:hint="default"/>
          <w:color w:val="auto"/>
          <w:highlight w:val="none"/>
          <w:lang w:val="en-US" w:eastAsia="zh-CN"/>
        </w:rPr>
      </w:pP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74"/>
        <w:gridCol w:w="2813"/>
        <w:gridCol w:w="8205"/>
        <w:gridCol w:w="970"/>
        <w:gridCol w:w="1058"/>
      </w:tblGrid>
      <w:tr w14:paraId="6FBFD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000" w:type="pct"/>
            <w:gridSpan w:val="5"/>
            <w:tcBorders>
              <w:top w:val="nil"/>
              <w:left w:val="nil"/>
              <w:bottom w:val="nil"/>
              <w:right w:val="nil"/>
            </w:tcBorders>
            <w:shd w:val="clear" w:color="auto" w:fill="auto"/>
            <w:vAlign w:val="center"/>
          </w:tcPr>
          <w:p w14:paraId="10F8B5A3">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snapToGrid w:val="0"/>
                <w:color w:val="000000"/>
                <w:kern w:val="0"/>
                <w:sz w:val="40"/>
                <w:szCs w:val="40"/>
                <w:highlight w:val="none"/>
                <w:u w:val="none"/>
                <w:lang w:val="en-US" w:eastAsia="zh-CN" w:bidi="ar"/>
              </w:rPr>
              <w:t>1.5医用气体清单</w:t>
            </w:r>
          </w:p>
        </w:tc>
      </w:tr>
      <w:tr w14:paraId="709D7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1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02406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序号</w:t>
            </w:r>
          </w:p>
        </w:tc>
        <w:tc>
          <w:tcPr>
            <w:tcW w:w="9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6F127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名称</w:t>
            </w:r>
          </w:p>
        </w:tc>
        <w:tc>
          <w:tcPr>
            <w:tcW w:w="28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CD58B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napToGrid w:val="0"/>
                <w:color w:val="000000"/>
                <w:kern w:val="0"/>
                <w:sz w:val="24"/>
                <w:szCs w:val="24"/>
                <w:highlight w:val="none"/>
                <w:u w:val="none"/>
                <w:lang w:val="en-US" w:eastAsia="zh-CN" w:bidi="ar"/>
              </w:rPr>
              <w:t>项目特征</w:t>
            </w:r>
          </w:p>
        </w:tc>
        <w:tc>
          <w:tcPr>
            <w:tcW w:w="3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CF70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计量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单位</w:t>
            </w:r>
          </w:p>
        </w:tc>
        <w:tc>
          <w:tcPr>
            <w:tcW w:w="36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5039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工程量</w:t>
            </w:r>
          </w:p>
        </w:tc>
      </w:tr>
      <w:tr w14:paraId="24647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1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F1BEF">
            <w:pPr>
              <w:jc w:val="center"/>
              <w:rPr>
                <w:rFonts w:hint="eastAsia" w:ascii="宋体" w:hAnsi="宋体" w:eastAsia="宋体" w:cs="宋体"/>
                <w:i w:val="0"/>
                <w:iCs w:val="0"/>
                <w:color w:val="000000"/>
                <w:sz w:val="24"/>
                <w:szCs w:val="24"/>
                <w:highlight w:val="none"/>
                <w:u w:val="none"/>
              </w:rPr>
            </w:pPr>
          </w:p>
        </w:tc>
        <w:tc>
          <w:tcPr>
            <w:tcW w:w="9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464BE">
            <w:pPr>
              <w:jc w:val="center"/>
              <w:rPr>
                <w:rFonts w:hint="eastAsia" w:ascii="宋体" w:hAnsi="宋体" w:eastAsia="宋体" w:cs="宋体"/>
                <w:i w:val="0"/>
                <w:iCs w:val="0"/>
                <w:color w:val="000000"/>
                <w:sz w:val="24"/>
                <w:szCs w:val="24"/>
                <w:highlight w:val="none"/>
                <w:u w:val="none"/>
              </w:rPr>
            </w:pPr>
          </w:p>
        </w:tc>
        <w:tc>
          <w:tcPr>
            <w:tcW w:w="2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B0388">
            <w:pPr>
              <w:jc w:val="center"/>
              <w:rPr>
                <w:rFonts w:hint="eastAsia" w:ascii="宋体" w:hAnsi="宋体" w:eastAsia="宋体" w:cs="宋体"/>
                <w:i w:val="0"/>
                <w:iCs w:val="0"/>
                <w:color w:val="000000"/>
                <w:sz w:val="24"/>
                <w:szCs w:val="24"/>
                <w:highlight w:val="none"/>
                <w:u w:val="none"/>
              </w:rPr>
            </w:pP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E509C">
            <w:pPr>
              <w:jc w:val="center"/>
              <w:rPr>
                <w:rFonts w:hint="eastAsia" w:ascii="宋体" w:hAnsi="宋体" w:eastAsia="宋体" w:cs="宋体"/>
                <w:i w:val="0"/>
                <w:iCs w:val="0"/>
                <w:color w:val="000000"/>
                <w:sz w:val="18"/>
                <w:szCs w:val="18"/>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0CDCA">
            <w:pPr>
              <w:jc w:val="center"/>
              <w:rPr>
                <w:rFonts w:hint="eastAsia" w:ascii="宋体" w:hAnsi="宋体" w:eastAsia="宋体" w:cs="宋体"/>
                <w:i w:val="0"/>
                <w:iCs w:val="0"/>
                <w:color w:val="000000"/>
                <w:sz w:val="18"/>
                <w:szCs w:val="18"/>
                <w:highlight w:val="none"/>
                <w:u w:val="none"/>
              </w:rPr>
            </w:pPr>
          </w:p>
        </w:tc>
      </w:tr>
      <w:tr w14:paraId="6E81D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1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D5281">
            <w:pPr>
              <w:jc w:val="center"/>
              <w:rPr>
                <w:rFonts w:hint="eastAsia" w:ascii="宋体" w:hAnsi="宋体" w:eastAsia="宋体" w:cs="宋体"/>
                <w:i w:val="0"/>
                <w:iCs w:val="0"/>
                <w:color w:val="000000"/>
                <w:sz w:val="24"/>
                <w:szCs w:val="24"/>
                <w:highlight w:val="none"/>
                <w:u w:val="none"/>
              </w:rPr>
            </w:pPr>
          </w:p>
        </w:tc>
        <w:tc>
          <w:tcPr>
            <w:tcW w:w="9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09A1C2">
            <w:pPr>
              <w:jc w:val="center"/>
              <w:rPr>
                <w:rFonts w:hint="eastAsia" w:ascii="宋体" w:hAnsi="宋体" w:eastAsia="宋体" w:cs="宋体"/>
                <w:i w:val="0"/>
                <w:iCs w:val="0"/>
                <w:color w:val="000000"/>
                <w:sz w:val="24"/>
                <w:szCs w:val="24"/>
                <w:highlight w:val="none"/>
                <w:u w:val="none"/>
              </w:rPr>
            </w:pPr>
          </w:p>
        </w:tc>
        <w:tc>
          <w:tcPr>
            <w:tcW w:w="2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2A3FB">
            <w:pPr>
              <w:jc w:val="center"/>
              <w:rPr>
                <w:rFonts w:hint="eastAsia" w:ascii="宋体" w:hAnsi="宋体" w:eastAsia="宋体" w:cs="宋体"/>
                <w:i w:val="0"/>
                <w:iCs w:val="0"/>
                <w:color w:val="000000"/>
                <w:sz w:val="24"/>
                <w:szCs w:val="24"/>
                <w:highlight w:val="none"/>
                <w:u w:val="none"/>
              </w:rPr>
            </w:pPr>
          </w:p>
        </w:tc>
        <w:tc>
          <w:tcPr>
            <w:tcW w:w="3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FB8A9">
            <w:pPr>
              <w:jc w:val="center"/>
              <w:rPr>
                <w:rFonts w:hint="eastAsia" w:ascii="宋体" w:hAnsi="宋体" w:eastAsia="宋体" w:cs="宋体"/>
                <w:i w:val="0"/>
                <w:iCs w:val="0"/>
                <w:color w:val="000000"/>
                <w:sz w:val="18"/>
                <w:szCs w:val="18"/>
                <w:highlight w:val="none"/>
                <w:u w:val="none"/>
              </w:rPr>
            </w:pPr>
          </w:p>
        </w:tc>
        <w:tc>
          <w:tcPr>
            <w:tcW w:w="3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C3E7BB">
            <w:pPr>
              <w:jc w:val="center"/>
              <w:rPr>
                <w:rFonts w:hint="eastAsia" w:ascii="宋体" w:hAnsi="宋体" w:eastAsia="宋体" w:cs="宋体"/>
                <w:i w:val="0"/>
                <w:iCs w:val="0"/>
                <w:color w:val="000000"/>
                <w:sz w:val="18"/>
                <w:szCs w:val="18"/>
                <w:highlight w:val="none"/>
                <w:u w:val="none"/>
              </w:rPr>
            </w:pPr>
          </w:p>
        </w:tc>
      </w:tr>
      <w:tr w14:paraId="4A54C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099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D7A66">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snapToGrid w:val="0"/>
                <w:color w:val="000000"/>
                <w:kern w:val="0"/>
                <w:sz w:val="18"/>
                <w:szCs w:val="18"/>
                <w:highlight w:val="none"/>
                <w:u w:val="none"/>
                <w:lang w:val="en-US" w:eastAsia="zh-CN" w:bidi="ar"/>
              </w:rPr>
              <w:t>二层中心供应室</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BE525">
            <w:pPr>
              <w:jc w:val="center"/>
              <w:rPr>
                <w:rFonts w:hint="eastAsia" w:ascii="宋体" w:hAnsi="宋体" w:eastAsia="宋体" w:cs="宋体"/>
                <w:b/>
                <w:bCs/>
                <w:i w:val="0"/>
                <w:iCs w:val="0"/>
                <w:color w:val="000000"/>
                <w:sz w:val="18"/>
                <w:szCs w:val="18"/>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89541">
            <w:pPr>
              <w:jc w:val="center"/>
              <w:rPr>
                <w:rFonts w:hint="eastAsia" w:ascii="宋体" w:hAnsi="宋体" w:eastAsia="宋体" w:cs="宋体"/>
                <w:b/>
                <w:bCs/>
                <w:i w:val="0"/>
                <w:iCs w:val="0"/>
                <w:color w:val="000000"/>
                <w:sz w:val="18"/>
                <w:szCs w:val="18"/>
                <w:highlight w:val="none"/>
                <w:u w:val="none"/>
              </w:rPr>
            </w:pP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EE182">
            <w:pPr>
              <w:jc w:val="center"/>
              <w:rPr>
                <w:rFonts w:hint="eastAsia" w:ascii="宋体" w:hAnsi="宋体" w:eastAsia="宋体" w:cs="宋体"/>
                <w:b/>
                <w:bCs/>
                <w:i w:val="0"/>
                <w:iCs w:val="0"/>
                <w:color w:val="000000"/>
                <w:sz w:val="18"/>
                <w:szCs w:val="18"/>
                <w:highlight w:val="none"/>
                <w:u w:val="none"/>
              </w:rPr>
            </w:pPr>
          </w:p>
        </w:tc>
      </w:tr>
      <w:tr w14:paraId="1AE42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4E1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00A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中心供应室压缩空气系统</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96F56">
            <w:pPr>
              <w:jc w:val="left"/>
              <w:rPr>
                <w:rFonts w:hint="eastAsia" w:ascii="宋体" w:hAnsi="宋体" w:eastAsia="宋体" w:cs="宋体"/>
                <w:i w:val="0"/>
                <w:iCs w:val="0"/>
                <w:color w:val="000000"/>
                <w:sz w:val="18"/>
                <w:szCs w:val="18"/>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DB75F">
            <w:pPr>
              <w:jc w:val="center"/>
              <w:rPr>
                <w:rFonts w:hint="eastAsia" w:ascii="宋体" w:hAnsi="宋体" w:eastAsia="宋体" w:cs="宋体"/>
                <w:i w:val="0"/>
                <w:iCs w:val="0"/>
                <w:color w:val="000000"/>
                <w:sz w:val="18"/>
                <w:szCs w:val="18"/>
                <w:highlight w:val="none"/>
                <w:u w:val="none"/>
              </w:rPr>
            </w:pP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F0939">
            <w:pPr>
              <w:jc w:val="center"/>
              <w:rPr>
                <w:rFonts w:hint="eastAsia" w:ascii="宋体" w:hAnsi="宋体" w:eastAsia="宋体" w:cs="宋体"/>
                <w:i w:val="0"/>
                <w:iCs w:val="0"/>
                <w:color w:val="000000"/>
                <w:sz w:val="18"/>
                <w:szCs w:val="18"/>
                <w:highlight w:val="none"/>
                <w:u w:val="none"/>
              </w:rPr>
            </w:pPr>
          </w:p>
        </w:tc>
      </w:tr>
      <w:tr w14:paraId="15D47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181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EEA2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无油空气压缩机</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E930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1.单台无油空气压缩机排气量：≥0.8m³/min</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2.单台无油空气压缩机电机功率：≤8KW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3.单级过滤器处理量：≥0.9m³/min</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4.单台冷冻式干燥机处理量：≥0.9m³/min</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5.包含无油空气压缩机、吸附式干燥机、三级过滤器及连接管路一批</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71C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BAC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07EEC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1EC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B58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空气机房报警器</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14B9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1.规格型号：控制器械用压缩空气压力。</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2.具有数据远传功能</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3、流量：≥100m3/h</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AA3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AC6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6C637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C04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355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储气罐</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D70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1.规格型号：1.0m³，直径:φ800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2.工作压力：1.0MPa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3.材质：不锈钢</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CB6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570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22DDD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C30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602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空气机房报警器</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FBB1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1.规格型号：空气机房报警器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2.具有声光报警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3.压力监视 ≥1.0级</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EDB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754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674AF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20D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698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PLC控制柜</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4E69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1.控制方式：PLC                                                                                                                                         2.功率：≤10KW                                                                                                                                3.PLC逻辑程序控制器、报警装置，可以同时控制多台泵机工作，实现自动交替、辅助运行及故障报警</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88C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D9D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0DD80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1"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DCA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D22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球阀</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315A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1.规格型号：DN20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2.材质：不锈钢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3.类型：球阀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4.处理方式：脱脂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5.连接方式：焊接（充氩气保护）</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3E3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C1C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2C512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1"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BE3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849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球阀</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5253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1.规格型号：DN10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2.材质：不锈钢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3.类型：球阀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4.处理方式：脱脂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5.连接方式：焊接（充氩气保护）</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187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939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9.00 </w:t>
            </w:r>
          </w:p>
        </w:tc>
      </w:tr>
      <w:tr w14:paraId="28F4D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258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2BD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医用无缝不锈钢管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86A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1.规格型号：φ25×2.0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3.处理方式：采用超声波结合氧化电位水工艺进行酸洗，脱脂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4.焊接方式：氩弧焊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5.试验方式：按照规范进行压力与气密性试验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6.管道镀层的微量元素必须达到相关规范要求</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B24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403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72.44 </w:t>
            </w:r>
          </w:p>
        </w:tc>
      </w:tr>
      <w:tr w14:paraId="0A3E8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058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A6A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医用无缝不锈钢管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7C2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1.规格型号：φ12×1.0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3.处理方式：采用超声波结合氧化电位水工艺进行酸洗，脱脂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4.焊接方式：氩弧焊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5.试验方式：按照规范进行压力与气密性试验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6.管道镀层的微量元素必须达到相关规范要求</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C2D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829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53.97 </w:t>
            </w:r>
          </w:p>
        </w:tc>
      </w:tr>
      <w:tr w14:paraId="1B706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2BA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2E2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软连接</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636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DN20</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083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B71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784E9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46F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F74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其它管件及敷料</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6C2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1.管道焊接焊条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2.连接螺栓</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E3C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批</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ED3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24AF9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4DF36">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snapToGrid w:val="0"/>
                <w:color w:val="000000"/>
                <w:kern w:val="0"/>
                <w:sz w:val="18"/>
                <w:szCs w:val="18"/>
                <w:highlight w:val="none"/>
                <w:u w:val="none"/>
                <w:lang w:val="en-US" w:eastAsia="zh-CN" w:bidi="ar"/>
              </w:rPr>
              <w:t>二</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94B16">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snapToGrid w:val="0"/>
                <w:color w:val="000000"/>
                <w:kern w:val="0"/>
                <w:sz w:val="18"/>
                <w:szCs w:val="18"/>
                <w:highlight w:val="none"/>
                <w:u w:val="none"/>
                <w:lang w:val="en-US" w:eastAsia="zh-CN" w:bidi="ar"/>
              </w:rPr>
              <w:t>三层手术室</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1780E">
            <w:pPr>
              <w:jc w:val="center"/>
              <w:rPr>
                <w:rFonts w:hint="eastAsia" w:ascii="宋体" w:hAnsi="宋体" w:eastAsia="宋体" w:cs="宋体"/>
                <w:b/>
                <w:bCs/>
                <w:i w:val="0"/>
                <w:iCs w:val="0"/>
                <w:color w:val="000000"/>
                <w:sz w:val="18"/>
                <w:szCs w:val="18"/>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2F0FE">
            <w:pPr>
              <w:jc w:val="center"/>
              <w:rPr>
                <w:rFonts w:hint="eastAsia" w:ascii="宋体" w:hAnsi="宋体" w:eastAsia="宋体" w:cs="宋体"/>
                <w:b/>
                <w:bCs/>
                <w:i w:val="0"/>
                <w:iCs w:val="0"/>
                <w:color w:val="000000"/>
                <w:sz w:val="18"/>
                <w:szCs w:val="18"/>
                <w:highlight w:val="none"/>
                <w:u w:val="none"/>
              </w:rPr>
            </w:pP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ECDB3">
            <w:pPr>
              <w:jc w:val="center"/>
              <w:rPr>
                <w:rFonts w:hint="eastAsia" w:ascii="宋体" w:hAnsi="宋体" w:eastAsia="宋体" w:cs="宋体"/>
                <w:b/>
                <w:bCs/>
                <w:i w:val="0"/>
                <w:iCs w:val="0"/>
                <w:color w:val="000000"/>
                <w:sz w:val="18"/>
                <w:szCs w:val="18"/>
                <w:highlight w:val="none"/>
                <w:u w:val="none"/>
              </w:rPr>
            </w:pPr>
          </w:p>
        </w:tc>
      </w:tr>
      <w:tr w14:paraId="56B25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536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C69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医用中心供氧系统</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CE0AC">
            <w:pPr>
              <w:jc w:val="left"/>
              <w:rPr>
                <w:rFonts w:hint="eastAsia" w:ascii="宋体" w:hAnsi="宋体" w:eastAsia="宋体" w:cs="宋体"/>
                <w:i w:val="0"/>
                <w:iCs w:val="0"/>
                <w:color w:val="000000"/>
                <w:sz w:val="18"/>
                <w:szCs w:val="18"/>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FC084">
            <w:pPr>
              <w:jc w:val="center"/>
              <w:rPr>
                <w:rFonts w:hint="eastAsia" w:ascii="宋体" w:hAnsi="宋体" w:eastAsia="宋体" w:cs="宋体"/>
                <w:i w:val="0"/>
                <w:iCs w:val="0"/>
                <w:color w:val="000000"/>
                <w:sz w:val="18"/>
                <w:szCs w:val="18"/>
                <w:highlight w:val="none"/>
                <w:u w:val="none"/>
              </w:rPr>
            </w:pP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A2D21">
            <w:pPr>
              <w:jc w:val="center"/>
              <w:rPr>
                <w:rFonts w:hint="eastAsia" w:ascii="宋体" w:hAnsi="宋体" w:eastAsia="宋体" w:cs="宋体"/>
                <w:i w:val="0"/>
                <w:iCs w:val="0"/>
                <w:color w:val="000000"/>
                <w:sz w:val="18"/>
                <w:szCs w:val="18"/>
                <w:highlight w:val="none"/>
                <w:u w:val="none"/>
              </w:rPr>
            </w:pPr>
          </w:p>
        </w:tc>
      </w:tr>
      <w:tr w14:paraId="382FC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678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66C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氧气流量计组件</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16D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1.流量范围：0.3～300L/min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2.显示方式：LED显示累计流量、瞬时流量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3.具备RS485通讯模块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4.包含1套流量计传感器、3只DN15铜球阀、6只DN15阀接头、2只φ18等径三通、2只φ18弯头及φ18×2不锈钢管一批等</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9F2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B83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2EE6F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A1E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9B5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信号线</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1AD8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RVVSP信号线3X1.5mm2</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43E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CAF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80.00 </w:t>
            </w:r>
          </w:p>
        </w:tc>
      </w:tr>
      <w:tr w14:paraId="7E729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4AB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0E4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压力监测报警装置</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6912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1.规格型号：远程压力报警器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2.具有声光报警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3.尺寸：25*10*38（mm），N=0.4KW</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50C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370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498E3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476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74F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阀门箱</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27F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1、符合 GB 50751-2012《医用气体工程技术规范》</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2、规格：区域阀门箱；用途：氧气、吸引、空气、</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二氧化碳、氮气、笑气、麻醉废气 6 路气体共用，整合一体,对本病区区域内气体进行通断控制；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3、具有氧气备用接口，当氧气站故障时，可接入氧气瓶，对区域进行临时供气；箱内配置：阀门、压力表、气体管道及配件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4、人性化设计，采用透明视窗，可直接观察箱内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各种气体压力表读数及阀门的开关状态；</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D1D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FD2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55CCF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862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EA6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医用无缝不锈钢管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BEE9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1.规格型号：φ25×2.0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3.处理方式：采用超声波结合氧化电位水工艺进行酸洗，脱脂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4.焊接方式：氩弧焊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5.试验方式：按照规范进行压力与气密性试验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6.管道镀层的微量元素必须达到相关规范要求</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17E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574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60.00 </w:t>
            </w:r>
          </w:p>
        </w:tc>
      </w:tr>
      <w:tr w14:paraId="4AB70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A32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632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医用无缝铜管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148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1.规格型号：φ10×1.0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2.材质：TP2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3.处理方式：采用超声波结合氧化电位水工艺进行酸洗，脱脂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4.焊接方式：硬钎焊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5.试验方式：按照规范进行压力与气密性试验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6.管道镀层的微量元素必须达到相关规范要求</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3FA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DD3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32.00 </w:t>
            </w:r>
          </w:p>
        </w:tc>
      </w:tr>
      <w:tr w14:paraId="10526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755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90E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阀门</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D975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1.规格型号：DN8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2.材质：TP2</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D94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220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10.00 </w:t>
            </w:r>
          </w:p>
        </w:tc>
      </w:tr>
      <w:tr w14:paraId="7AE86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DFF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3C7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支架</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1CC9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1.规格型号：30*30*3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2.形式：角钢支架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3.型钢</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54D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件</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6D8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30.00 </w:t>
            </w:r>
          </w:p>
        </w:tc>
      </w:tr>
      <w:tr w14:paraId="7A5D0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36C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D37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其它管件及敷料</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B33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1.管道焊接焊条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2.连接螺栓</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8C2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批</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1E5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667BE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5B6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（二）</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CD0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医用中心吸引系统</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3385A">
            <w:pPr>
              <w:jc w:val="left"/>
              <w:rPr>
                <w:rFonts w:hint="eastAsia" w:ascii="宋体" w:hAnsi="宋体" w:eastAsia="宋体" w:cs="宋体"/>
                <w:i w:val="0"/>
                <w:iCs w:val="0"/>
                <w:color w:val="000000"/>
                <w:sz w:val="18"/>
                <w:szCs w:val="18"/>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BE20A">
            <w:pPr>
              <w:jc w:val="center"/>
              <w:rPr>
                <w:rFonts w:hint="eastAsia" w:ascii="宋体" w:hAnsi="宋体" w:eastAsia="宋体" w:cs="宋体"/>
                <w:i w:val="0"/>
                <w:iCs w:val="0"/>
                <w:color w:val="000000"/>
                <w:sz w:val="18"/>
                <w:szCs w:val="18"/>
                <w:highlight w:val="none"/>
                <w:u w:val="none"/>
              </w:rPr>
            </w:pP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CC3D5">
            <w:pPr>
              <w:jc w:val="center"/>
              <w:rPr>
                <w:rFonts w:hint="eastAsia" w:ascii="宋体" w:hAnsi="宋体" w:eastAsia="宋体" w:cs="宋体"/>
                <w:i w:val="0"/>
                <w:iCs w:val="0"/>
                <w:color w:val="000000"/>
                <w:sz w:val="18"/>
                <w:szCs w:val="18"/>
                <w:highlight w:val="none"/>
                <w:u w:val="none"/>
              </w:rPr>
            </w:pPr>
          </w:p>
        </w:tc>
      </w:tr>
      <w:tr w14:paraId="32104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B73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F14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医用不锈钢管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F36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1.规格型号：φ57x3.0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3.处理方式：采用超声波结合氧化电位水工艺进行酸洗，脱脂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4.焊接方式：氩弧焊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5.试验方式：按照规范进行压力与气密性试验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6.管道镀层的微量元素必须达到相关规范要求</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06A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B14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60.00 </w:t>
            </w:r>
          </w:p>
        </w:tc>
      </w:tr>
      <w:tr w14:paraId="672F0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52B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335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医用无缝铜管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5EC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1.规格型号：φ12×1.0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2.材质：TP2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3.处理方式：采用超声波结合氧化电位水工艺进行酸洗，脱脂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4.焊接方式：硬钎焊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5.试验方式：按照规范进行压力与气密性试验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6.管道镀层的微量元素必须达到相关规范要求</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A04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3CF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32.00 </w:t>
            </w:r>
          </w:p>
        </w:tc>
      </w:tr>
      <w:tr w14:paraId="66A1B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7FE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BE4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阀门</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E35A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1.规格型号：DN10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2.材质：紫铜管</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7A4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F09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8.00 </w:t>
            </w:r>
          </w:p>
        </w:tc>
      </w:tr>
      <w:tr w14:paraId="48294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E7F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4E2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其它配套管件及敷料</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DA7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1.管道焊接焊条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2.连接螺栓</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E58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批</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C5D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659BD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082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（三）</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398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医用中心压缩空气系统</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ADC24">
            <w:pPr>
              <w:jc w:val="left"/>
              <w:rPr>
                <w:rFonts w:hint="eastAsia" w:ascii="宋体" w:hAnsi="宋体" w:eastAsia="宋体" w:cs="宋体"/>
                <w:i w:val="0"/>
                <w:iCs w:val="0"/>
                <w:color w:val="000000"/>
                <w:sz w:val="18"/>
                <w:szCs w:val="18"/>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36F35">
            <w:pPr>
              <w:jc w:val="center"/>
              <w:rPr>
                <w:rFonts w:hint="eastAsia" w:ascii="宋体" w:hAnsi="宋体" w:eastAsia="宋体" w:cs="宋体"/>
                <w:i w:val="0"/>
                <w:iCs w:val="0"/>
                <w:color w:val="000000"/>
                <w:sz w:val="18"/>
                <w:szCs w:val="18"/>
                <w:highlight w:val="none"/>
                <w:u w:val="none"/>
              </w:rPr>
            </w:pP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86A4F">
            <w:pPr>
              <w:jc w:val="center"/>
              <w:rPr>
                <w:rFonts w:hint="eastAsia" w:ascii="宋体" w:hAnsi="宋体" w:eastAsia="宋体" w:cs="宋体"/>
                <w:i w:val="0"/>
                <w:iCs w:val="0"/>
                <w:color w:val="000000"/>
                <w:sz w:val="18"/>
                <w:szCs w:val="18"/>
                <w:highlight w:val="none"/>
                <w:u w:val="none"/>
              </w:rPr>
            </w:pPr>
          </w:p>
        </w:tc>
      </w:tr>
      <w:tr w14:paraId="3C263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6C8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9E4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医用无缝不锈钢管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4D4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1.规格型号：φ32×2.0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3.处理方式：采用超声波结合氧化电位水工艺进行酸洗，脱脂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4.焊接方式：氩弧焊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5.试验方式：按照规范进行压力与气密性试验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6.管道镀层的微量元素必须达到相关规范要求</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DC4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214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60.00 </w:t>
            </w:r>
          </w:p>
        </w:tc>
      </w:tr>
      <w:tr w14:paraId="1ACE5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A95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9D1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医用无缝铜管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DC9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1.规格型号：φ10×1.0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2.材质：TP2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3.处理方式：采用超声波结合氧化电位水工艺进行酸洗，脱脂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4.焊接方式：硬钎焊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5.试验方式：按照规范进行压力与气密性试验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6.管道镀层的微量元素必须达到相关规范要求</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0A6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2CE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32.00 </w:t>
            </w:r>
          </w:p>
        </w:tc>
      </w:tr>
      <w:tr w14:paraId="1F3E2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458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0CC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其它管件及敷料</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A9C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1.管道焊接焊条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2.连接螺栓</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2E9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批</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F17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7E91D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A2A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（四）</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9F2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二氧化碳系统</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9FB4B">
            <w:pPr>
              <w:jc w:val="left"/>
              <w:rPr>
                <w:rFonts w:hint="eastAsia" w:ascii="宋体" w:hAnsi="宋体" w:eastAsia="宋体" w:cs="宋体"/>
                <w:i w:val="0"/>
                <w:iCs w:val="0"/>
                <w:color w:val="000000"/>
                <w:sz w:val="18"/>
                <w:szCs w:val="18"/>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3D7BD">
            <w:pPr>
              <w:jc w:val="center"/>
              <w:rPr>
                <w:rFonts w:hint="eastAsia" w:ascii="宋体" w:hAnsi="宋体" w:eastAsia="宋体" w:cs="宋体"/>
                <w:i w:val="0"/>
                <w:iCs w:val="0"/>
                <w:color w:val="000000"/>
                <w:sz w:val="18"/>
                <w:szCs w:val="18"/>
                <w:highlight w:val="none"/>
                <w:u w:val="none"/>
              </w:rPr>
            </w:pP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A3608">
            <w:pPr>
              <w:jc w:val="center"/>
              <w:rPr>
                <w:rFonts w:hint="eastAsia" w:ascii="宋体" w:hAnsi="宋体" w:eastAsia="宋体" w:cs="宋体"/>
                <w:i w:val="0"/>
                <w:iCs w:val="0"/>
                <w:color w:val="000000"/>
                <w:sz w:val="18"/>
                <w:szCs w:val="18"/>
                <w:highlight w:val="none"/>
                <w:u w:val="none"/>
              </w:rPr>
            </w:pPr>
          </w:p>
        </w:tc>
      </w:tr>
      <w:tr w14:paraId="73E21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4F1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4A7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二氧化碳汇流排</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AD7D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1、半自动切换二氧化碳汇流排</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2、1+1瓶组（每瓶容积40L，压力15MPa，折合标况8665L。自带加热装置。</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3、配套切换柜、减压阀、角阀、高压金属软管、托架等）。断电或单一故障时汇流排仍可持续供气</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734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3F6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18E0E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B4A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2D6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医用无缝铜管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E9D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1.规格型号：φ16x1.5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3.处理方式：采用超声波结合氧化电位水工艺进行酸洗，脱脂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4.焊接方式：硬钎焊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5.试验方式：按照规范进行压力与气密性试验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6.管道镀层的微量元素必须达到相关规范要求</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950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F38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35.00 </w:t>
            </w:r>
          </w:p>
        </w:tc>
      </w:tr>
      <w:tr w14:paraId="66390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846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5AF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医用无缝铜管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2B0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1.规格型号：φ10×1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2.材质：TP2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3.处理方式：采用超声波结合氧化电位水工艺进行酸洗，脱脂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4.焊接方式：硬钎焊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5.试验方式：按照规范进行压力与气密性试验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6.管道镀层的微量元素必须达到相关规范要求</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9BD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C9E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32.00 </w:t>
            </w:r>
          </w:p>
        </w:tc>
      </w:tr>
      <w:tr w14:paraId="01286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C45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770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气体检修阀</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B1D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1.规格型号：DN10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2.材质：紫铜管</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66A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B8D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4F144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69C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B3F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气体检修阀</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2622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1.规格型号：DN8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2.材质：紫铜管</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CBF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1D4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16B9E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24B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40A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超压排放安全阀</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270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1.规格型号：DN10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2.材质：紫铜管</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48E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C8E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54F32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4309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F64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其它管件及敷料</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EA7C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1.管道焊接焊条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2.连接螺栓</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989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批</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4419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27ABF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05F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（五）</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C4B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氮气系统</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B94A7">
            <w:pPr>
              <w:jc w:val="left"/>
              <w:rPr>
                <w:rFonts w:hint="eastAsia" w:ascii="宋体" w:hAnsi="宋体" w:eastAsia="宋体" w:cs="宋体"/>
                <w:i w:val="0"/>
                <w:iCs w:val="0"/>
                <w:color w:val="000000"/>
                <w:sz w:val="18"/>
                <w:szCs w:val="18"/>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B5802">
            <w:pPr>
              <w:jc w:val="center"/>
              <w:rPr>
                <w:rFonts w:hint="eastAsia" w:ascii="宋体" w:hAnsi="宋体" w:eastAsia="宋体" w:cs="宋体"/>
                <w:i w:val="0"/>
                <w:iCs w:val="0"/>
                <w:color w:val="000000"/>
                <w:sz w:val="18"/>
                <w:szCs w:val="18"/>
                <w:highlight w:val="none"/>
                <w:u w:val="none"/>
              </w:rPr>
            </w:pP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310FA">
            <w:pPr>
              <w:jc w:val="center"/>
              <w:rPr>
                <w:rFonts w:hint="eastAsia" w:ascii="宋体" w:hAnsi="宋体" w:eastAsia="宋体" w:cs="宋体"/>
                <w:i w:val="0"/>
                <w:iCs w:val="0"/>
                <w:color w:val="000000"/>
                <w:sz w:val="18"/>
                <w:szCs w:val="18"/>
                <w:highlight w:val="none"/>
                <w:u w:val="none"/>
              </w:rPr>
            </w:pPr>
          </w:p>
        </w:tc>
      </w:tr>
      <w:tr w14:paraId="78996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F3B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046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氮气汇流排</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A90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1、半自动切换氮气汇流排</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2、2+2瓶组（每瓶容积40L，压力15MPa，折合标况8665L。</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3、配套切换柜、减压阀、角阀、高压金属软管、托架等）。断电或单一故障时汇流排仍可持续供气</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099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B01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585DF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7DC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3B5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医用无缝铜管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978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1.规格型号：φ16x2.0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3.处理方式：采用超声波结合氧化电位水工艺进行酸洗，脱脂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4.焊接方式：硬钎焊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5.试验方式：按照规范进行压力与气密性试验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6.管道镀层的微量元素必须达到相关规范要求</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D93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107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35.00 </w:t>
            </w:r>
          </w:p>
        </w:tc>
      </w:tr>
      <w:tr w14:paraId="4A9C7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3C3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259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医用无缝铜管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09B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1.规格型号：φ12×1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2.材质：TP2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3.处理方式：采用超声波结合氧化电位水工艺进行酸洗，脱脂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4.焊接方式：硬钎焊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5.试验方式：按照规范进行压力与气密性试验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6.管道镀层的微量元素必须达到相关规范要求</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640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855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32.00 </w:t>
            </w:r>
          </w:p>
        </w:tc>
      </w:tr>
      <w:tr w14:paraId="2551F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898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498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其它管件及敷料</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EA8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1.管道焊接焊条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2.连接螺栓</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78D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批</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B46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5D7EF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3DC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（六）</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10A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笑气系统</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E964C">
            <w:pPr>
              <w:jc w:val="left"/>
              <w:rPr>
                <w:rFonts w:hint="eastAsia" w:ascii="宋体" w:hAnsi="宋体" w:eastAsia="宋体" w:cs="宋体"/>
                <w:i w:val="0"/>
                <w:iCs w:val="0"/>
                <w:color w:val="000000"/>
                <w:sz w:val="18"/>
                <w:szCs w:val="18"/>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80F5E">
            <w:pPr>
              <w:jc w:val="center"/>
              <w:rPr>
                <w:rFonts w:hint="eastAsia" w:ascii="宋体" w:hAnsi="宋体" w:eastAsia="宋体" w:cs="宋体"/>
                <w:i w:val="0"/>
                <w:iCs w:val="0"/>
                <w:color w:val="000000"/>
                <w:sz w:val="18"/>
                <w:szCs w:val="18"/>
                <w:highlight w:val="none"/>
                <w:u w:val="none"/>
              </w:rPr>
            </w:pP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1F0BB">
            <w:pPr>
              <w:jc w:val="center"/>
              <w:rPr>
                <w:rFonts w:hint="eastAsia" w:ascii="宋体" w:hAnsi="宋体" w:eastAsia="宋体" w:cs="宋体"/>
                <w:i w:val="0"/>
                <w:iCs w:val="0"/>
                <w:color w:val="000000"/>
                <w:sz w:val="18"/>
                <w:szCs w:val="18"/>
                <w:highlight w:val="none"/>
                <w:u w:val="none"/>
              </w:rPr>
            </w:pPr>
          </w:p>
        </w:tc>
      </w:tr>
      <w:tr w14:paraId="3C81A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7C6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CD9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笑气汇流排</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B32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1、半自动切换笑气汇流排</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2、1+1瓶组（每瓶容积40L，压力15MPa，折合标况8665L。</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3、配套切换柜、减压阀、角阀、高压金属软管、托架等）。断电或单一故障时汇流排仍可持续供气</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CF6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047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5417F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016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350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医用无缝铜管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814E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1.规格型号：φ16x2.0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2.材质：不锈钢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3.处理方式：采用超声波结合氧化电位水工艺进行酸洗，脱脂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4.焊接方式：硬钎焊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5.试验方式：按照规范进行压力与气密性试验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6.管道镀层的微量元素必须达到相关规范要求</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BBA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FB1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35.00 </w:t>
            </w:r>
          </w:p>
        </w:tc>
      </w:tr>
      <w:tr w14:paraId="3BF2F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718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B6F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医用无缝铜管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D38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1.规格型号：φ10×1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2.材质：TP2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3.处理方式：采用超声波结合氧化电位水工艺进行酸洗，脱脂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4.焊接方式：硬钎焊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5.试验方式：按照规范进行压力与气密性试验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6.管道镀层的微量元素必须达到相关规范要求</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A2F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0234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32.00 </w:t>
            </w:r>
          </w:p>
        </w:tc>
      </w:tr>
      <w:tr w14:paraId="0A933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07B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FF7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其它管件及敷料</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DC0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1.管道焊接焊条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2.连接螺栓</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D3C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批</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E07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24A9E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23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（七）</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B82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麻醉废气系统</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7DFB3">
            <w:pPr>
              <w:jc w:val="left"/>
              <w:rPr>
                <w:rFonts w:hint="eastAsia" w:ascii="宋体" w:hAnsi="宋体" w:eastAsia="宋体" w:cs="宋体"/>
                <w:i w:val="0"/>
                <w:iCs w:val="0"/>
                <w:color w:val="000000"/>
                <w:sz w:val="18"/>
                <w:szCs w:val="18"/>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D8C7D">
            <w:pPr>
              <w:jc w:val="center"/>
              <w:rPr>
                <w:rFonts w:hint="eastAsia" w:ascii="宋体" w:hAnsi="宋体" w:eastAsia="宋体" w:cs="宋体"/>
                <w:i w:val="0"/>
                <w:iCs w:val="0"/>
                <w:color w:val="000000"/>
                <w:sz w:val="18"/>
                <w:szCs w:val="18"/>
                <w:highlight w:val="none"/>
                <w:u w:val="none"/>
              </w:rPr>
            </w:pP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42C43">
            <w:pPr>
              <w:jc w:val="center"/>
              <w:rPr>
                <w:rFonts w:hint="eastAsia" w:ascii="宋体" w:hAnsi="宋体" w:eastAsia="宋体" w:cs="宋体"/>
                <w:i w:val="0"/>
                <w:iCs w:val="0"/>
                <w:color w:val="000000"/>
                <w:sz w:val="18"/>
                <w:szCs w:val="18"/>
                <w:highlight w:val="none"/>
                <w:u w:val="none"/>
              </w:rPr>
            </w:pPr>
          </w:p>
        </w:tc>
      </w:tr>
      <w:tr w14:paraId="66588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892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887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维修阀</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CE6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1.规格型号：DN25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2.材质：UPVC</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3.类型：PVC球阀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4.处理方式：清洗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5.连接方式：法热熔连接</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E079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E84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6.00 </w:t>
            </w:r>
          </w:p>
        </w:tc>
      </w:tr>
      <w:tr w14:paraId="00E69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3DA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72D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PVC管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6803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1.规格型号：DN25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2.材质：UPVC</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3.处理方式：清洗,吹扫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4.连接方式：热熔连接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5.压力试验：按照规范进行压力试验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6.气密性试验：按照规范进行气密性试验</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E7E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5595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26.04 </w:t>
            </w:r>
          </w:p>
        </w:tc>
      </w:tr>
      <w:tr w14:paraId="26756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AB5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6F8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PVC管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3BB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1.规格型号：De20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2.材质：UPVC</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3.处理方式：清洗,吹扫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4.连接方式：热熔连接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5.压力试验：按照规范进行压力试验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6.气密性试验：按照规范进行气密性试验</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99D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DC2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30.04 </w:t>
            </w:r>
          </w:p>
        </w:tc>
      </w:tr>
      <w:tr w14:paraId="677AA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B10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0F3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其它管件及敷料</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3FF3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1.管道卡箍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2.连接螺栓</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4DA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批</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1B5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69483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840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三</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0C3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病房设备带及配套设施系统</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2E3C7">
            <w:pPr>
              <w:jc w:val="left"/>
              <w:rPr>
                <w:rFonts w:hint="eastAsia" w:ascii="宋体" w:hAnsi="宋体" w:eastAsia="宋体" w:cs="宋体"/>
                <w:i w:val="0"/>
                <w:iCs w:val="0"/>
                <w:color w:val="000000"/>
                <w:sz w:val="18"/>
                <w:szCs w:val="18"/>
                <w:highlight w:val="none"/>
                <w:u w:val="none"/>
              </w:rPr>
            </w:pP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7F27A">
            <w:pPr>
              <w:jc w:val="center"/>
              <w:rPr>
                <w:rFonts w:hint="eastAsia" w:ascii="宋体" w:hAnsi="宋体" w:eastAsia="宋体" w:cs="宋体"/>
                <w:i w:val="0"/>
                <w:iCs w:val="0"/>
                <w:color w:val="000000"/>
                <w:sz w:val="18"/>
                <w:szCs w:val="18"/>
                <w:highlight w:val="none"/>
                <w:u w:val="none"/>
              </w:rPr>
            </w:pP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42AE0">
            <w:pPr>
              <w:jc w:val="center"/>
              <w:rPr>
                <w:rFonts w:hint="eastAsia" w:ascii="宋体" w:hAnsi="宋体" w:eastAsia="宋体" w:cs="宋体"/>
                <w:i w:val="0"/>
                <w:iCs w:val="0"/>
                <w:color w:val="000000"/>
                <w:sz w:val="18"/>
                <w:szCs w:val="18"/>
                <w:highlight w:val="none"/>
                <w:u w:val="none"/>
              </w:rPr>
            </w:pPr>
          </w:p>
        </w:tc>
      </w:tr>
      <w:tr w14:paraId="5694E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1A2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23B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设备带</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16B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1.尺寸：≤220*60mm，铝材平均壁厚≥2mm，表面采用静电喷涂处理，颜色及款式可由院方选择</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2.铝合金材质，强电、弱电、医用气体管道三腔分离</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3.病房通长布置</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A25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BF0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8.00 </w:t>
            </w:r>
          </w:p>
        </w:tc>
      </w:tr>
      <w:tr w14:paraId="390B2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E98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ED5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氧气终端</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F1C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1.制式：德标</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2.具有防错插结构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3.自带维修阀，可带气检修</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B26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E4C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77CE4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DBC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245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吸引终端</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75D0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1.制式：德标</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2.具有防错插结构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3.自带维修阀，可带气检修</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15B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9BD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4.00 </w:t>
            </w:r>
          </w:p>
        </w:tc>
      </w:tr>
      <w:tr w14:paraId="4075B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275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53D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空气终端</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DFD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1.制式：德标</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2.具有防错插结构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3.自带维修阀，可带气检修</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F5D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00E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29176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CD0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7C7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电源插座</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0AB9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1.规格型号：2+3孔</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2.符合国际标准</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640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15C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8.00 </w:t>
            </w:r>
          </w:p>
        </w:tc>
      </w:tr>
      <w:tr w14:paraId="773B6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BD2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FEF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灯开关</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271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1.规格型号：大板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2.符合国际标准</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C55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27B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106B8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336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42A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一体化灯带</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7FE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1.规格型号：4W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2.LED型灯管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3.符合国际标准</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F49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支</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7A5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2840E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CDB4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768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支管维修阀</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B9CE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1.规格型号：DN10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2.材质：铜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4.连接方式：焊接（充氩气保护）</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FCF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64B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3B530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84E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01D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支管维修阀接头</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2C03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1.规格型号：DN10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2.材质：铜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3.处理方式：酸洗,脱脂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4.焊接方式：单面焊接双面成型氩弧焊（充氩气保护）</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5.压力试验：按照规范进行压力试验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6.气密性试验：按照规范进行气密性试验</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DCF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974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2.00 </w:t>
            </w:r>
          </w:p>
        </w:tc>
      </w:tr>
      <w:tr w14:paraId="71E1C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1CF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E10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电线</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73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1.规格型号：WDZ-BYJ-2.5mm</w:t>
            </w:r>
            <w:r>
              <w:rPr>
                <w:rStyle w:val="75"/>
                <w:snapToGrid w:val="0"/>
                <w:color w:val="000000"/>
                <w:highlight w:val="none"/>
                <w:lang w:val="en-US" w:eastAsia="zh-CN" w:bidi="ar"/>
              </w:rPr>
              <w:t>2</w:t>
            </w:r>
            <w:r>
              <w:rPr>
                <w:rStyle w:val="75"/>
                <w:snapToGrid w:val="0"/>
                <w:color w:val="000000"/>
                <w:highlight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2.铜芯线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3.设备带内的电源线</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F82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56A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30.00 </w:t>
            </w:r>
          </w:p>
        </w:tc>
      </w:tr>
      <w:tr w14:paraId="69D17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3B3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267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电线</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86B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1.规格型号：WDZ-BYJ-1.5mm</w:t>
            </w:r>
            <w:r>
              <w:rPr>
                <w:rStyle w:val="75"/>
                <w:snapToGrid w:val="0"/>
                <w:color w:val="000000"/>
                <w:highlight w:val="none"/>
                <w:lang w:val="en-US" w:eastAsia="zh-CN" w:bidi="ar"/>
              </w:rPr>
              <w:t>2</w:t>
            </w:r>
            <w:r>
              <w:rPr>
                <w:rStyle w:val="75"/>
                <w:snapToGrid w:val="0"/>
                <w:color w:val="000000"/>
                <w:highlight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2.铜芯线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3.设备带内的电源线</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B9A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D47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30.00 </w:t>
            </w:r>
          </w:p>
        </w:tc>
      </w:tr>
      <w:tr w14:paraId="0BC07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3A7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401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PVC管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5D77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1.规格型号：φ16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2.电源线保护套管</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81F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DCA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30.00 </w:t>
            </w:r>
          </w:p>
        </w:tc>
      </w:tr>
      <w:tr w14:paraId="16C5B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F17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69E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过墙套管</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C549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DN20-DN50</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9DB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3CB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r w14:paraId="42B22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8D0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9E7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出墙堵漏防尘罩</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772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出墙堵漏防尘罩</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E72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BEF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3.00 </w:t>
            </w:r>
          </w:p>
        </w:tc>
      </w:tr>
      <w:tr w14:paraId="185A3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FB2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c>
          <w:tcPr>
            <w:tcW w:w="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EB0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氧气浓度探头</w:t>
            </w:r>
          </w:p>
        </w:tc>
        <w:tc>
          <w:tcPr>
            <w:tcW w:w="2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3B7C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1.泄露浓度过高报警</w:t>
            </w:r>
          </w:p>
        </w:tc>
        <w:tc>
          <w:tcPr>
            <w:tcW w:w="3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755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3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E18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1.00 </w:t>
            </w:r>
          </w:p>
        </w:tc>
      </w:tr>
    </w:tbl>
    <w:p w14:paraId="184F3E53">
      <w:pPr>
        <w:pStyle w:val="18"/>
        <w:tabs>
          <w:tab w:val="right" w:leader="dot" w:pos="9004"/>
        </w:tabs>
        <w:rPr>
          <w:rFonts w:hint="default"/>
          <w:color w:val="auto"/>
          <w:highlight w:val="none"/>
          <w:lang w:val="en-US" w:eastAsia="zh-CN"/>
        </w:rPr>
      </w:pP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6"/>
        <w:gridCol w:w="2952"/>
        <w:gridCol w:w="8134"/>
        <w:gridCol w:w="904"/>
        <w:gridCol w:w="1434"/>
      </w:tblGrid>
      <w:tr w14:paraId="56A0C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000" w:type="pct"/>
            <w:gridSpan w:val="5"/>
            <w:tcBorders>
              <w:top w:val="nil"/>
              <w:left w:val="nil"/>
              <w:bottom w:val="nil"/>
              <w:right w:val="nil"/>
            </w:tcBorders>
            <w:shd w:val="clear" w:color="auto" w:fill="auto"/>
            <w:vAlign w:val="center"/>
          </w:tcPr>
          <w:p w14:paraId="3647556B">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snapToGrid w:val="0"/>
                <w:color w:val="000000"/>
                <w:kern w:val="0"/>
                <w:sz w:val="40"/>
                <w:szCs w:val="40"/>
                <w:highlight w:val="none"/>
                <w:u w:val="none"/>
                <w:lang w:val="en-US" w:eastAsia="zh-CN" w:bidi="ar"/>
              </w:rPr>
              <w:t>1.6给排水工程</w:t>
            </w:r>
          </w:p>
        </w:tc>
      </w:tr>
      <w:tr w14:paraId="4F94F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3677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序号</w:t>
            </w:r>
          </w:p>
        </w:tc>
        <w:tc>
          <w:tcPr>
            <w:tcW w:w="103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1608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项目名称</w:t>
            </w:r>
          </w:p>
        </w:tc>
        <w:tc>
          <w:tcPr>
            <w:tcW w:w="28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7976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项目特征</w:t>
            </w:r>
          </w:p>
        </w:tc>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A531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计量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单位</w:t>
            </w:r>
          </w:p>
        </w:tc>
        <w:tc>
          <w:tcPr>
            <w:tcW w:w="50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9505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工程量</w:t>
            </w:r>
          </w:p>
        </w:tc>
      </w:tr>
      <w:tr w14:paraId="2611F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6E28D">
            <w:pPr>
              <w:jc w:val="center"/>
              <w:rPr>
                <w:rFonts w:hint="eastAsia" w:ascii="宋体" w:hAnsi="宋体" w:eastAsia="宋体" w:cs="宋体"/>
                <w:i w:val="0"/>
                <w:iCs w:val="0"/>
                <w:color w:val="000000"/>
                <w:sz w:val="18"/>
                <w:szCs w:val="18"/>
                <w:highlight w:val="none"/>
                <w:u w:val="none"/>
              </w:rPr>
            </w:pPr>
          </w:p>
        </w:tc>
        <w:tc>
          <w:tcPr>
            <w:tcW w:w="10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48B48">
            <w:pPr>
              <w:jc w:val="center"/>
              <w:rPr>
                <w:rFonts w:hint="eastAsia" w:ascii="宋体" w:hAnsi="宋体" w:eastAsia="宋体" w:cs="宋体"/>
                <w:i w:val="0"/>
                <w:iCs w:val="0"/>
                <w:color w:val="000000"/>
                <w:sz w:val="18"/>
                <w:szCs w:val="18"/>
                <w:highlight w:val="none"/>
                <w:u w:val="none"/>
              </w:rPr>
            </w:pPr>
          </w:p>
        </w:tc>
        <w:tc>
          <w:tcPr>
            <w:tcW w:w="28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427B3">
            <w:pPr>
              <w:jc w:val="center"/>
              <w:rPr>
                <w:rFonts w:hint="eastAsia" w:ascii="宋体" w:hAnsi="宋体" w:eastAsia="宋体" w:cs="宋体"/>
                <w:i w:val="0"/>
                <w:iCs w:val="0"/>
                <w:color w:val="000000"/>
                <w:sz w:val="18"/>
                <w:szCs w:val="18"/>
                <w:highlight w:val="none"/>
                <w:u w:val="none"/>
              </w:rPr>
            </w:pPr>
          </w:p>
        </w:tc>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27F91">
            <w:pPr>
              <w:jc w:val="center"/>
              <w:rPr>
                <w:rFonts w:hint="eastAsia" w:ascii="宋体" w:hAnsi="宋体" w:eastAsia="宋体" w:cs="宋体"/>
                <w:i w:val="0"/>
                <w:iCs w:val="0"/>
                <w:color w:val="000000"/>
                <w:sz w:val="18"/>
                <w:szCs w:val="18"/>
                <w:highlight w:val="none"/>
                <w:u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06231C">
            <w:pPr>
              <w:jc w:val="center"/>
              <w:rPr>
                <w:rFonts w:hint="eastAsia" w:ascii="宋体" w:hAnsi="宋体" w:eastAsia="宋体" w:cs="宋体"/>
                <w:i w:val="0"/>
                <w:iCs w:val="0"/>
                <w:color w:val="000000"/>
                <w:sz w:val="18"/>
                <w:szCs w:val="18"/>
                <w:highlight w:val="none"/>
                <w:u w:val="none"/>
              </w:rPr>
            </w:pPr>
          </w:p>
        </w:tc>
      </w:tr>
      <w:tr w14:paraId="08F20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BE87F">
            <w:pPr>
              <w:jc w:val="center"/>
              <w:rPr>
                <w:rFonts w:hint="eastAsia" w:ascii="宋体" w:hAnsi="宋体" w:eastAsia="宋体" w:cs="宋体"/>
                <w:i w:val="0"/>
                <w:iCs w:val="0"/>
                <w:color w:val="000000"/>
                <w:sz w:val="18"/>
                <w:szCs w:val="18"/>
                <w:highlight w:val="none"/>
                <w:u w:val="none"/>
              </w:rPr>
            </w:pPr>
          </w:p>
        </w:tc>
        <w:tc>
          <w:tcPr>
            <w:tcW w:w="103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93686">
            <w:pPr>
              <w:jc w:val="center"/>
              <w:rPr>
                <w:rFonts w:hint="eastAsia" w:ascii="宋体" w:hAnsi="宋体" w:eastAsia="宋体" w:cs="宋体"/>
                <w:i w:val="0"/>
                <w:iCs w:val="0"/>
                <w:color w:val="000000"/>
                <w:sz w:val="18"/>
                <w:szCs w:val="18"/>
                <w:highlight w:val="none"/>
                <w:u w:val="none"/>
              </w:rPr>
            </w:pPr>
          </w:p>
        </w:tc>
        <w:tc>
          <w:tcPr>
            <w:tcW w:w="28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8A26B">
            <w:pPr>
              <w:jc w:val="center"/>
              <w:rPr>
                <w:rFonts w:hint="eastAsia" w:ascii="宋体" w:hAnsi="宋体" w:eastAsia="宋体" w:cs="宋体"/>
                <w:i w:val="0"/>
                <w:iCs w:val="0"/>
                <w:color w:val="000000"/>
                <w:sz w:val="18"/>
                <w:szCs w:val="18"/>
                <w:highlight w:val="none"/>
                <w:u w:val="none"/>
              </w:rPr>
            </w:pPr>
          </w:p>
        </w:tc>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A5CA0">
            <w:pPr>
              <w:jc w:val="center"/>
              <w:rPr>
                <w:rFonts w:hint="eastAsia" w:ascii="宋体" w:hAnsi="宋体" w:eastAsia="宋体" w:cs="宋体"/>
                <w:i w:val="0"/>
                <w:iCs w:val="0"/>
                <w:color w:val="000000"/>
                <w:sz w:val="18"/>
                <w:szCs w:val="18"/>
                <w:highlight w:val="none"/>
                <w:u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6B19E">
            <w:pPr>
              <w:jc w:val="center"/>
              <w:rPr>
                <w:rFonts w:hint="eastAsia" w:ascii="宋体" w:hAnsi="宋体" w:eastAsia="宋体" w:cs="宋体"/>
                <w:i w:val="0"/>
                <w:iCs w:val="0"/>
                <w:color w:val="000000"/>
                <w:sz w:val="18"/>
                <w:szCs w:val="18"/>
                <w:highlight w:val="none"/>
                <w:u w:val="none"/>
              </w:rPr>
            </w:pPr>
          </w:p>
        </w:tc>
      </w:tr>
      <w:tr w14:paraId="28D9F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AE7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310A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二层中心供应室</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A420D">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3953B">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CB32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w:t>
            </w:r>
          </w:p>
        </w:tc>
      </w:tr>
      <w:tr w14:paraId="02D07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460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4D3D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感应洗手池</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82E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1.材质：陶瓷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2.规格、类型：柱式洗手盆（感应式不锈钢水龙头）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3.附件名称、数量：包含成品器具、不锈钢冷热水感应龙头、三角阀、金属软管、下水等全部安装附配件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17D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7D1A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69027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B23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301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感应洗手池</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2BA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1.材质：陶瓷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2.规格、类型：台式洗手盆（感应式不锈钢水龙头）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3.附件名称、数量：包含陶瓷台面、成品器具、不锈钢冷热水龙头、三角阀、金属软管、下水等全部安装附配件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B1C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F476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626CA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C04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8F8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拖把池</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5CE3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1.材质：不锈钢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2.规格、类型：成品拖把池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3.附件名称、数量：包含成品器具、水龙头、三角阀、金属软管、下水等全部安装附配件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7B7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CDE8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5B982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7B8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27B7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淋浴器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A3F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1.材质、规格：成品不锈钢淋浴器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2.附件名称、数量：包含成品器具、三角阀、金属软管等全部安装附配件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D7A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38CD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012A9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572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AE0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两人刷手池</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07E0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1.材质：两人位不锈钢感应刷手池1500W*865H*650D</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2.规格、类型：符合设计及业主使用要求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3.附件名称、数量：包含成品器具、不锈钢冷热水感应龙头、三角阀、金属软管、下水、起泡器、皂液器、镜子、独立镜灯等全部安装附配件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69F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E0F0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6BD9E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C58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AA1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三人刷手池</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AE1B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1.材质：三人位不锈钢感应刷手池2000W*865H*650D</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2.规格、类型：符合设计及业主使用要求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3.附件名称、数量：包含成品器具、不锈钢冷热水感应龙头、三角阀、金属软管、下水、起泡器、皂液器、镜子、独立镜灯等全部安装附配件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6A2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6F04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50A23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DF4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2D1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小便器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152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1.材质：陶瓷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2.组装形式：成品挂式感应小便斗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3.附件名称、数量：包含成品器具、埋入式感应冲洗阀、三角阀、金属软管、排水等全部安装附配件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2B0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0339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36E9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8DA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9B39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蹲便器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EF10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1.材质：陶瓷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2.规格、类型：成品节水型蹲便器（配脚踏冲洗阀）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3.附件名称、数量：包含成品器具、配脚踏冲洗阀、三角阀、金属软管、排水等全部安装附配件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CF8C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DE92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4948F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2A6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7B6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065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2、介质：给水（热水）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3、材质、规格：S30408薄壁不锈钢管  DN15*1.0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4、连接形式：双密封多卡式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382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EB4D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219.60</w:t>
            </w:r>
          </w:p>
        </w:tc>
      </w:tr>
      <w:tr w14:paraId="646ED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BF4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4D8E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B0D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2、介质：给水（热水）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3、材质、规格：S30408薄壁不锈钢管    DN20*1.2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4、连接形式：双密封多卡式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4CD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5180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52.14</w:t>
            </w:r>
          </w:p>
        </w:tc>
      </w:tr>
      <w:tr w14:paraId="53F96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086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9F2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ABF3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2、介质：给水（热水）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3、材质、规格：S30408薄壁不锈钢管  DN25*1.2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4、连接形式：双密封多卡式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135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0629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29.12</w:t>
            </w:r>
          </w:p>
        </w:tc>
      </w:tr>
      <w:tr w14:paraId="51706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97D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5F3A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CBE2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2、介质：给水（热水）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3、材质、规格：S30408薄壁不锈钢管  DN32*1.5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4、连接形式：双密封多卡式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5、管道压力试验及吹、冲洗、消毒设计要求：净化给排水设计施工说明（09-002）及《建筑给水排水及采暖工程施工质量验收规范》（GB50242-2002）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1C8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54BE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11.52</w:t>
            </w:r>
          </w:p>
        </w:tc>
      </w:tr>
      <w:tr w14:paraId="2613F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5F9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0BFB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A10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2、介质：给水（热水）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3、材质、规格：S30408薄壁不锈钢管  DN40*1.5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4、连接形式：双密封多卡式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037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E721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1.40</w:t>
            </w:r>
          </w:p>
        </w:tc>
      </w:tr>
      <w:tr w14:paraId="6AFCF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AEF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A89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B1C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2、介质：给水（热水）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3、材质、规格：S30408薄壁不锈钢管  DN50*1.5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4、连接形式：双密封多卡式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206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5F85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9.83</w:t>
            </w:r>
          </w:p>
        </w:tc>
      </w:tr>
      <w:tr w14:paraId="360F4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CA8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4D4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无缝钢管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F3A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2、介质：蒸气管道及凝结水管道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3、材质、规格：无缝钢管 DN25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4、连接形式：焊接连接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3E1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5AB3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11.89</w:t>
            </w:r>
          </w:p>
        </w:tc>
      </w:tr>
      <w:tr w14:paraId="4ED96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A9C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7B8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无缝钢管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B8C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2、介质：蒸气管道及凝结水管道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3、材质、规格：无缝钢管 DN32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4、连接形式：焊接连接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C0C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9F9C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16.72</w:t>
            </w:r>
          </w:p>
        </w:tc>
      </w:tr>
      <w:tr w14:paraId="3F3B7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108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AE7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无缝钢管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EF8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2、介质：蒸气管道及凝结水管道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3、材质、规格：无缝钢管 DN40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4、连接形式：焊接连接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39D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9984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8.40</w:t>
            </w:r>
          </w:p>
        </w:tc>
      </w:tr>
      <w:tr w14:paraId="10FD7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09A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6A4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无缝钢管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802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2、介质：蒸气管道及凝结水管道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3、材质、规格：无缝钢管 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4、连接形式：焊接连接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09E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2955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7.50</w:t>
            </w:r>
          </w:p>
        </w:tc>
      </w:tr>
      <w:tr w14:paraId="474A7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EEA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5A7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CF6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2、介质：污废水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3、材质、规格：高密度聚乙烯实壁排水管 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4、连接形式：电熔连接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618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FC62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69.42</w:t>
            </w:r>
          </w:p>
        </w:tc>
      </w:tr>
      <w:tr w14:paraId="09D6B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5B2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4BCD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BF1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2、介质：污废水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3、材质、规格：高密度聚乙烯实壁排水管 DN75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4、连接形式：电熔连接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C2F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3A1B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125.51</w:t>
            </w:r>
          </w:p>
        </w:tc>
      </w:tr>
      <w:tr w14:paraId="06281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7C3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1A1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CC1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2、介质：污废水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3、材质、规格：高密度聚乙烯实壁排水管 DN100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4、连接形式：电熔连接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38C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2589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31.55</w:t>
            </w:r>
          </w:p>
        </w:tc>
      </w:tr>
      <w:tr w14:paraId="07FD5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C07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D7E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铸铁管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246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2、介质：高温排水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3、材质、规格：柔性铸铁排水管 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4、连接形式：承插连接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2EA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A15C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56.70</w:t>
            </w:r>
          </w:p>
        </w:tc>
      </w:tr>
      <w:tr w14:paraId="565F1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5E7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533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铸铁管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A5B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2、介质：高温排水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3、材质、规格：柔性铸铁排水管 DN75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4、连接形式：承插连接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A18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BB6F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19.12</w:t>
            </w:r>
          </w:p>
        </w:tc>
      </w:tr>
      <w:tr w14:paraId="60D22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BA8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0C4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铸铁管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384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2、介质：高温排水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3、材质、规格：柔性铸铁排水管 DN100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4、连接形式：承插连接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1B3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4317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34.40</w:t>
            </w:r>
          </w:p>
        </w:tc>
      </w:tr>
      <w:tr w14:paraId="747CE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448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DC2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120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离心玻璃棉保温带铝箔保护层（具体厚度详见图纸），需满足图纸要求及设计规范要求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E32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6283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4.20</w:t>
            </w:r>
          </w:p>
        </w:tc>
      </w:tr>
      <w:tr w14:paraId="70FB7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AC2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28F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426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11F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F8FC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13C51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019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3025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E82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521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556E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r>
      <w:tr w14:paraId="2C5CC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9B6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21F2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A4D8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68B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F739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9D61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F31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CB5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2FE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2.型号、规格:DN32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023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05A1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33584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F40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F19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42F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1.类型:闸阀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D82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AF1B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9207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D1E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1FD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8080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1.类型:止回阀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2.型号、规格:DN32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3.连接方式：螺纹连接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1CD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A57F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2F19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9CD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F15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工业液体温度计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BDB2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1.量程0-300℃</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C94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3C13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7A60C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2AA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6BE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压力表（带旋塞）</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B0D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1.量程0-1.6MPa</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8C5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32C0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73122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951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CE7D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896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1.类型:高灵敏度计量水表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2.型号、规格:DN32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3.连接方式：螺纹连接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6A4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5FE8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06E0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A38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5609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B88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1.类型:蒸气截止阀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2EA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ACB3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231F0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116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D90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B17C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1.类型:蒸气截止阀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2.型号、规格:DN32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D84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A162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5E9CA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E54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BDB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疏水器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9F96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1.类型:蒸汽疏水阀组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3.包含疏水阀一个，止回阀一个，截止阀三个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59E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FF42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410F8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C0E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730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疏水器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E55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1.类型:蒸汽疏水阀组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2.型号、规格:DN32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3.包含疏水阀一个，止回阀一个，截止阀三个</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2A9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A5F3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1D2CA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CCB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DF1B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22F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给排水工程支架制作安装（符合施工及验收规范要求）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4EC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6F4E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560.09</w:t>
            </w:r>
          </w:p>
        </w:tc>
      </w:tr>
      <w:tr w14:paraId="5EE12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F87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887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F39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1.除锈级别:手工除轻锈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2.油漆品种、涂刷遍数:红丹防锈漆二遍、灰色调和漆二遍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32C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4935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560.09</w:t>
            </w:r>
          </w:p>
        </w:tc>
      </w:tr>
      <w:tr w14:paraId="6E69B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6DB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D5C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278D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1.类型:地漏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2.型号、规格:DN50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3.材质:不锈钢</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B8D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0B51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8D7C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19C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A60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2FF2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1.类型:密闭地漏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2.型号、规格:DN50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3.材质:不锈钢</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FCD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EAAB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71361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8DF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497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16A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1.类型:地漏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2.型号、规格:DN75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3.材质:不锈钢</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A69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5764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8C11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928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816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E0A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1.类型:密闭地漏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2.型号、规格:DN75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3.材质:不锈钢</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BA84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91DE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3F358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C77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5B2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9B5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1.类型:密闭地漏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2.型号、规格:DN100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3.材质:不锈钢</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6F1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F800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7056E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820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650B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70D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3.材质:不锈钢</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555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13E4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778B0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596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50E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15E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2.型号、规格:DN75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3.材质:不锈钢</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9A6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FA86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73FD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1D3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FAD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E01B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2.型号、规格:DN100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3.材质:不锈钢</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71B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9E93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6FE4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46B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556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人工补贴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170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1.卫生间（内周长在12m以上）暗敷管道，每间补贴 1.5 工日</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291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间</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FD58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2C30B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608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BCE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人工补贴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624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1.卫生间（内周长在12m以下）暗敷管道，每间补贴1.0工日</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CEA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间</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14CA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56C25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8CD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二</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A20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三层手术部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4882F">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60BC7">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6E8D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w:t>
            </w:r>
          </w:p>
        </w:tc>
      </w:tr>
      <w:tr w14:paraId="203E2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5AB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91B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感应洗手池</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A6A0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1.材质：陶瓷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2.规格、类型：柱式洗手盆（感应式不锈钢水龙头）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3.附件名称、数量：包含成品器具、不锈钢冷热水感应龙头、三角阀、金属软管、下水等全部安装附配件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9B5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4846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8D83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D33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EF1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感应洗手池</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727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1.材质：陶瓷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2.规格、类型：台式洗手盆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3.附件名称、数量：包含陶瓷台面、成品器具、不锈钢冷热水龙头、三角阀、金属软管、下水等全部安装附配件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EDF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5747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19564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45D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F35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拖把池</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ABC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1.材质：不锈钢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2.规格、类型：成品拖把池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3.附件名称、数量：包含成品器具、水龙头、三角阀、金属软管、下水等全部安装附配件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2BD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CBD8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3EE42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365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D4F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淋浴器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284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1.材质、规格：成品不锈钢淋浴器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2.附件名称、数量：包含成品器具、三角阀、金属软管等全部安装附配件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DA5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6AF1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26BFE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B93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93E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不锈钢水池</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CCEA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1.材质：普通洗水池（不锈钢制）1600*600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2.规格、类型：符合设计及业主使用要求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3.附件名称、数量：包含成品器具、1个冷水龙头、2个三角阀、2个金属软管、下水等全部安装附配件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550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A6A4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4BC51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B81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3BB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两人刷手池</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41F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1.材质：两人位不锈钢感应刷手池1500W*865H*650D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2.规格、类型：符合设计及业主使用要求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3.附件名称、数量：包含成品器具、冷热水感应龙头、三角阀、金属软管、下水、起泡器、皂液器、镜子、独立镜灯等全部安装附配件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C4B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9E9D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5FDA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AC1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4A7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小便器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5E0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1.材质：陶瓷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2.组装形式：成品挂式感应小便斗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3.附件名称、数量：包含成品器具、埋入式感应冲洗阀、三角阀、金属软管、排水等全部安装附配件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447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0F7E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43E5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4F2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D0B8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蹲便器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2111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1.材质：陶瓷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2.规格、类型：成品节水型蹲便器（配脚踏冲洗阀）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3.附件名称、数量：包含成品器具、配脚踏冲洗阀、三角阀、金属软管、排水等全部安装附配件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D87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3C66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3F172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842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A0B1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DED0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2、介质：给水（热水）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3、材质、规格：S30408薄壁不锈钢管  DN15*1.0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4、连接形式：双密封多卡式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2A0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58A1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86.13</w:t>
            </w:r>
          </w:p>
        </w:tc>
      </w:tr>
      <w:tr w14:paraId="60C06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6CD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01F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5EA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2、介质：给水（热水）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3、材质、规格：S30408薄壁不锈钢管    DN20*1.2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4、连接形式：双密封多卡式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0DA5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AD8D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41.05</w:t>
            </w:r>
          </w:p>
        </w:tc>
      </w:tr>
      <w:tr w14:paraId="36F61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781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8ED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E43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2、介质：给水（热水）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3、材质、规格：S30408薄壁不锈钢管  DN25*1.2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4、连接形式：双密封多卡式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CE4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4079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19.30</w:t>
            </w:r>
          </w:p>
        </w:tc>
      </w:tr>
      <w:tr w14:paraId="2589F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C6E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7171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2AB4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2、介质：给水（热水）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3、材质、规格：S30408薄壁不锈钢管  DN32*1.5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4、连接形式：双密封多卡式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5、管道压力试验及吹、冲洗、消毒设计要求：净化给排水设计施工说明（09-002）及《建筑给水排水及采暖工程施工质量验收规范》（GB50242-2002）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938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82D7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0.44</w:t>
            </w:r>
          </w:p>
        </w:tc>
      </w:tr>
      <w:tr w14:paraId="4B418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93A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8810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2DF0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2、介质：给水（热水）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3、材质、规格：S30408薄壁不锈钢管  DN40*1.5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4、连接形式：双密封多卡式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7B1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5A6D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5.14</w:t>
            </w:r>
          </w:p>
        </w:tc>
      </w:tr>
      <w:tr w14:paraId="1E524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039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C729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9B0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2、介质：给水（热水）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3、材质、规格：S30408薄壁不锈钢管  DN50*1.5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4、连接形式：双密封多卡式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E75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D353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5.23</w:t>
            </w:r>
          </w:p>
        </w:tc>
      </w:tr>
      <w:tr w14:paraId="33B52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096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BCD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CD2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2、介质：污废水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3、材质、规格：高密度聚乙烯实壁排水管 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4、连接形式：电熔连接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C41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CFCF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59.30</w:t>
            </w:r>
          </w:p>
        </w:tc>
      </w:tr>
      <w:tr w14:paraId="0CE4F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F0E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8B3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46B3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2、介质：污废水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3、材质、规格：高密度聚乙烯实壁排水管 DN75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4、连接形式：电熔连接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21D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3EF3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51.63</w:t>
            </w:r>
          </w:p>
        </w:tc>
      </w:tr>
      <w:tr w14:paraId="59BF9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D57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C6A9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E7F0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2、介质：污废水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3、材质、规格：高密度聚乙烯实壁排水管 DN100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4、连接形式：电熔连接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FE1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CEA6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13.05</w:t>
            </w:r>
          </w:p>
        </w:tc>
      </w:tr>
      <w:tr w14:paraId="7B976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815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F53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88D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离心玻璃棉保温带铝箔保护层（具体厚度详见图纸），需满足图纸要求及设计规范要求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806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9358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1.10</w:t>
            </w:r>
          </w:p>
        </w:tc>
      </w:tr>
      <w:tr w14:paraId="1CFF7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E4E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B67F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B0A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44D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C395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06FA7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75A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5F1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853C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40C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5149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r>
      <w:tr w14:paraId="2B524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0B3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89E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C14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1.类型:闸阀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26B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F52F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ADEF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2C3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F59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A002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22D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9BE4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13927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1E2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AA6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E4FB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给排水工程支架制作安装（符合施工及验收规范要求）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1DC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CEE8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242.20</w:t>
            </w:r>
          </w:p>
        </w:tc>
      </w:tr>
      <w:tr w14:paraId="4DFE1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D5B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DE2B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15C4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1.除锈级别:手工除轻锈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2.油漆品种、涂刷遍数:红丹防锈漆二遍、灰色调和漆二遍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94D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E454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242.20</w:t>
            </w:r>
          </w:p>
        </w:tc>
      </w:tr>
      <w:tr w14:paraId="4F1A9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78E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8E4F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736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1.类型:地漏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3.材质:不锈钢</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DFF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2305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5A94C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389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2A08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1F87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1.类型:密闭地漏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2.型号、规格:DN50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3.材质:不锈钢</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39E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CF3F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0DBD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C54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521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热水器、开水炉</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320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即热式电热水器，N=5.5kW，设置可调节恒温器，供水温度详见图纸说明及设计规范</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E86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6E3F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24D81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B6B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E04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人工补贴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A12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1.卫生间（内周长在12m以下）暗敷管道，每间补贴1.0工日</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8AF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间</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EC5C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0BD20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34B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三</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31C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四层静脉配置中心</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43B5B">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89BFB">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DBB4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w:t>
            </w:r>
          </w:p>
        </w:tc>
      </w:tr>
      <w:tr w14:paraId="62E50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69B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5E9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感应洗手池</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1FC3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1.材质：陶瓷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2.规格、类型：柱式洗手盆（感应式不锈钢水龙头）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3.附件名称、数量：包含成品器具、不锈钢冷热水感应龙头、三角阀、金属软管、下水等全部安装附配件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9B4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AB74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40826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929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F0C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感应洗手池</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DE94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1.材质：陶瓷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2.规格、类型：台式洗手盆（感应式不锈钢水龙头）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3.附件名称、数量：包含陶瓷台面、成品器具、不锈钢冷热水龙头、三角阀、金属软管、下水等全部安装附配件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552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D8BD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7070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B83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406F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拖把池</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B509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1.材质：不锈钢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2.规格、类型：成品拖把池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3.附件名称、数量：包含成品器具、水龙头、三角阀、金属软管、下水等全部安装附配件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8BD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7949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D3A3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F05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5D59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不锈钢水池</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F29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1.材质：普通洗水池（不锈钢制）1600*600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2.规格、类型：符合设计及业主使用要求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3.附件名称、数量：包含成品器具、1个冷水龙头、2个三角阀、2个金属软管、下水等全部安装附配件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D24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0672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406A7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12B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A28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438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2、介质：给水（热水）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3、材质、规格：S30408薄壁不锈钢管  DN15*1.0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4、连接形式：双密封多卡式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05B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C30D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79.27</w:t>
            </w:r>
          </w:p>
        </w:tc>
      </w:tr>
      <w:tr w14:paraId="76099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C34C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E237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0BA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2、介质：给水（热水）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3、材质、规格：S30408薄壁不锈钢管  DN20*1.2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4、连接形式：双密封多卡式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1FA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74B0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32.36</w:t>
            </w:r>
          </w:p>
        </w:tc>
      </w:tr>
      <w:tr w14:paraId="081B3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C25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038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647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2、介质：给水（热水）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3、材质、规格：S30408薄壁不锈钢管  DN25*1.2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4、连接形式：双密封多卡式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B3E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42ED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46.43</w:t>
            </w:r>
          </w:p>
        </w:tc>
      </w:tr>
      <w:tr w14:paraId="69EBE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BDB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93E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6AE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2、介质：给水（热水）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3、材质、规格：S30408薄壁不锈钢管  DN32*1.5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4、连接形式：双密封多卡式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5、管道压力试验及吹、冲洗、消毒设计要求：净化给排水设计施工说明（09-002）及《建筑给水排水及采暖工程施工质量验收规范》（GB50242-2002）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354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CFCF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71.15</w:t>
            </w:r>
          </w:p>
        </w:tc>
      </w:tr>
      <w:tr w14:paraId="7F30A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240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3041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395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2、介质：污废水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3、材质、规格：高密度聚乙烯实壁排水管 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4、连接形式：电熔连接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EBA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20E3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54.64</w:t>
            </w:r>
          </w:p>
        </w:tc>
      </w:tr>
      <w:tr w14:paraId="1E7F0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704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DFC8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FF1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2、介质：污废水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3、材质、规格：高密度聚乙烯实壁排水管 DN75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4、连接形式：电熔连接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887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E939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31.11</w:t>
            </w:r>
          </w:p>
        </w:tc>
      </w:tr>
      <w:tr w14:paraId="34680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218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1C3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EE3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2、介质：污废水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3、材质、规格：高密度聚乙烯实壁排水管 DN100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4、连接形式：电熔连接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5、管道阻火圈、止水翼环、压力试验及灌水试验设计要求：详见净化给排水设计施工说明及《建筑给水排水及采暖工程施工质量验收规范》（GB50242-2002）</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01E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57FC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29.65</w:t>
            </w:r>
          </w:p>
        </w:tc>
      </w:tr>
      <w:tr w14:paraId="3A969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49D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FA0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67AC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离心玻璃棉保温带铝箔保护层（具体厚度详见图纸），需满足图纸要求及设计规范要求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926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CD4E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1.75</w:t>
            </w:r>
          </w:p>
        </w:tc>
      </w:tr>
      <w:tr w14:paraId="30CE1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4C4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41A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72B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44F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F193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65214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01E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B5CD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D7E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1B7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3D72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349BF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F32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55A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67C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729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6D1A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167ED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761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DE8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D126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3.连接方式：螺纹连接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4.材质：不锈钢制</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1A7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A699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B4BA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5DC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418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水表</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DC90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1.类型:高灵敏度计量水表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3.连接方式：螺纹连接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39F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3845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87BA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68B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8C9B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BF6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给排水工程支架制作安装（符合施工及验收规范要求）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A31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34B2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348.16</w:t>
            </w:r>
          </w:p>
        </w:tc>
      </w:tr>
      <w:tr w14:paraId="43EDC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967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83C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B32A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1.除锈级别:手工除轻锈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2.油漆品种、涂刷遍数:红丹防锈漆二遍、灰色调和漆二遍</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5324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47A9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348.16</w:t>
            </w:r>
          </w:p>
        </w:tc>
      </w:tr>
      <w:tr w14:paraId="48A04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8A5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9F5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D10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1.类型:地漏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3.材质:不锈钢</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37C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CFAB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0B8F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528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423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1C2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1.类型:密闭地漏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2.型号、规格:DN50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3.材质:不锈钢</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A48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3AE4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C1C0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C5D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9310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290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1.类型:地漏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2.型号、规格:DN75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3.材质:不锈钢</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7C0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B496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7B77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45B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3BF4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995A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2.型号、规格:DN75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3.材质:不锈钢</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463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02F9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2B35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893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9AE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202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1.类型:清扫口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2.型号、规格:DN100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3.材质:不锈钢</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6BC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5B99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29557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0BE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D43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人工补贴</w:t>
            </w:r>
          </w:p>
        </w:tc>
        <w:tc>
          <w:tcPr>
            <w:tcW w:w="2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8A03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1.卫生间（内周长在12m以下）暗敷管道，每间补贴1.0工日</w:t>
            </w:r>
          </w:p>
        </w:tc>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7B9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间</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F3DE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bl>
    <w:p w14:paraId="66D08FBC">
      <w:pPr>
        <w:rPr>
          <w:rFonts w:hint="default"/>
          <w:color w:val="auto"/>
          <w:highlight w:val="none"/>
          <w:lang w:val="en-US" w:eastAsia="zh-CN"/>
        </w:rPr>
      </w:pP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09"/>
        <w:gridCol w:w="4098"/>
        <w:gridCol w:w="5770"/>
        <w:gridCol w:w="1254"/>
        <w:gridCol w:w="1989"/>
      </w:tblGrid>
      <w:tr w14:paraId="06F75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000" w:type="pct"/>
            <w:gridSpan w:val="5"/>
            <w:tcBorders>
              <w:top w:val="nil"/>
              <w:left w:val="nil"/>
              <w:bottom w:val="nil"/>
              <w:right w:val="nil"/>
            </w:tcBorders>
            <w:shd w:val="clear" w:color="auto" w:fill="auto"/>
            <w:vAlign w:val="center"/>
          </w:tcPr>
          <w:p w14:paraId="412A2CB8">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snapToGrid w:val="0"/>
                <w:color w:val="000000"/>
                <w:kern w:val="0"/>
                <w:sz w:val="40"/>
                <w:szCs w:val="40"/>
                <w:highlight w:val="none"/>
                <w:u w:val="none"/>
                <w:lang w:val="en-US" w:eastAsia="zh-CN" w:bidi="ar"/>
              </w:rPr>
              <w:t>1.7抗震支架工程</w:t>
            </w:r>
          </w:p>
        </w:tc>
      </w:tr>
      <w:tr w14:paraId="45CCB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BB64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序号</w:t>
            </w:r>
          </w:p>
        </w:tc>
        <w:tc>
          <w:tcPr>
            <w:tcW w:w="14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E1E3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项目名称</w:t>
            </w:r>
          </w:p>
        </w:tc>
        <w:tc>
          <w:tcPr>
            <w:tcW w:w="20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0E94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项目特征</w:t>
            </w:r>
          </w:p>
        </w:tc>
        <w:tc>
          <w:tcPr>
            <w:tcW w:w="4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F9BD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计量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单位</w:t>
            </w:r>
          </w:p>
        </w:tc>
        <w:tc>
          <w:tcPr>
            <w:tcW w:w="6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503C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工程量</w:t>
            </w:r>
          </w:p>
        </w:tc>
      </w:tr>
      <w:tr w14:paraId="02071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9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0BEAD">
            <w:pPr>
              <w:jc w:val="center"/>
              <w:rPr>
                <w:rFonts w:hint="eastAsia" w:ascii="宋体" w:hAnsi="宋体" w:eastAsia="宋体" w:cs="宋体"/>
                <w:i w:val="0"/>
                <w:iCs w:val="0"/>
                <w:color w:val="000000"/>
                <w:sz w:val="18"/>
                <w:szCs w:val="18"/>
                <w:highlight w:val="none"/>
                <w:u w:val="none"/>
              </w:rPr>
            </w:pPr>
          </w:p>
        </w:tc>
        <w:tc>
          <w:tcPr>
            <w:tcW w:w="14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27CBF">
            <w:pPr>
              <w:jc w:val="center"/>
              <w:rPr>
                <w:rFonts w:hint="eastAsia" w:ascii="宋体" w:hAnsi="宋体" w:eastAsia="宋体" w:cs="宋体"/>
                <w:i w:val="0"/>
                <w:iCs w:val="0"/>
                <w:color w:val="000000"/>
                <w:sz w:val="18"/>
                <w:szCs w:val="18"/>
                <w:highlight w:val="none"/>
                <w:u w:val="none"/>
              </w:rPr>
            </w:pPr>
          </w:p>
        </w:tc>
        <w:tc>
          <w:tcPr>
            <w:tcW w:w="20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AA6E9">
            <w:pPr>
              <w:jc w:val="center"/>
              <w:rPr>
                <w:rFonts w:hint="eastAsia" w:ascii="宋体" w:hAnsi="宋体" w:eastAsia="宋体" w:cs="宋体"/>
                <w:i w:val="0"/>
                <w:iCs w:val="0"/>
                <w:color w:val="000000"/>
                <w:sz w:val="18"/>
                <w:szCs w:val="18"/>
                <w:highlight w:val="none"/>
                <w:u w:val="none"/>
              </w:rPr>
            </w:pPr>
          </w:p>
        </w:tc>
        <w:tc>
          <w:tcPr>
            <w:tcW w:w="4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3B65B">
            <w:pPr>
              <w:jc w:val="center"/>
              <w:rPr>
                <w:rFonts w:hint="eastAsia" w:ascii="宋体" w:hAnsi="宋体" w:eastAsia="宋体" w:cs="宋体"/>
                <w:i w:val="0"/>
                <w:iCs w:val="0"/>
                <w:color w:val="000000"/>
                <w:sz w:val="18"/>
                <w:szCs w:val="18"/>
                <w:highlight w:val="none"/>
                <w:u w:val="none"/>
              </w:rPr>
            </w:pPr>
          </w:p>
        </w:tc>
        <w:tc>
          <w:tcPr>
            <w:tcW w:w="6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D1BEB">
            <w:pPr>
              <w:jc w:val="center"/>
              <w:rPr>
                <w:rFonts w:hint="eastAsia" w:ascii="宋体" w:hAnsi="宋体" w:eastAsia="宋体" w:cs="宋体"/>
                <w:i w:val="0"/>
                <w:iCs w:val="0"/>
                <w:color w:val="000000"/>
                <w:sz w:val="18"/>
                <w:szCs w:val="18"/>
                <w:highlight w:val="none"/>
                <w:u w:val="none"/>
              </w:rPr>
            </w:pPr>
          </w:p>
        </w:tc>
      </w:tr>
      <w:tr w14:paraId="57F0F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DBACA">
            <w:pPr>
              <w:jc w:val="center"/>
              <w:rPr>
                <w:rFonts w:hint="eastAsia" w:ascii="宋体" w:hAnsi="宋体" w:eastAsia="宋体" w:cs="宋体"/>
                <w:i w:val="0"/>
                <w:iCs w:val="0"/>
                <w:color w:val="000000"/>
                <w:sz w:val="18"/>
                <w:szCs w:val="18"/>
                <w:highlight w:val="none"/>
                <w:u w:val="none"/>
              </w:rPr>
            </w:pPr>
          </w:p>
        </w:tc>
        <w:tc>
          <w:tcPr>
            <w:tcW w:w="14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ED1C9">
            <w:pPr>
              <w:jc w:val="center"/>
              <w:rPr>
                <w:rFonts w:hint="eastAsia" w:ascii="宋体" w:hAnsi="宋体" w:eastAsia="宋体" w:cs="宋体"/>
                <w:i w:val="0"/>
                <w:iCs w:val="0"/>
                <w:color w:val="000000"/>
                <w:sz w:val="18"/>
                <w:szCs w:val="18"/>
                <w:highlight w:val="none"/>
                <w:u w:val="none"/>
              </w:rPr>
            </w:pPr>
          </w:p>
        </w:tc>
        <w:tc>
          <w:tcPr>
            <w:tcW w:w="20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540A8">
            <w:pPr>
              <w:jc w:val="center"/>
              <w:rPr>
                <w:rFonts w:hint="eastAsia" w:ascii="宋体" w:hAnsi="宋体" w:eastAsia="宋体" w:cs="宋体"/>
                <w:i w:val="0"/>
                <w:iCs w:val="0"/>
                <w:color w:val="000000"/>
                <w:sz w:val="18"/>
                <w:szCs w:val="18"/>
                <w:highlight w:val="none"/>
                <w:u w:val="none"/>
              </w:rPr>
            </w:pPr>
          </w:p>
        </w:tc>
        <w:tc>
          <w:tcPr>
            <w:tcW w:w="4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C7338">
            <w:pPr>
              <w:jc w:val="center"/>
              <w:rPr>
                <w:rFonts w:hint="eastAsia" w:ascii="宋体" w:hAnsi="宋体" w:eastAsia="宋体" w:cs="宋体"/>
                <w:i w:val="0"/>
                <w:iCs w:val="0"/>
                <w:color w:val="000000"/>
                <w:sz w:val="18"/>
                <w:szCs w:val="18"/>
                <w:highlight w:val="none"/>
                <w:u w:val="none"/>
              </w:rPr>
            </w:pPr>
          </w:p>
        </w:tc>
        <w:tc>
          <w:tcPr>
            <w:tcW w:w="6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71207">
            <w:pPr>
              <w:jc w:val="center"/>
              <w:rPr>
                <w:rFonts w:hint="eastAsia" w:ascii="宋体" w:hAnsi="宋体" w:eastAsia="宋体" w:cs="宋体"/>
                <w:i w:val="0"/>
                <w:iCs w:val="0"/>
                <w:color w:val="000000"/>
                <w:sz w:val="18"/>
                <w:szCs w:val="18"/>
                <w:highlight w:val="none"/>
                <w:u w:val="none"/>
              </w:rPr>
            </w:pPr>
          </w:p>
        </w:tc>
      </w:tr>
      <w:tr w14:paraId="51AC9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A30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1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18DC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抗震支架</w:t>
            </w:r>
          </w:p>
        </w:tc>
        <w:tc>
          <w:tcPr>
            <w:tcW w:w="20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2806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图纸范围内涉及所有抗震支架，需满足设计规范要求</w:t>
            </w:r>
          </w:p>
        </w:tc>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69A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7F83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bl>
    <w:p w14:paraId="0AABAD26">
      <w:pPr>
        <w:rPr>
          <w:rFonts w:hint="default"/>
          <w:color w:val="auto"/>
          <w:highlight w:val="none"/>
          <w:lang w:val="en-US" w:eastAsia="zh-CN"/>
        </w:rPr>
      </w:pP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6"/>
        <w:gridCol w:w="2952"/>
        <w:gridCol w:w="8134"/>
        <w:gridCol w:w="904"/>
        <w:gridCol w:w="1434"/>
      </w:tblGrid>
      <w:tr w14:paraId="2B177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000" w:type="pct"/>
            <w:gridSpan w:val="5"/>
            <w:tcBorders>
              <w:top w:val="nil"/>
              <w:left w:val="nil"/>
              <w:bottom w:val="nil"/>
              <w:right w:val="nil"/>
            </w:tcBorders>
            <w:shd w:val="clear" w:color="auto" w:fill="FFFFFF"/>
            <w:vAlign w:val="center"/>
          </w:tcPr>
          <w:p w14:paraId="3F5488CA">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snapToGrid w:val="0"/>
                <w:color w:val="000000"/>
                <w:kern w:val="0"/>
                <w:sz w:val="40"/>
                <w:szCs w:val="40"/>
                <w:highlight w:val="none"/>
                <w:u w:val="none"/>
                <w:lang w:val="en-US" w:eastAsia="zh-CN" w:bidi="ar"/>
              </w:rPr>
              <w:t>2.1装饰工程</w:t>
            </w:r>
          </w:p>
        </w:tc>
      </w:tr>
      <w:tr w14:paraId="18E68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6FDA1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序号</w:t>
            </w:r>
          </w:p>
        </w:tc>
        <w:tc>
          <w:tcPr>
            <w:tcW w:w="1038"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477CA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项目名称</w:t>
            </w:r>
          </w:p>
        </w:tc>
        <w:tc>
          <w:tcPr>
            <w:tcW w:w="286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F9D41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项目特征</w:t>
            </w:r>
          </w:p>
        </w:tc>
        <w:tc>
          <w:tcPr>
            <w:tcW w:w="318"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FABEE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计量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单位</w:t>
            </w:r>
          </w:p>
        </w:tc>
        <w:tc>
          <w:tcPr>
            <w:tcW w:w="502"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25ECD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工程量</w:t>
            </w:r>
          </w:p>
        </w:tc>
      </w:tr>
      <w:tr w14:paraId="3B667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7AD1F6">
            <w:pPr>
              <w:jc w:val="center"/>
              <w:rPr>
                <w:rFonts w:hint="eastAsia" w:ascii="宋体" w:hAnsi="宋体" w:eastAsia="宋体" w:cs="宋体"/>
                <w:i w:val="0"/>
                <w:iCs w:val="0"/>
                <w:color w:val="000000"/>
                <w:sz w:val="18"/>
                <w:szCs w:val="18"/>
                <w:highlight w:val="none"/>
                <w:u w:val="none"/>
              </w:rPr>
            </w:pPr>
          </w:p>
        </w:tc>
        <w:tc>
          <w:tcPr>
            <w:tcW w:w="103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B911AF">
            <w:pPr>
              <w:jc w:val="center"/>
              <w:rPr>
                <w:rFonts w:hint="eastAsia" w:ascii="宋体" w:hAnsi="宋体" w:eastAsia="宋体" w:cs="宋体"/>
                <w:i w:val="0"/>
                <w:iCs w:val="0"/>
                <w:color w:val="000000"/>
                <w:sz w:val="18"/>
                <w:szCs w:val="18"/>
                <w:highlight w:val="none"/>
                <w:u w:val="none"/>
              </w:rPr>
            </w:pPr>
          </w:p>
        </w:tc>
        <w:tc>
          <w:tcPr>
            <w:tcW w:w="286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AA52A9">
            <w:pPr>
              <w:jc w:val="center"/>
              <w:rPr>
                <w:rFonts w:hint="eastAsia" w:ascii="宋体" w:hAnsi="宋体" w:eastAsia="宋体" w:cs="宋体"/>
                <w:i w:val="0"/>
                <w:iCs w:val="0"/>
                <w:color w:val="000000"/>
                <w:sz w:val="18"/>
                <w:szCs w:val="18"/>
                <w:highlight w:val="none"/>
                <w:u w:val="none"/>
              </w:rPr>
            </w:pPr>
          </w:p>
        </w:tc>
        <w:tc>
          <w:tcPr>
            <w:tcW w:w="31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F015EE">
            <w:pPr>
              <w:jc w:val="center"/>
              <w:rPr>
                <w:rFonts w:hint="eastAsia" w:ascii="宋体" w:hAnsi="宋体" w:eastAsia="宋体" w:cs="宋体"/>
                <w:i w:val="0"/>
                <w:iCs w:val="0"/>
                <w:color w:val="000000"/>
                <w:sz w:val="18"/>
                <w:szCs w:val="18"/>
                <w:highlight w:val="none"/>
                <w:u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56571A">
            <w:pPr>
              <w:jc w:val="center"/>
              <w:rPr>
                <w:rFonts w:hint="eastAsia" w:ascii="宋体" w:hAnsi="宋体" w:eastAsia="宋体" w:cs="宋体"/>
                <w:i w:val="0"/>
                <w:iCs w:val="0"/>
                <w:color w:val="000000"/>
                <w:sz w:val="18"/>
                <w:szCs w:val="18"/>
                <w:highlight w:val="none"/>
                <w:u w:val="none"/>
              </w:rPr>
            </w:pPr>
          </w:p>
        </w:tc>
      </w:tr>
      <w:tr w14:paraId="27A6E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124067">
            <w:pPr>
              <w:jc w:val="center"/>
              <w:rPr>
                <w:rFonts w:hint="eastAsia" w:ascii="宋体" w:hAnsi="宋体" w:eastAsia="宋体" w:cs="宋体"/>
                <w:i w:val="0"/>
                <w:iCs w:val="0"/>
                <w:color w:val="000000"/>
                <w:sz w:val="18"/>
                <w:szCs w:val="18"/>
                <w:highlight w:val="none"/>
                <w:u w:val="none"/>
              </w:rPr>
            </w:pPr>
          </w:p>
        </w:tc>
        <w:tc>
          <w:tcPr>
            <w:tcW w:w="103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B88BA8">
            <w:pPr>
              <w:jc w:val="center"/>
              <w:rPr>
                <w:rFonts w:hint="eastAsia" w:ascii="宋体" w:hAnsi="宋体" w:eastAsia="宋体" w:cs="宋体"/>
                <w:i w:val="0"/>
                <w:iCs w:val="0"/>
                <w:color w:val="000000"/>
                <w:sz w:val="18"/>
                <w:szCs w:val="18"/>
                <w:highlight w:val="none"/>
                <w:u w:val="none"/>
              </w:rPr>
            </w:pPr>
          </w:p>
        </w:tc>
        <w:tc>
          <w:tcPr>
            <w:tcW w:w="286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DF39CA1">
            <w:pPr>
              <w:jc w:val="center"/>
              <w:rPr>
                <w:rFonts w:hint="eastAsia" w:ascii="宋体" w:hAnsi="宋体" w:eastAsia="宋体" w:cs="宋体"/>
                <w:i w:val="0"/>
                <w:iCs w:val="0"/>
                <w:color w:val="000000"/>
                <w:sz w:val="18"/>
                <w:szCs w:val="18"/>
                <w:highlight w:val="none"/>
                <w:u w:val="none"/>
              </w:rPr>
            </w:pPr>
          </w:p>
        </w:tc>
        <w:tc>
          <w:tcPr>
            <w:tcW w:w="31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C9CB114">
            <w:pPr>
              <w:jc w:val="center"/>
              <w:rPr>
                <w:rFonts w:hint="eastAsia" w:ascii="宋体" w:hAnsi="宋体" w:eastAsia="宋体" w:cs="宋体"/>
                <w:i w:val="0"/>
                <w:iCs w:val="0"/>
                <w:color w:val="000000"/>
                <w:sz w:val="18"/>
                <w:szCs w:val="18"/>
                <w:highlight w:val="none"/>
                <w:u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98950C">
            <w:pPr>
              <w:jc w:val="center"/>
              <w:rPr>
                <w:rFonts w:hint="eastAsia" w:ascii="宋体" w:hAnsi="宋体" w:eastAsia="宋体" w:cs="宋体"/>
                <w:i w:val="0"/>
                <w:iCs w:val="0"/>
                <w:color w:val="000000"/>
                <w:sz w:val="18"/>
                <w:szCs w:val="18"/>
                <w:highlight w:val="none"/>
                <w:u w:val="none"/>
              </w:rPr>
            </w:pPr>
          </w:p>
        </w:tc>
      </w:tr>
      <w:tr w14:paraId="1C1E8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6F9F26">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975E0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三层检验室</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4353BC">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2E481A">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BE3107">
            <w:pPr>
              <w:jc w:val="right"/>
              <w:rPr>
                <w:rFonts w:hint="eastAsia" w:ascii="宋体" w:hAnsi="宋体" w:eastAsia="宋体" w:cs="宋体"/>
                <w:i w:val="0"/>
                <w:iCs w:val="0"/>
                <w:color w:val="000000"/>
                <w:sz w:val="18"/>
                <w:szCs w:val="18"/>
                <w:highlight w:val="none"/>
                <w:u w:val="none"/>
              </w:rPr>
            </w:pPr>
          </w:p>
        </w:tc>
      </w:tr>
      <w:tr w14:paraId="1A05F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DE00FC">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C9FA2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楼地面装饰工程</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B39AC5">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554E78">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919327">
            <w:pPr>
              <w:jc w:val="right"/>
              <w:rPr>
                <w:rFonts w:hint="eastAsia" w:ascii="宋体" w:hAnsi="宋体" w:eastAsia="宋体" w:cs="宋体"/>
                <w:i w:val="0"/>
                <w:iCs w:val="0"/>
                <w:color w:val="000000"/>
                <w:sz w:val="18"/>
                <w:szCs w:val="18"/>
                <w:highlight w:val="none"/>
                <w:u w:val="none"/>
              </w:rPr>
            </w:pPr>
          </w:p>
        </w:tc>
      </w:tr>
      <w:tr w14:paraId="6E473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CD63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8680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细石混凝土楼地面</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8E3A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1.40厚C25细石混凝土面层,撒干拌1:1水泥砂子随打随抹光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2.1.5MM厚聚合物水泥防水涂料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3.1:3 水泥砂浆或最薄处20厚C20细石混凝土找坡层抹平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4.素水泥浆结合层一道</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9E9C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F0F81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29.02</w:t>
            </w:r>
          </w:p>
        </w:tc>
      </w:tr>
      <w:tr w14:paraId="0815E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8554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14B65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橡胶板卷材楼地面</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1026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医用PVC地板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1、2mm厚PVC同质透芯卷材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2、基面涂超强地板粘合剂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3、自流平水泥层(约3mm厚)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4、50mm厚C25细石混凝土地面找平层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2D31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EEF3B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263.95</w:t>
            </w:r>
          </w:p>
        </w:tc>
      </w:tr>
      <w:tr w14:paraId="0E3D3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3C2B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F90D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块料楼地面</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9973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湿区防滑地砖</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1、600*600防滑地砖,填缝剂勾缝;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2、10mm厚干硬性水泥砂浆,表面涂素水泥浆一道;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3、20mm厚1:2.5水泥砂浆保护层找坡(0.5%),坡向地漏;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4、1.5厚聚氨酯防水(两道);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5、10mm厚1:2.5水泥砂浆找平层。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7FED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1693E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52.05</w:t>
            </w:r>
          </w:p>
        </w:tc>
      </w:tr>
      <w:tr w14:paraId="5F9BD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01EE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EE57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块料楼地面</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C07E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耐磨砖地面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1、600*600地砖,填缝剂勾缝;</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2、10mm厚干硬性水泥砂浆,表面涂素水泥浆一道;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3、20mm厚1:2.5水泥砂浆保护层;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4、10mm厚1:2.5水泥砂浆找平层。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7ED4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CE3B9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629.86</w:t>
            </w:r>
          </w:p>
        </w:tc>
      </w:tr>
      <w:tr w14:paraId="62CDB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152B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031F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水性聚氨酯环氧地坪</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C691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水性聚氨酯环氧地坪</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1、高固量耐刮擦聚氨酯面涂0.08mm(表面防滑处理,总涂层厚度不低于2.1mm)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2、自流平1.65mm;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3、底涂0.4mm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4、环氧界面渗透层;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5、找平层(需内配双向?6@150成品钢筋网片)。</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A8E1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D7BCB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605.59</w:t>
            </w:r>
          </w:p>
        </w:tc>
      </w:tr>
      <w:tr w14:paraId="1727E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50CA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885E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防静电活动地板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1F9F6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1、600*600mm防静电活动地板(架空高度 H=250);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2、20mm厚DS20水泥砂浆找平层;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7A04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A544B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9.04</w:t>
            </w:r>
          </w:p>
        </w:tc>
      </w:tr>
      <w:tr w14:paraId="59673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8422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B0905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石材零星项目</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A4A7B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石材门樘板：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1、20mm大理石过门石，宽度随图纸设计要求，含磨边、倒角，切割、排版、六面刷防护剂处理，晶面处理、成品保护等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2、20厚水泥砂浆找平层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3、10厚1：3水泥砂浆粘贴层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5F3A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31C55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10.63</w:t>
            </w:r>
          </w:p>
        </w:tc>
      </w:tr>
      <w:tr w14:paraId="20F34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A981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E7005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PVC踢脚线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AA9C1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1、耐磨卷装PVC卷材双面涂胶粘剂(胶粘剂与踢脚配套)墙角做成不小于R=50弧形，橡胶垫条，粘合剂粘铺</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935C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B91E5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29.14</w:t>
            </w:r>
          </w:p>
        </w:tc>
      </w:tr>
      <w:tr w14:paraId="6918E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2DAA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FFA9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金属装饰线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1AC7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成品铝合金收口条</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E5FA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4E836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291.35</w:t>
            </w:r>
          </w:p>
        </w:tc>
      </w:tr>
      <w:tr w14:paraId="736EA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7BF7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9680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金属踢脚线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DD6D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1、成品不锈钢贴脚线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2、基层10mm厚耐火板基层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003C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DFA96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33.44</w:t>
            </w:r>
          </w:p>
        </w:tc>
      </w:tr>
      <w:tr w14:paraId="76ECC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26D7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9B655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环氧踢脚线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E26A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环氧踢脚线，墙角做R50圆角做环氧渗透层（界面剂），具体详见图纸</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C924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57EED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8.21</w:t>
            </w:r>
          </w:p>
        </w:tc>
      </w:tr>
      <w:tr w14:paraId="4AB87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298F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34FE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垫层</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3EBD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陶粒混凝土回填，容重10KN/m3</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1363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56AE6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293.19</w:t>
            </w:r>
          </w:p>
        </w:tc>
      </w:tr>
      <w:tr w14:paraId="2826D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1021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9285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楼（地）面涂膜防水</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19018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1.平面聚氨酯防水涂料 ~厚度2(mm)</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1419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BA92C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837.68</w:t>
            </w:r>
          </w:p>
        </w:tc>
      </w:tr>
      <w:tr w14:paraId="5BB08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1849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8801F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钢板楼板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7BDC6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3厚压纹钢板，专用螺丝同地面固定，压纹钢板宽度不小于200mm</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065C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889DD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1.01</w:t>
            </w:r>
          </w:p>
        </w:tc>
      </w:tr>
      <w:tr w14:paraId="5ED83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63FEE6">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6518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墙面工程</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430A92">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24DFF2">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90035C">
            <w:pPr>
              <w:jc w:val="right"/>
              <w:rPr>
                <w:rFonts w:hint="eastAsia" w:ascii="宋体" w:hAnsi="宋体" w:eastAsia="宋体" w:cs="宋体"/>
                <w:i w:val="0"/>
                <w:iCs w:val="0"/>
                <w:color w:val="000000"/>
                <w:sz w:val="18"/>
                <w:szCs w:val="18"/>
                <w:highlight w:val="none"/>
                <w:u w:val="none"/>
              </w:rPr>
            </w:pPr>
          </w:p>
        </w:tc>
      </w:tr>
      <w:tr w14:paraId="1A091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A500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92FB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B92E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手工彩钢板隔墙（双面玻镁）</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1、50mm手工彩钢板(耐火极限≥1小时,内填充岩棉容重不小于120kg/每立方)</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2、踢脚翻遍做高100mm并保证墙体平整或不超过墙面;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3、配套型材使用4*13铆钉固定;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4、1.2mm配套型材使用膨胀螺丝同地坪固定下铺减震垫。</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1C00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A8978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535.1</w:t>
            </w:r>
          </w:p>
        </w:tc>
      </w:tr>
      <w:tr w14:paraId="5BFC1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C3BA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B0A9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4E80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1.75系列天地轻钢龙骨（安装至楼板底）</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2.双面单层8m硅钙板板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3.内嵌岩棉，容重120kg/m3</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EC84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19DDF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678.45</w:t>
            </w:r>
          </w:p>
        </w:tc>
      </w:tr>
      <w:tr w14:paraId="6E55E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0832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01726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CEE5B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1.75系列天地轻钢龙骨（安装至楼板底）</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2.内嵌岩棉，容重120kg/m3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3.单面单层8mm硅钙板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4.单面单层石膏板（板缝贴胶带、点锈）</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5184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59230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24EED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2709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A020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84956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1.单面单层石膏板（板缝贴胶带、点锈）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1.75系列天地轻钢龙骨（安装至楼板底）</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内嵌岩棉，容重120kg/m3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2.单面双层8mm硅钙板</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CB68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B9439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B427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209E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04C87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墙面装饰板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E7BF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6mm厚无机预涂板：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1.6mm厚无机预涂板，耐火极限≥1H</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4DA6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AE2BA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630.91</w:t>
            </w:r>
          </w:p>
        </w:tc>
      </w:tr>
      <w:tr w14:paraId="47421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F499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509C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墙面装饰板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1EA2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无机预涂板（有基墙处）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1.6mm厚无机预涂板,板缝间填入密封胶;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2.双面胶+结构胶粘贴;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3.8mm厚硅酸钙板基层;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4.40*20*2镀锌方管龙骨,高度至吊顶上 100mm;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5.基层墙体清理。</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8B07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0D36E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189.51</w:t>
            </w:r>
          </w:p>
        </w:tc>
      </w:tr>
      <w:tr w14:paraId="581BC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8CE8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38DD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抹灰面油漆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2F42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抗菌涂料墙面（建筑墙体）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1.两遍无机抗菌涂料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2.找补打磨（找补的地方再上一遍底漆）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3.刮2-3遍腻子后打磨上底漆</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7EA1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8CB0C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1219.1</w:t>
            </w:r>
          </w:p>
        </w:tc>
      </w:tr>
      <w:tr w14:paraId="06E6A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3077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9B5B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抹灰面油漆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2C55E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抗菌涂料墙面（轻钢龙骨））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1.三遍无机抗菌涂料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2.2厚面层耐水腻子刮平</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695D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419DF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2.14</w:t>
            </w:r>
          </w:p>
        </w:tc>
      </w:tr>
      <w:tr w14:paraId="0534A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6EC5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3597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块料墙面</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6AD1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瓷抛砖墙面：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1.300*600墙砖（浸水两小时以上），勾缝剂填缝（颜色近墙砖色）</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2.15厚专用粘合剂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7B46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7B04F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112.05</w:t>
            </w:r>
          </w:p>
        </w:tc>
      </w:tr>
      <w:tr w14:paraId="47999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229D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4E84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墙面涂膜防水</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2DBD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1.防水膜品种：聚氨酯防水涂膜</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2.涂膜厚度、遍数：1.5mm厚两遍</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D492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1F935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112.05</w:t>
            </w:r>
          </w:p>
        </w:tc>
      </w:tr>
      <w:tr w14:paraId="00A0C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6D62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56E8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墙面装饰板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C931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穿孔吸音硅钙板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1.12mm硅酸钙板孔板(饰面板)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2.C75竖向轻钢龙骨内填超细玻璃吸音丝棉;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3.自攻螺丝，U型安装夹（支撑卡）</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696F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E15D5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85.88</w:t>
            </w:r>
          </w:p>
        </w:tc>
      </w:tr>
      <w:tr w14:paraId="17D79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ACB2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99ED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砌块墙</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BC40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1.面刷涂料一底二面(耐擦洗内墙选用擦洗涂料)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2.2厚耐水腻子分层批平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3.8厚DP20水泥砂浆罩面压实赶光抹平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4.12厚DP15水泥砂浆打底扫毛</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5.满贴玻璃纤维网格布</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6.100mm厚新建加砌块隔墙，墙顶与混凝土梁或楼板间缝隙，若采用柔性材料嵌缝</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35EB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63098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1.97</w:t>
            </w:r>
          </w:p>
        </w:tc>
      </w:tr>
      <w:tr w14:paraId="355C7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6E50C5">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86E12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天棚工程</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C3EF59">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A20F1B">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527CAD">
            <w:pPr>
              <w:jc w:val="right"/>
              <w:rPr>
                <w:rFonts w:hint="eastAsia" w:ascii="宋体" w:hAnsi="宋体" w:eastAsia="宋体" w:cs="宋体"/>
                <w:i w:val="0"/>
                <w:iCs w:val="0"/>
                <w:color w:val="000000"/>
                <w:sz w:val="18"/>
                <w:szCs w:val="18"/>
                <w:highlight w:val="none"/>
                <w:u w:val="none"/>
              </w:rPr>
            </w:pPr>
          </w:p>
        </w:tc>
      </w:tr>
      <w:tr w14:paraId="5871B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CC21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6DE0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8DEF5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手工彩钢板吊顶：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1、50mm厚手工彩钢板吊顶;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2、T型轻钢次龙骨间距1200与主龙骨插接根据要求更换可上人龙骨;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3、10#吊杆,双向中距≤1200吊杆上部与板底预留吊环固定;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4、建筑楼板预留10#钢筋吊环(勾),双向中距≤1200。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46D6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5A648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263.39</w:t>
            </w:r>
          </w:p>
        </w:tc>
      </w:tr>
      <w:tr w14:paraId="58B1C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AE83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F40B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BA9D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600*1200*1.0铝扣板：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1、600*1200*1.0铝扣板;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2、专用配套龙骨,间距以铝扣板规格为准;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3、C60轻钢主龙骨,间距≤900;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4、Φ10吊杆及M10拉爆螺栓间距900~1000。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3419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1D75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387.08</w:t>
            </w:r>
          </w:p>
        </w:tc>
      </w:tr>
      <w:tr w14:paraId="2B665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5EAB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1BD5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ECB35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600*600*0.8铝扣板：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1、600*600*0.8铝扣板;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2、专用配套龙骨,间距以铝扣板规格为准;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3、C60轻钢主龙骨,间距≤900;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4、Φ10吊杆及M10拉爆螺栓间距900~1000。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38DD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F607C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263.39</w:t>
            </w:r>
          </w:p>
        </w:tc>
      </w:tr>
      <w:tr w14:paraId="18453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6215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9B6B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天棚喷刷涂料</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B496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抗菌无机涂料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1.抗菌无机涂料一底二面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2.2mm厚面层耐水腻子刮平</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64A1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9B0B7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993.2</w:t>
            </w:r>
          </w:p>
        </w:tc>
      </w:tr>
      <w:tr w14:paraId="05799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ECD0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3305F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天棚抹灰</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D6611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1、5mm厚DP10混合砂浆抹平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2.素水泥浆一道（内参建筑胶）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0BE7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B69D6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993.2</w:t>
            </w:r>
          </w:p>
        </w:tc>
      </w:tr>
      <w:tr w14:paraId="41059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19BD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51AD5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51DE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天棚反支撑加固：吊杆在1.5米及以上区域，2.5#角钢反支撑加固，做法参见图纸</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CD74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1617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613.99</w:t>
            </w:r>
          </w:p>
        </w:tc>
      </w:tr>
      <w:tr w14:paraId="6BE97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BB11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F6EA4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3949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天棚转换层：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1.构件名称:顶面转换层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2.钢材品种、规格:4#热镀锌钢架@1200*1200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3.部位：顶面大型管道桥架处吊顶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B9A3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95C3A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306.61</w:t>
            </w:r>
          </w:p>
        </w:tc>
      </w:tr>
      <w:tr w14:paraId="0C99A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7165A9">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A91D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门窗工程</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4AE4C2">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3C545A">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98CBDD">
            <w:pPr>
              <w:jc w:val="right"/>
              <w:rPr>
                <w:rFonts w:hint="eastAsia" w:ascii="宋体" w:hAnsi="宋体" w:eastAsia="宋体" w:cs="宋体"/>
                <w:i w:val="0"/>
                <w:iCs w:val="0"/>
                <w:color w:val="000000"/>
                <w:sz w:val="18"/>
                <w:szCs w:val="18"/>
                <w:highlight w:val="none"/>
                <w:u w:val="none"/>
              </w:rPr>
            </w:pPr>
          </w:p>
        </w:tc>
      </w:tr>
      <w:tr w14:paraId="64598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9363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4D9E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D147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成品防盗钢质门FDM1023：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1.门尺寸：1000*2300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2.材质：门框≥1.8mm、门扇面板≥1.0mm，C级锁芯、≥6点锁舌+天地锁，暴力破拆&gt;15min，耐火极限1.0h</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3.五金配件：优质门锁，门磁吸等五金配件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4.含五金、门框、包边、闭门器等所有相关工作内容</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D43F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9E050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D2BB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8B46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E415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C649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成品气密钢质门GM1023：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1.门尺寸：1000*2300*50mm,观察窗尺寸：750*450mm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2.材质：0.8mm厚钢板喷塑门，1.2mm厚钢板门框，5mm双层密闭观察窗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3.五金配件：优质不锈钢门锁，门磁吸、125mm旗形合页等五金配件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4.含五金、门框、包边、闭门器等所有相关工作内容</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521F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06CC6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w:t>
            </w:r>
          </w:p>
        </w:tc>
      </w:tr>
      <w:tr w14:paraId="48DE7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22AA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46F9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E057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成品气密钢质门GM1123：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1.门尺寸：1100*2300*50mm,观察窗尺寸：750*450mm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2.材质：0.8mm厚钢板喷塑门，1.2mm厚钢板门框，5mm双层密闭观察窗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3.五金配件：优质不锈钢门锁，门磁吸、125mm旗形合页等五金配件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4.含五金、门框、包边、闭门器等所有相关工作内容</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9F67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A5FC8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838F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7456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5C088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7C3C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成品气密钢质门GM1023’：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1.门尺寸：1100*2300*50mm,观察窗尺寸：750*450mm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2.材质：0.8mm厚钢板喷塑门，1.2mm厚钢板门框，5mm双层密闭观察窗（磨砂玻璃）</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3.五金配件：优质不锈钢门锁，门磁吸、125mm旗形合页等五金配件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4.含五金、门框、包边、闭门器等所有相关工作内容</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076F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DB665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7481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C2B5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16AD9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金属（塑钢）门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76F39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成品气密钢质门GM1523：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1.门尺寸：1500*2300*50mm,观察窗尺寸：750*450mm（2个）</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2.材质：0.8mm厚钢板喷塑门，1.2mm厚钢板门框，5mm双层密闭观察窗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3.五金配件：优质不锈钢门锁，门磁吸、125mm旗形合页等五金配件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4.含五金、门框、包边、闭门器等所有相关工作内容</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BD79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89AB6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r>
      <w:tr w14:paraId="6A3ED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DED7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A8E38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钢质防火门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00F4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甲级钢质防火门FM甲1023：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1.门类型:成品甲级钢质防火门（颜色根据现场定）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3.门尺寸：1000*2300mm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4.具体做法详图纸及相应图集，饰面与装修保持一致风格</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ACAB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2401F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25F1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393D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8BCF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钢质防火门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2F41E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甲级钢质防火门FM甲1123：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1.门类型:成品甲级钢质防火门（颜色根据现场定）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3.门尺寸：1100*2300mm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4.具体做法详图纸及相应图集，饰面与装修保持一致风格</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A179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B991A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14BC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B96E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F61C5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钢质防火门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01CB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甲级钢质防火门FM甲1523：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1.门类型:成品甲级钢质防火门（颜色根据现场定）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3.门尺寸：1500*2300mm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4.具体做法详图纸及相应图集，饰面与装修保持一致风格</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0D47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920F2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04EF6520">
        <w:tblPrEx>
          <w:shd w:val="clear" w:color="auto" w:fill="auto"/>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EF26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E4FC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钢质防火门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0882C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乙级钢质防火门FM乙1523：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1.门类型:成品乙级钢质防火门（颜色根据现场定）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2.含五金、门套、包边、闭门器、顺位器、灌浆等所有相关工作内容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3.门尺寸：1500*2300mm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4.具体做法详图纸及相应图集，饰面与装修保持一致风格</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7758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00CE1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60CA2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6094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49F5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木质门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02DD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成品实木复合百叶门BM1023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1、单开门，实木复合门板（含实木复合门套），正反面木纹饰面，带通风百叶，含五金等所有相关工作内容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2、门尺寸：1000*2300*200mm</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5695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C1580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6E2C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4C5B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F336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单层固定观察窗</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DF32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单层固定观察窗C2013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1.窗套材质：1.5mm铝合金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2.玻璃类型：单层8mm钢化玻璃，中性玻璃胶密封处理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3.含镀锌方管龙骨框架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7CE2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322E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w:t>
            </w:r>
          </w:p>
        </w:tc>
      </w:tr>
      <w:tr w14:paraId="448B9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ACD1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DA6CE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传递窗</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7EE6C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传递窗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外径尺寸：600×600× 600mm，1.2mm厚 304 不锈钢 材质，机械互锁，带紫外消毒灯</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2D0D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45E6E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r>
      <w:tr w14:paraId="60202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3BBF19">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6CCBD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其他装饰工程</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8D5BFB">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43F88D">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0EE3C7">
            <w:pPr>
              <w:jc w:val="right"/>
              <w:rPr>
                <w:rFonts w:hint="eastAsia" w:ascii="宋体" w:hAnsi="宋体" w:eastAsia="宋体" w:cs="宋体"/>
                <w:i w:val="0"/>
                <w:iCs w:val="0"/>
                <w:color w:val="000000"/>
                <w:sz w:val="18"/>
                <w:szCs w:val="18"/>
                <w:highlight w:val="none"/>
                <w:u w:val="none"/>
              </w:rPr>
            </w:pPr>
          </w:p>
        </w:tc>
      </w:tr>
      <w:tr w14:paraId="3A104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E38A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3826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石材窗台板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6202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窗台板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1、20厚人造石成品窗台，瓷砖粘结剂，水泥砂浆找平层，石材磨边</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7368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8F036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w:t>
            </w:r>
          </w:p>
        </w:tc>
      </w:tr>
      <w:tr w14:paraId="3B052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D262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4A3FA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接收窗</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11D9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标本接收窗JSC1215，1200*1500mm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1.规格：10mm钢化玻璃窗（耐火极限≥1小时），40宽1.5mm铝合金材质窗套收口，15mm厚人造大理石台面下挂40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2D4D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00C42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0009C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85992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07485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接收窗</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E627B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标本接收窗JSC2015，2000*1500mm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1.规格：10mm钢化玻璃窗（耐火极限≥1小时），40宽1.5mm铝合金材质窗套收口，15mm厚人造大理石台面下挂40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EA19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EBEBF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D335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13AD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F2681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窗帘盒</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F6C0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窗帘盒：尺寸详见图纸</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1.窗帘盒材质、规格:暗式窗帘盒</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2.龙骨材质、规格、间距:Φ8镀锌全丝吊筋，卡式龙骨间距300mm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3.基层材质:12mm木质防火压力板基层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4.面层材质:12mm纸面石膏板（板缝贴胶带、点锈），面刷白色无机涂料</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8712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9EA41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37.28</w:t>
            </w:r>
          </w:p>
        </w:tc>
      </w:tr>
      <w:tr w14:paraId="6D272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AF8E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67C5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成品隔断</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169A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卫生间隔断</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12mm抗倍特板，含支撑脚和门铰链均为不锈钢型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01C1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04BBA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21.5</w:t>
            </w:r>
          </w:p>
        </w:tc>
      </w:tr>
      <w:tr w14:paraId="6D371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EEB1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B117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7317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卫生间地面抬高，具体详见图纸做法</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49C0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2DD7E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3D74D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8AA6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B130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金属卷帘（闸）门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3DED1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卷轴卷帘</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园轴加厚铝合金 下杆PVC、优质涤纶化纤面料</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993F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B8650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186.18</w:t>
            </w:r>
          </w:p>
        </w:tc>
      </w:tr>
      <w:tr w14:paraId="088D7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CDE0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4BFBD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冷库</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13DF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冷库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1、冷库墙板顶板采用保温材料100mm厚聚氨酯板，地面配保温地板配专用冷库门，包含墙体保温、冷库门所有费用。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2、计算规则：按房间结构净空体积计算</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160D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0FF73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112</w:t>
            </w:r>
          </w:p>
        </w:tc>
      </w:tr>
      <w:tr w14:paraId="6913C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58218F">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49005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四层临床研究实验室</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2D95A6">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3C7AB8">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179ECB">
            <w:pPr>
              <w:jc w:val="right"/>
              <w:rPr>
                <w:rFonts w:hint="eastAsia" w:ascii="宋体" w:hAnsi="宋体" w:eastAsia="宋体" w:cs="宋体"/>
                <w:i w:val="0"/>
                <w:iCs w:val="0"/>
                <w:color w:val="000000"/>
                <w:sz w:val="18"/>
                <w:szCs w:val="18"/>
                <w:highlight w:val="none"/>
                <w:u w:val="none"/>
              </w:rPr>
            </w:pPr>
          </w:p>
        </w:tc>
      </w:tr>
      <w:tr w14:paraId="0FED3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239583">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FF00C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楼地面装饰工程</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FA0397">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08C79C">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FFECE5">
            <w:pPr>
              <w:jc w:val="right"/>
              <w:rPr>
                <w:rFonts w:hint="eastAsia" w:ascii="宋体" w:hAnsi="宋体" w:eastAsia="宋体" w:cs="宋体"/>
                <w:i w:val="0"/>
                <w:iCs w:val="0"/>
                <w:color w:val="000000"/>
                <w:sz w:val="18"/>
                <w:szCs w:val="18"/>
                <w:highlight w:val="none"/>
                <w:u w:val="none"/>
              </w:rPr>
            </w:pPr>
          </w:p>
        </w:tc>
      </w:tr>
      <w:tr w14:paraId="5C6B7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F90F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487F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细石混凝土楼地面</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CD2A4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1.40厚C25细石混凝土面层,撒干拌1:1水泥砂子随打随抹光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2.1.5MM厚聚合物水泥防水涂料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3.1:3 水泥砂浆或最薄处20厚C20细石混凝土找坡层抹平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4.素水泥浆结合层一道</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21CA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BC39F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20.4</w:t>
            </w:r>
          </w:p>
        </w:tc>
      </w:tr>
      <w:tr w14:paraId="3678C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DCD2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4FD82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橡胶板卷材楼地面</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48CD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医用PVC地板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1、2mm厚PVC同质透芯卷材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2、基面涂超强地板粘合剂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3、自流平水泥层(约3mm厚)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4、50mm厚C25细石混凝土地面找平层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D6E3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FDF23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113.3</w:t>
            </w:r>
          </w:p>
        </w:tc>
      </w:tr>
      <w:tr w14:paraId="2A258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CDB6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07C8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石材零星项目</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580A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石材门樘板：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1、20mm大理石过门石，宽度随图纸设计要求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5.含磨边、倒角，切割、排版、六面刷防护剂处理，晶面处理、成品保护等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2、20厚水泥砂浆找平层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3、10厚1：3水泥砂浆粘贴层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BC8D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47136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r>
      <w:tr w14:paraId="3407D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A101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2EB7C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PVC踢脚线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F0C5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1、耐磨卷装PVC卷材双面涂胶粘剂(胶粘剂与踢脚配套)墙角做成不小于R=50弧形，橡胶垫条，粘合剂粘铺</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4EEB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8B543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43.84</w:t>
            </w:r>
          </w:p>
        </w:tc>
      </w:tr>
      <w:tr w14:paraId="26CD6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6B09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73E2F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金属装饰线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1888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成品L型铝合金收口条</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1C47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821E8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43.84</w:t>
            </w:r>
          </w:p>
        </w:tc>
      </w:tr>
      <w:tr w14:paraId="72D2B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061B3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5054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垫层</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478B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陶粒混凝土回填，容重10KN/m3</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DF83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6DB72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46.8</w:t>
            </w:r>
          </w:p>
        </w:tc>
      </w:tr>
      <w:tr w14:paraId="5B8D3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0660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1E8B0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楼（地）面涂膜防水</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6738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1.平面聚氨酯防水涂料 ~厚度3(mm)</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3291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8FAC5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133.7</w:t>
            </w:r>
          </w:p>
        </w:tc>
      </w:tr>
      <w:tr w14:paraId="3983F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1F7C25">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B5AED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墙面工程</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FBD363">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09EDFB">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25DD82">
            <w:pPr>
              <w:jc w:val="right"/>
              <w:rPr>
                <w:rFonts w:hint="eastAsia" w:ascii="宋体" w:hAnsi="宋体" w:eastAsia="宋体" w:cs="宋体"/>
                <w:i w:val="0"/>
                <w:iCs w:val="0"/>
                <w:color w:val="000000"/>
                <w:sz w:val="18"/>
                <w:szCs w:val="18"/>
                <w:highlight w:val="none"/>
                <w:u w:val="none"/>
              </w:rPr>
            </w:pPr>
          </w:p>
        </w:tc>
      </w:tr>
      <w:tr w14:paraId="72EC8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FC10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64AE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轻钢龙骨隔墙</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6983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手工彩钢板隔墙（双面玻镁）</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1、50mm手工彩钢板(耐火极限≥1小时,内填充岩棉容重不小于120kg/每立方)</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2、踢脚翻遍做高100mm并保证墙体平整或不超过墙面;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3、配套型材使用4*13铆钉固定;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4、1.2mm配套型材使用膨胀螺丝同地坪固定下铺减震垫。</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0C46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F0FAC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118.05</w:t>
            </w:r>
          </w:p>
        </w:tc>
      </w:tr>
      <w:tr w14:paraId="7B11D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E104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5331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墙面装饰板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B6BA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穿孔吸音硅钙板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1.12mm硅酸钙板孔板(饰面板)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2.C75竖向轻钢龙骨内填超细玻璃吸音丝棉;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3.自攻螺丝，U型安装夹（支撑卡）</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9179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BE506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74.87</w:t>
            </w:r>
          </w:p>
        </w:tc>
      </w:tr>
      <w:tr w14:paraId="7973F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043265">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AF1A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天棚工程</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7ECCA4">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293875">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D6DB9D">
            <w:pPr>
              <w:jc w:val="right"/>
              <w:rPr>
                <w:rFonts w:hint="eastAsia" w:ascii="宋体" w:hAnsi="宋体" w:eastAsia="宋体" w:cs="宋体"/>
                <w:i w:val="0"/>
                <w:iCs w:val="0"/>
                <w:color w:val="000000"/>
                <w:sz w:val="18"/>
                <w:szCs w:val="18"/>
                <w:highlight w:val="none"/>
                <w:u w:val="none"/>
              </w:rPr>
            </w:pPr>
          </w:p>
        </w:tc>
      </w:tr>
      <w:tr w14:paraId="0F349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738E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8705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吊顶天棚</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1DD8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手工彩钢板吊顶：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1、50mm厚手工彩钢板吊顶;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2、T型轻钢次龙骨间距1200与主龙骨插接根据要求更换可上人龙骨;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3、10#吊杆,双向中距≤1200吊杆上部与板底预留吊环固定;</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4、建筑楼板预留10#钢筋吊环(勾),双向中距≤1200。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31E2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49A85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113.3</w:t>
            </w:r>
          </w:p>
        </w:tc>
      </w:tr>
      <w:tr w14:paraId="45387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FAE7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3712E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天棚喷刷涂料</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4A63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抗菌无机涂料</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1.抗菌无机涂料面层二遍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2.2mm厚面层耐水腻子刮平</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DCC8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D4E94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29.64</w:t>
            </w:r>
          </w:p>
        </w:tc>
      </w:tr>
      <w:tr w14:paraId="0E31D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F0CE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B04C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天棚抹灰</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84205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1、5mm厚DP10混合砂浆抹平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2.素水泥浆一道（内参建筑胶）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7FC1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B9B92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29.64</w:t>
            </w:r>
          </w:p>
        </w:tc>
      </w:tr>
    </w:tbl>
    <w:p w14:paraId="32CB07DD">
      <w:pPr>
        <w:pStyle w:val="18"/>
        <w:tabs>
          <w:tab w:val="right" w:leader="dot" w:pos="9004"/>
        </w:tabs>
        <w:rPr>
          <w:rFonts w:hint="default"/>
          <w:color w:val="auto"/>
          <w:highlight w:val="none"/>
          <w:lang w:val="en-US" w:eastAsia="zh-CN"/>
        </w:rPr>
      </w:pP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6"/>
        <w:gridCol w:w="2952"/>
        <w:gridCol w:w="8134"/>
        <w:gridCol w:w="904"/>
        <w:gridCol w:w="1434"/>
      </w:tblGrid>
      <w:tr w14:paraId="2BC8F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000" w:type="pct"/>
            <w:gridSpan w:val="5"/>
            <w:tcBorders>
              <w:top w:val="nil"/>
              <w:left w:val="nil"/>
              <w:bottom w:val="nil"/>
              <w:right w:val="nil"/>
            </w:tcBorders>
            <w:shd w:val="clear" w:color="auto" w:fill="FFFFFF"/>
            <w:vAlign w:val="center"/>
          </w:tcPr>
          <w:p w14:paraId="07091339">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snapToGrid w:val="0"/>
                <w:color w:val="000000"/>
                <w:kern w:val="0"/>
                <w:sz w:val="40"/>
                <w:szCs w:val="40"/>
                <w:highlight w:val="none"/>
                <w:u w:val="none"/>
                <w:lang w:val="en-US" w:eastAsia="zh-CN" w:bidi="ar"/>
              </w:rPr>
              <w:t>2.2暖通工程</w:t>
            </w:r>
          </w:p>
        </w:tc>
      </w:tr>
      <w:tr w14:paraId="5AD08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EA547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序号</w:t>
            </w:r>
          </w:p>
        </w:tc>
        <w:tc>
          <w:tcPr>
            <w:tcW w:w="1038"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51916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项目名称</w:t>
            </w:r>
          </w:p>
        </w:tc>
        <w:tc>
          <w:tcPr>
            <w:tcW w:w="286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4CD7B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项目特征</w:t>
            </w:r>
          </w:p>
        </w:tc>
        <w:tc>
          <w:tcPr>
            <w:tcW w:w="318"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D3409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计量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单位</w:t>
            </w:r>
          </w:p>
        </w:tc>
        <w:tc>
          <w:tcPr>
            <w:tcW w:w="502"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FA250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工程量</w:t>
            </w:r>
          </w:p>
        </w:tc>
      </w:tr>
      <w:tr w14:paraId="50549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FB3CB7">
            <w:pPr>
              <w:jc w:val="center"/>
              <w:rPr>
                <w:rFonts w:hint="eastAsia" w:ascii="宋体" w:hAnsi="宋体" w:eastAsia="宋体" w:cs="宋体"/>
                <w:i w:val="0"/>
                <w:iCs w:val="0"/>
                <w:color w:val="000000"/>
                <w:sz w:val="18"/>
                <w:szCs w:val="18"/>
                <w:highlight w:val="none"/>
                <w:u w:val="none"/>
              </w:rPr>
            </w:pPr>
          </w:p>
        </w:tc>
        <w:tc>
          <w:tcPr>
            <w:tcW w:w="103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D25A1B">
            <w:pPr>
              <w:jc w:val="center"/>
              <w:rPr>
                <w:rFonts w:hint="eastAsia" w:ascii="宋体" w:hAnsi="宋体" w:eastAsia="宋体" w:cs="宋体"/>
                <w:i w:val="0"/>
                <w:iCs w:val="0"/>
                <w:color w:val="000000"/>
                <w:sz w:val="18"/>
                <w:szCs w:val="18"/>
                <w:highlight w:val="none"/>
                <w:u w:val="none"/>
              </w:rPr>
            </w:pPr>
          </w:p>
        </w:tc>
        <w:tc>
          <w:tcPr>
            <w:tcW w:w="286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749BFE">
            <w:pPr>
              <w:jc w:val="center"/>
              <w:rPr>
                <w:rFonts w:hint="eastAsia" w:ascii="宋体" w:hAnsi="宋体" w:eastAsia="宋体" w:cs="宋体"/>
                <w:i w:val="0"/>
                <w:iCs w:val="0"/>
                <w:color w:val="000000"/>
                <w:sz w:val="18"/>
                <w:szCs w:val="18"/>
                <w:highlight w:val="none"/>
                <w:u w:val="none"/>
              </w:rPr>
            </w:pPr>
          </w:p>
        </w:tc>
        <w:tc>
          <w:tcPr>
            <w:tcW w:w="31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09562F">
            <w:pPr>
              <w:jc w:val="center"/>
              <w:rPr>
                <w:rFonts w:hint="eastAsia" w:ascii="宋体" w:hAnsi="宋体" w:eastAsia="宋体" w:cs="宋体"/>
                <w:i w:val="0"/>
                <w:iCs w:val="0"/>
                <w:color w:val="000000"/>
                <w:sz w:val="18"/>
                <w:szCs w:val="18"/>
                <w:highlight w:val="none"/>
                <w:u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19682C">
            <w:pPr>
              <w:jc w:val="center"/>
              <w:rPr>
                <w:rFonts w:hint="eastAsia" w:ascii="宋体" w:hAnsi="宋体" w:eastAsia="宋体" w:cs="宋体"/>
                <w:i w:val="0"/>
                <w:iCs w:val="0"/>
                <w:color w:val="000000"/>
                <w:sz w:val="18"/>
                <w:szCs w:val="18"/>
                <w:highlight w:val="none"/>
                <w:u w:val="none"/>
              </w:rPr>
            </w:pPr>
          </w:p>
        </w:tc>
      </w:tr>
      <w:tr w14:paraId="3E727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5F80C2">
            <w:pPr>
              <w:jc w:val="center"/>
              <w:rPr>
                <w:rFonts w:hint="eastAsia" w:ascii="宋体" w:hAnsi="宋体" w:eastAsia="宋体" w:cs="宋体"/>
                <w:i w:val="0"/>
                <w:iCs w:val="0"/>
                <w:color w:val="000000"/>
                <w:sz w:val="18"/>
                <w:szCs w:val="18"/>
                <w:highlight w:val="none"/>
                <w:u w:val="none"/>
              </w:rPr>
            </w:pPr>
          </w:p>
        </w:tc>
        <w:tc>
          <w:tcPr>
            <w:tcW w:w="103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85D0CC">
            <w:pPr>
              <w:jc w:val="center"/>
              <w:rPr>
                <w:rFonts w:hint="eastAsia" w:ascii="宋体" w:hAnsi="宋体" w:eastAsia="宋体" w:cs="宋体"/>
                <w:i w:val="0"/>
                <w:iCs w:val="0"/>
                <w:color w:val="000000"/>
                <w:sz w:val="18"/>
                <w:szCs w:val="18"/>
                <w:highlight w:val="none"/>
                <w:u w:val="none"/>
              </w:rPr>
            </w:pPr>
          </w:p>
        </w:tc>
        <w:tc>
          <w:tcPr>
            <w:tcW w:w="286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46AD47">
            <w:pPr>
              <w:jc w:val="center"/>
              <w:rPr>
                <w:rFonts w:hint="eastAsia" w:ascii="宋体" w:hAnsi="宋体" w:eastAsia="宋体" w:cs="宋体"/>
                <w:i w:val="0"/>
                <w:iCs w:val="0"/>
                <w:color w:val="000000"/>
                <w:sz w:val="18"/>
                <w:szCs w:val="18"/>
                <w:highlight w:val="none"/>
                <w:u w:val="none"/>
              </w:rPr>
            </w:pPr>
          </w:p>
        </w:tc>
        <w:tc>
          <w:tcPr>
            <w:tcW w:w="31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ED632E">
            <w:pPr>
              <w:jc w:val="center"/>
              <w:rPr>
                <w:rFonts w:hint="eastAsia" w:ascii="宋体" w:hAnsi="宋体" w:eastAsia="宋体" w:cs="宋体"/>
                <w:i w:val="0"/>
                <w:iCs w:val="0"/>
                <w:color w:val="000000"/>
                <w:sz w:val="18"/>
                <w:szCs w:val="18"/>
                <w:highlight w:val="none"/>
                <w:u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066B6C">
            <w:pPr>
              <w:jc w:val="center"/>
              <w:rPr>
                <w:rFonts w:hint="eastAsia" w:ascii="宋体" w:hAnsi="宋体" w:eastAsia="宋体" w:cs="宋体"/>
                <w:i w:val="0"/>
                <w:iCs w:val="0"/>
                <w:color w:val="000000"/>
                <w:sz w:val="18"/>
                <w:szCs w:val="18"/>
                <w:highlight w:val="none"/>
                <w:u w:val="none"/>
              </w:rPr>
            </w:pPr>
          </w:p>
        </w:tc>
      </w:tr>
      <w:tr w14:paraId="32D89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656A1B">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57BE3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关键设备部分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449AD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（冷库机组、风冷热泵机组主要技术参数为实质性指标★，新风预处理机组、全新风空调机组规格为重要指标▲）</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941C51">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454DA4">
            <w:pPr>
              <w:jc w:val="right"/>
              <w:rPr>
                <w:rFonts w:hint="eastAsia" w:ascii="宋体" w:hAnsi="宋体" w:eastAsia="宋体" w:cs="宋体"/>
                <w:i w:val="0"/>
                <w:iCs w:val="0"/>
                <w:color w:val="000000"/>
                <w:sz w:val="18"/>
                <w:szCs w:val="18"/>
                <w:highlight w:val="none"/>
                <w:u w:val="none"/>
              </w:rPr>
            </w:pPr>
          </w:p>
        </w:tc>
      </w:tr>
      <w:tr w14:paraId="150B2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3305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F85E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冷库制冷机组</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A99D2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称：冷库制冷机组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2.规格型号：制冷量：6.6KW；蒸发温度：-5℃；风机功率：180W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 振：隔振垫(器)安装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 他：具体规格参数、压力等级等需满足设计与现行规范要求，详见暖通设计说明及设备材料表，包含冷库制冷设备、管道、冷库照明及控制系统（包含控制箱及线缆）以及所有的附件和二次深化费用。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3639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CE3F1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6CB3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94C8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7B2B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冷库制冷机组</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0632D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称：冷库制冷机组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2.规格型号：制冷量：8.95KW；蒸发温度：-5℃；风机功率：280W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 振：隔振垫(器)安装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 他：具体规格参数、压力等级等需满足设计与现行规范要求，详见暖通设计说明及设备材料表，包含冷库制冷设备、管道、冷库照明及控制系统（包含控制箱及线缆）以及所有的附件和二次深化费用。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2488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E7D02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F4DA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FE42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2F2B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风冷热泵机组</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6E866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称：制冷量：65kw,制热量：65kw,电源：380V/50Hz，功率：20kw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2.规格型号：含冷水机组控制箱及控制箱出线的电源管线（需厂家深化）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3.隔 振：隔振垫(器)安装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 他：具体规格参数、压力等级等需满足设计与现行规范要求，详见暖通设计说明及设备材料表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1C9A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A84E3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CABD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C962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95FF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风冷热泵机组</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72C39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称：制冷量：130kw,制热量：130kw,电源：380V/50Hz，功率：43kw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2.规格型号：含冷水机组控制箱及控制箱出线的电源管线（需厂家深化）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3.隔 振：隔振垫(器)安装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 他：具体规格参数、压力等级等需满足设计与现行规范要求，详见暖通设计说明及设备材料表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E56E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733DE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20D85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D236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598A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新风预处理机组</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4E0AC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1.新风机组（不区分吊装方式）新风量：2000m³/h，制冷量：20kw，制热量：23kw，机外余压：500Pa，风机功率：1.1KW【功能段】：进风段、初中效过滤段、表冷段、风机段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 他：具体规格参数、压力等级等需满足设计与现行规范要求，详见暖通设计说明及设备材料表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C007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5552C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29C7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E59B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0D520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新风预处理机组</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A3354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1.新风机组（不区分吊装方式）新风量：2500m³/h，制冷量：25kw，制热量：29kw，机外余压：500Pa，风机功率：1.1KW【功能段】：进风段、初中效过滤段、表冷段、风机段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 他：具体规格参数、压力等级等需满足设计与现行规范要求，详见暖通设计说明及设备材料表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4057C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CC734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8E0B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BB1F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C4105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新风预处理机组</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3DA7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1.新风机组（不区分吊装方式）新风量：14000m³/h，制冷量：140kw，制热量：160kw，机外余压：750Pa，【功能段】：进风段、初中效过滤段、表冷段、风机段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 他：具体规格参数、压力等级等需满足设计与现行规范要求，详见暖通设计说明及设备材料表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C848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06C45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11D4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B64E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77305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全新风空调机组</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8FBC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1.新风机组（不区分吊装方式）新风量：7000m³/h，制冷量：109kw，制热量：80kw，电加热:14kw，加湿量:33kg/h，机外余压：1100Pa，【功能段】：进风段、初中效过滤段、表冷段、电加热段、电加湿段、风机段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 他：具体规格参数、压力等级等需满足设计与现行规范要求，详见暖通设计说明及设备材料表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5713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C61F4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DF4B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8477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AD5A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新风预处理机组</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00C24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1.新风机组（不区分吊装方式）新风量：2400m³/h，制冷量：31kw，制热量：27kw，风机功率:1.5kw，机外余压：500Pa，【功能段】：进风段、初中效过滤段、表冷段、电加热段、电加湿段、风机段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 他：具体规格参数、压力等级等需满足设计与现行规范要求，详见暖通设计说明及设备材料表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DFA9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BBC89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A66C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4D47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5870D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离心式排风机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C705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1.排风机处理风量：900m3/h，机外余压：450pa，功率kw：0.55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5.含自带控制箱制安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78E1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B6193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8B06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4DE7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2982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离心式排风机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4B93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1.排风机处理风量：1000m3/h，机外余压：400pa，功率kw：0.75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5.含自带控制箱制安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155E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2D732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69CAB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0EC7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B4E5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离心式排风机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7A5B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1.排风机处理风量：1000m3/h，机外余压：420pa，功率kw：0.75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5.含自带控制箱制安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4CBD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99A84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104A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5A26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67A49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离心式排风机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EC1A0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1.排风机处理风量：1200m3/h，机外余压：380pa，功率kw：0.75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5.含自带控制箱制安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9A55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A005C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572D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7378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FB82B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离心式排风机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91997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1.排风机处理风量：1200m3/h，机外余压：420pa，功率kw：0.75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5.含自带控制箱制安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7205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9F7E6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E50A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201E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31455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离心式排风机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4B181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1.排风机处理风量：1400m3/h，机外余压：500pa，功率kw：0.75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5.含自带控制箱制安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DFEB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F5D24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78DE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A413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4ACBF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离心式排风机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757CF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1.排风机处理风量：1500m3/h，机外余压：380pa，功率kw：1.5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5.含自带控制箱制安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E866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8C5A1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EF02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A91D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BE23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离心式排风机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4734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1.排风机处理风量：1500m3/h，机外余压：1100pa，功率kw：1.5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5.含自带控制箱制安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E554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89628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E3B1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34AA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5B81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离心式排风机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F829E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1.排风机处理风量：1800m3/h，静压：470pa，功率kw：1.1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5.含自带控制箱制安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D4B8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E29DF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2E42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956F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D68D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离心式排风机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1B798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1.排风机处理风量：2000m3/h，机外余压：900pa，功率kw：1.5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5.含自带控制箱制安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2D4F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4650F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4C5E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8CDC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538F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离心式排风机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FD82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1.排风机处理风量：4500m3/h，机外余压：400pa，功率kw：3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5.含自带控制箱制安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BF9A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3CE3F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E1C0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E04B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32B34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离心式排风机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231A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1.排风机处理风量：处理风量：4500m3/h，机外余压：550pa，功率kw：3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5.含自带控制箱制安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02BA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B12AB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344D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5B1C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D8A7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离心式排风机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442E4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1.排风机处理风量：处理风量：15000m3/h，机外余压：650pa，功率kw：7.5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5.含自带控制箱制安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3403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1C2BB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53D0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6C7B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F78ED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离心式排风机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05D3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1.消声型排风机（处理风量：1500m3/h，机外余压：350pa，功率kw：0.55）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5.含自带控制箱制安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4374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3DB6D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B23D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152A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BB46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高效排风机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054AB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1.高效排风机处理风量：处理风量：3000m3/h，机外余压：1000pa，功率kw：3，【功能段】：高效过滤段、风机段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2.减振器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4.设备支架安装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5.含自带控制箱制安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445D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B7F29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B3F6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E422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DC8A5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活性炭处理箱</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A941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1.处理风量：3000m3/h，颗粒碳，碳碘值≥800mg/g</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4D91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4BD92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FA07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0831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04B85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活性炭处理箱</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2F1A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1.处理风量：1500m3/h，颗粒碳，碳碘值≥800mg/g</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C251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6CCD2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D209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2898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F0EA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高效送风口（H14)</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739B9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1.额定风量500m3/h,箱体材质冷板喷塑；侧接;无调节阀;无隔板;玻纤材质；效率H14，法兰口尺寸：200*200；侧送</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ABAF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B0414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r>
      <w:tr w14:paraId="2FD78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FC65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2B1AA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高效送风口（H14)</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3173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1.额定风量1000m3/h,箱体材质冷板喷涂；侧接;无调节阀;无隔板;玻纤材质；效率H14，法兰口尺寸：320*200；侧送</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BC76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C3768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r>
      <w:tr w14:paraId="26FB2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E02E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8896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高效送风口（H14)</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8DD6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1.额定风量500m3/h,箱体材质冷板喷塑；侧接;无调节阀;无隔板;玻纤材质；效率H14，法兰口尺寸：200*200；侧排</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ECC1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583C7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6D0D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58E5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8639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高效送风口（H14)</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089F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1.额定风量1500m3/h,箱体材质冷板喷涂；侧接;无调节阀;无隔板;玻纤材质；效率H14，法兰口尺寸：320*250；侧排</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A0DD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07EC1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BB20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DC680F">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6BF00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通风系统</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457C67">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3B8B30">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B70B7F">
            <w:pPr>
              <w:jc w:val="right"/>
              <w:rPr>
                <w:rFonts w:hint="eastAsia" w:ascii="宋体" w:hAnsi="宋体" w:eastAsia="宋体" w:cs="宋体"/>
                <w:i w:val="0"/>
                <w:iCs w:val="0"/>
                <w:color w:val="000000"/>
                <w:sz w:val="18"/>
                <w:szCs w:val="18"/>
                <w:highlight w:val="none"/>
                <w:u w:val="none"/>
              </w:rPr>
            </w:pPr>
          </w:p>
        </w:tc>
      </w:tr>
      <w:tr w14:paraId="6BD58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127B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BC33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633D1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称：镀锌钢板矩形风管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 格：1000＜长边长≤1250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3.板材厚度：05~1.0mm</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2327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4A859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2123.3</w:t>
            </w:r>
          </w:p>
        </w:tc>
      </w:tr>
      <w:tr w14:paraId="08E75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29E4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F73A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A5A9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称：镀锌钢板矩形风管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 格：1250＜长边长≤2000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3.板材厚度：1.2mm</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E85A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0C091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171.5</w:t>
            </w:r>
          </w:p>
        </w:tc>
      </w:tr>
      <w:tr w14:paraId="0B6B7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A93C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2A2A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通风管道绝热</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D4A9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1.B1级橡塑保温棉，厚度30mm，专用保温胶水粘接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2.其他：具体导热系数等满足设计与现行规范要求，详见暖通施工图设计说明</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824F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E39E3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68.84</w:t>
            </w:r>
          </w:p>
        </w:tc>
      </w:tr>
      <w:tr w14:paraId="4EF7B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E5F3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AE1D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FEBF3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1.对开多叶调节阀  200*200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4687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6E0C5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109</w:t>
            </w:r>
          </w:p>
        </w:tc>
      </w:tr>
      <w:tr w14:paraId="24F3E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024A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9613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D358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1.对开多叶调节阀  250*120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5A72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32694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B4DF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B422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0D47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01CE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1.对开多叶调节阀  250*200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C89C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CD1F8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r>
      <w:tr w14:paraId="0456D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F463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5763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05E8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1.对开多叶调节阀  250*250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9ED3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9E328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144C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BC0E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91CC4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8E37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1.对开多叶调节阀  320*200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B778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EEAB6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r>
      <w:tr w14:paraId="10B03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44B8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939F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7EB8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1.对开多叶调节阀  320*250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CF0F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FBDD9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r>
      <w:tr w14:paraId="18CC5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E5AB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BCAD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AFFA8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1.对开多叶调节阀  320*320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A23E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0FE11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1808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FD49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6976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9DE0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1.对开多叶调节阀  400*250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E40F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C7805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7DA95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CFA4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ADF2B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1534D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1.对开多叶调节阀  400*320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028B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C3C29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30683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762F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AAC7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7A33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1.对开多叶调节阀  400*400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CCBD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A15AB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7D96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42F9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1F16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1ED6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1.对开多叶调节阀  500*250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C1D7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BA467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F44C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D86B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AFFCD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A03B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1.对开多叶调节阀  630*320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6857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474F0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633DD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7A159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CAD0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10823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1.对开多叶调节阀  800*500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CF63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3AE6C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4D3F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6DA9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6D9D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8F769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1.对开多叶调节阀  1250*500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157F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6F607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461E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84EA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A7350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2011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1.对开多叶调节阀  1600*500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2741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2A7E5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5991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779E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ED81B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C3DE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1.电动模拟量调节阀  200x200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2AC2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DC702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r>
      <w:tr w14:paraId="36E62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6433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FE71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373D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1.电动模拟量调节阀  250x200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2513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BA7A4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32645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1294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23B8A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CCC7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1.电动模拟量调节阀  250x250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0BA2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9F8E8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74AD5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AB00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6B42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6E69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1.电动模拟量调节阀  320x200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7515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E48C1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107CD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F73D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AC40C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CE9D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1.电动模拟量调节阀  320x250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7044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FA478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1B949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07E2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553EF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5B03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1.电动模拟量调节阀  320x320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33A2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8A79B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3C575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7201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CE7D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488B7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1.电动模拟量调节阀  500x320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74F1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1A1A9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293A4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50ED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8E96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792E6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1.电动密闭阀  320x250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7137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B571C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FD73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5CF4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F334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6B04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1.电动密闭阀  400x320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8D7C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DEE01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C82D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BF01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AA5C9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BA38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1.电动密闭阀  500x320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8BBB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7F095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EEDD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5110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C4156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BCDA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1.电动密闭阀  800x500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6EB1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2A323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E23C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175B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65BC1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BF895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1.电动密闭阀  1000x800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2.设备支架制作 单件重量（kg）50以下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3.设备支架安装 单件重量（kg）50以下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34C1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A5096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3DF6D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78A8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C5CC3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2667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称：止回风阀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格：250*200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F660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6C4B3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r>
      <w:tr w14:paraId="2026B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44A6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EBF9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31E6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称：止回风阀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格：320*250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FA60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6CEDC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0C4C5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3BE3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E1819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93591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称：止回风阀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格：320*320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CEE5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F7C1A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2B4FF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95BF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3B793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B483C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称：止回风阀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格：400*320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413F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DBAC6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B8D2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697B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38CE0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0B269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称：止回风阀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格：630*320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6A27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EF107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959D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09A8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D3C6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58ED9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称：止回风阀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格：1000*630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D299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6900A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78B4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C490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A72B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7D65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称：消声器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格：250*200*1000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DEC6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38B03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4F2D0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18CB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9F31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B01A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称：消声器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格：250*250*1000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127C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A78D5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27309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E425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93D04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ADB4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称：消声器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格：320*250*1000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5B4E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BAC0E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49B09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6B28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1CB6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032E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称：消声器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格：320*320*1000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E777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5B506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087D0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2AAE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2789C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883B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称：消声器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格：400*200*1000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B8CE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1AD08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33B63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C735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BAA84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F927A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称：消声器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格：400*250*1000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42F6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79AC6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65C8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F13E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E0E36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5273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称：消声器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格：400*320*1000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E74F5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1C1EF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0B612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1B96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0CFF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B6E73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称：消声器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格：400*400*1000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74F2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712D2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1363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56E4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BD87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6E9A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称：消声器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格：500*250*1000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C28A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DABB5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D0D6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8F4D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57267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673AC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称：消声器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格：630*320*1000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9F54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0D98B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2A91E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4BB0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8950F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1766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称：消声器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格：800*500*1000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C1AD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3CBEC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24BB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C111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42B53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99EB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称：消声器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格：1000*630*1000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24A8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9AB65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FB98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5D31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D039B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FBAA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称：消声器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格：1600*500*1000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5C065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9D1EB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FF6C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187D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C3080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A4BF7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称：70℃防火阀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格：200*200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723E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D6DAD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r>
      <w:tr w14:paraId="79C8B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D29C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A8D4C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1A419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称：70℃防火阀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格：250*200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5CE5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C6F42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r>
      <w:tr w14:paraId="2C3F7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852F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004B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E87D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称：70℃防火阀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格：250*250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4057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14908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r>
      <w:tr w14:paraId="0056F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9B59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F81F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3379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称：70℃防火阀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格：320*200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F706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8A0BD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3A02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AB6C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C551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A0CC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称：70℃防火阀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格：320*250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EA68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F36F9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r>
      <w:tr w14:paraId="53357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F7CC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1E87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53972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称：70℃防火阀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格：320*320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580A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ACA2A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01BC1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6356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14EA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C4238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称：70℃防火阀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格：400*200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B478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F8B1B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3DE6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FBB7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70281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4E60B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称：70℃防火阀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格：400*250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561A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97345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6B5B7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4D79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20DA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864D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称：70℃防火阀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格：400*320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4541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FD204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6988D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2C49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25C3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B7626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称：70℃防火阀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格：500*250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D74E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D4FAA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70965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0DC8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A5BDD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409BE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称：70℃防火阀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格：630*320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87BC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A5404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60CBB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8A23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73114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D4C3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称：70℃防火阀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格：800*400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1C3E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FBF38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C512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860E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A907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E54D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称：70℃防火阀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格：800*500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5E55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BF518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A042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8EEF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E9A4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17CC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称：70℃防火阀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格：1250*500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9AAB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8D02F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45214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DD804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7858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7536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称：70℃防火阀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格：1600*500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3823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CD5FB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2A3D7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8B56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757D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铝及铝合金风口、散流器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026B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称：铝合金单层防雨百叶,附不锈钢防虫网，可拆卸清洗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格：700*500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CEBF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F4A0C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8D02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A2D5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59F7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铝及铝合金风口、散流器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D31B4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称：铝合金单层防雨百叶,附不锈钢防虫网，可拆卸清洗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格：750*500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4EA5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F6A66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241A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4956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1383B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铝及铝合金风口、散流器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52465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称：铝合金单层防雨百叶,附不锈钢防虫网，可拆卸清洗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格：800*800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6527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27A06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A3AB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8488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6E8D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铝及铝合金风口、散流器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89B2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称：铝合金单层防雨百叶,附不锈钢防虫网，可拆卸清洗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格：1200*800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088C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B265C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F6FA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D8DD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8B754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铝及铝合金风口、散流器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E5A3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称：铝合金单层防雨百叶,附不锈钢防虫网，可拆卸清洗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格：2500*2300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CFC3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699FB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5B18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94A3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194A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4F13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称：铝合金双层百叶风口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格：300*300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4646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57F8E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r>
      <w:tr w14:paraId="6D528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88EF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01E7E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D5057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称：铝合金双层百叶风口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格：400*400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0906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53B98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w:t>
            </w:r>
          </w:p>
        </w:tc>
      </w:tr>
      <w:tr w14:paraId="7F547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81DB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FAEF4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20DD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称：铝合金双层百叶风口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格：500*500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BCF9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13280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2CA42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1E14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5C90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CD34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称：铝合金单层百叶风口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格：200*200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507B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B643D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r>
      <w:tr w14:paraId="5A3C5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7446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C1E94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A10E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称：铝合金单层百叶风口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格：300*300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2EDF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5F47D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w:t>
            </w:r>
          </w:p>
        </w:tc>
      </w:tr>
      <w:tr w14:paraId="62DE6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5AB03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7569B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2915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称：铝合金单层百叶风口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格：320*250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E282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DAF3F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CF90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1834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3107B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8BD9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称：铝合金单层百叶风口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格：400*400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800D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27035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w:t>
            </w:r>
          </w:p>
        </w:tc>
      </w:tr>
      <w:tr w14:paraId="2EC9A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3802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74E4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BADB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称：铝合金单层百叶风口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格：500*500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D27E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762D2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r>
      <w:tr w14:paraId="7B621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3F18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D7E7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4171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称：铝合金单层百叶风口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格：600*600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8564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E1520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w:t>
            </w:r>
          </w:p>
        </w:tc>
      </w:tr>
      <w:tr w14:paraId="25B0D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15E2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F5414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导流装置</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01B7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称：低温冰箱散热导流装置</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55F0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8319E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11BD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97C5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12934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柔性接口</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9202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1.防火耐高温硅钛布制作，L=20cm</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F59D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49169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184.4</w:t>
            </w:r>
          </w:p>
        </w:tc>
      </w:tr>
      <w:tr w14:paraId="79F60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A428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E7BF4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锥形风帽</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0216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1.名称：锥形风帽 Φ300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4CA7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9A4F8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CEFE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0AC0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7FBD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玻纤布保温软管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2C32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称：国标，直径200mm以内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F962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0EFE3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12.0</w:t>
            </w:r>
          </w:p>
        </w:tc>
      </w:tr>
      <w:tr w14:paraId="63C41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D46C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1D35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柔性软风管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6E6EA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称：复合伸缩软管，直径250mm以内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0EB5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F445A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w:t>
            </w:r>
          </w:p>
        </w:tc>
      </w:tr>
      <w:tr w14:paraId="4E002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DED4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48D2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风管美化</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700B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称：外墙风管铝塑板外包，管道美化</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0756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DAF09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10.0</w:t>
            </w:r>
          </w:p>
        </w:tc>
      </w:tr>
      <w:tr w14:paraId="21A25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187B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97A5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风管美化</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BAEF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称：0.5mm防锈铝箔保护，用于保护室外、机房风管保温层。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9C6F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1553D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245.0</w:t>
            </w:r>
          </w:p>
        </w:tc>
      </w:tr>
      <w:tr w14:paraId="1E310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E386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8B2B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7A360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称：风管抗震支吊架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6D4F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付</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09540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r>
      <w:tr w14:paraId="3531F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811C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A3B4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开孔（打洞）</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1161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称：混凝土墙体钻孔 直径 （mm以内）200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45BF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6B7C0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112</w:t>
            </w:r>
          </w:p>
        </w:tc>
      </w:tr>
      <w:tr w14:paraId="28513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F11D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8E2E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垫层</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D6A3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称：风机、空调箱、过滤设备等的水泥基础</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7CD4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905F7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11.60</w:t>
            </w:r>
          </w:p>
        </w:tc>
      </w:tr>
      <w:tr w14:paraId="50CEFDB6">
        <w:tblPrEx>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38AC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F34C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通风工程检测、 调试</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4CAD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1.通风空调系统调试费</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7D0D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4A04C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6885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151047">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720E3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空气处理系统</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F51696">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4D6FD3">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E11D5B">
            <w:pPr>
              <w:jc w:val="right"/>
              <w:rPr>
                <w:rFonts w:hint="eastAsia" w:ascii="宋体" w:hAnsi="宋体" w:eastAsia="宋体" w:cs="宋体"/>
                <w:i w:val="0"/>
                <w:iCs w:val="0"/>
                <w:color w:val="000000"/>
                <w:sz w:val="18"/>
                <w:szCs w:val="18"/>
                <w:highlight w:val="none"/>
                <w:u w:val="none"/>
              </w:rPr>
            </w:pPr>
          </w:p>
        </w:tc>
      </w:tr>
      <w:tr w14:paraId="12BFD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B88B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81DBA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中枢质控柱</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A17E2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电源：AC220V，1KW；10寸触摸屏，显示受控区域空气质量，自动计算并调节非热平衡等离子发射强度,控制精度100e+/-/m3，响应时间0.1ms，安装尺寸：高2000宽330厚160mm，工作环境温度-10℃-50℃湿度5～95%（无冷凝）。</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FBA9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41E5A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632ED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3EC7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983A5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远程监测报警与质控评价软件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39C1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远程维保服务器巡检，及时发现和分析整个系统运行异常信息提交维保部门。2,7*24小时GPRS值班电话报警，在关键设备故障时对指定手机进行短信报警。3，环保质控报告软件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DE2D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67F7A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3BF6C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B69F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D9AC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智能中央控制单元</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AEC1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寸质控屏，嵌入式安装，集成了无线GPRS数据通信、有线RS485通信，智能调节模块等的数据采集管理终端，能实现传感器数据的采集、监测和存储，并具数据云端存储功能。并可根据特殊场景定制显示其他数据内容。系统可实时收集检测数据并自动计算，然后调节相关设备运行状态，确保系统正常合理自动运行。</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1D3B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22002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7297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14A4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2C8C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智慧大屏</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EC76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屏幕尺寸50英寸,产品尺寸1110*620mm，外接电源适配器，内置音箱，支持USB扩展/充电，外接电源适配器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D5A3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CE92D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4E4F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EB25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4B72E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风压探头-B</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3164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电源：DC13.5-33V，工作环境温度-10℃-50℃湿度5～95%（无冷凝），监测范围200Pa/250Pa/500Pa可选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A6C4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62562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r>
      <w:tr w14:paraId="7A3F6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62CE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0B58F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风压探头-C</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AFA1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电源：DC13.5-33V，工作环境温度-10℃-50℃湿度5～95%（无冷凝）监测范围1000Pa/1500Pa/3000Pa可选</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02AF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055D2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4AA81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5134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64D6B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臭氧探头</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B2AA9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臭氧检测浓度范围 10~250ppb，电源：DC24V，工作环境温度-10℃-50℃湿度5～95%（无冷凝），电化学传感器。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3007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3FA06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7C999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3DEA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C506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空气质量探头</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5F9FE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VOC检测浓度范围 0~30PPM；电源：DC24V，0-5VDC 线性输出。工作环境温度-10℃-50℃湿度5～95%（无冷凝）。</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DB34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9A103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42F7F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378B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E5561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移动式气溶胶监测仪</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D7B3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高分辨率高灵敏度型，电源：AC220V，气溶胶监测范围0-1000ug/m³，分辨率1ug/m³，5.5*2.5接口，5*5，133mm*80mm*24mm,工作环境温度-10℃-50℃湿度5～95%（无冷凝），需配合无线中继使用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C84A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79DD7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r>
      <w:tr w14:paraId="761FE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9D2D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8E83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风道温湿度传感器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EE781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电源：DC24V，管道螺丝安装，工作环境温度-10℃-50℃湿度5～95%（无冷凝），温度监测范围0-50摄氏度，分辨率0.01摄氏度，湿度范围-100%，分辨率0.01%。</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77D4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B22F8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r>
      <w:tr w14:paraId="5A2C9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560C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ED2D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温度传感器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1108B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电源：DC24V，管道螺丝安装，工作环境温度-10℃-50℃，温度监测范围±50℃摄氏度，分辨率0.01摄氏度</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4EAE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D37FC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1C0E0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F78E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21D1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过滤器压差传感器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31F1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电源：DC24V，工作环境温度-10℃-50℃湿度5～95%（无冷凝），监测范围50-500Pa</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A1B8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2AC58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6DB9C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060D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84813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电子压差传感器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D3E3D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电源：DC24V，工作环境温度-10℃-50℃湿度5～95%（无冷凝）</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C56B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99AF3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r>
      <w:tr w14:paraId="513CC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6014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28D73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动态离子衍生装置-D</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0B7C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电源:220V，50/60Hz.30/40W,2800V正弦DBD放电，风管道钢制安装框架安装，配管8支53厘米电商管。工作环境-20℃-50℃，湿度最大环境湿度85%。</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EA17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F5720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4F2A8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7560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CDB87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远程均流布气终端</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7D029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2米处雷诺数Re&lt;2100；尺寸：600*600*225mm；安装方式：T型龙骨、吊筋，风管接口：直径200mm；设计风量：300-600m³/h；标准风阻：45-85Pa；声功率级＜45dB(A）</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B8EF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3EBB8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w:t>
            </w:r>
          </w:p>
        </w:tc>
      </w:tr>
      <w:tr w14:paraId="3FE6A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7CBC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7540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垂直定向污气导吸装置(落地)</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FC57B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空气动力学专用设施，铝合金材质，表面阳极氧化，整体一次成模，表面耐候处理。设计风量：300-600m³/h。截面尺寸：250*160mm,垂直落地安装。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53F1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A8256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r>
      <w:tr w14:paraId="4A603D89">
        <w:tblPrEx>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C77F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53C2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台式定向污气导吸装置(右式)</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2E98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空气动力学专用设施，铝合金材质，表面阳极氧化，整体一次成模，表面耐候处理。设计风量：300-600m³/h。截面尺寸：250*160mm，风向右。</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3E1B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F417C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11571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42C0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A35E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台式定向污气导吸装置(左式)</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BE7A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空气动力学专用设施，铝合金材质，表面阳极氧化，整体一次成模，表面耐候处理。设计风量：300-600m³/h。截面尺寸：250*160mm，风向左。</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8552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A291C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1DFD2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DDFF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95951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无线中继器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8B29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采用自组网的方式连接无线设备，自身具有对数据的整理和分析功能。485接口，波特率自适应。电源：DC24V，低功耗型。工作环境温度-10℃-50℃湿度5～95%（无冷凝）（无线产品需要配合使用）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550D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33F74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6794F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C9F727">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6423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空调水系统</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7F78DB">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90E537">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A372C8">
            <w:pPr>
              <w:jc w:val="right"/>
              <w:rPr>
                <w:rFonts w:hint="eastAsia" w:ascii="宋体" w:hAnsi="宋体" w:eastAsia="宋体" w:cs="宋体"/>
                <w:i w:val="0"/>
                <w:iCs w:val="0"/>
                <w:color w:val="000000"/>
                <w:sz w:val="18"/>
                <w:szCs w:val="18"/>
                <w:highlight w:val="none"/>
                <w:u w:val="none"/>
              </w:rPr>
            </w:pPr>
          </w:p>
        </w:tc>
      </w:tr>
      <w:tr w14:paraId="25D62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93A9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1245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离心式泵</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A0CA0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1.名称：冷冻水循环泵HB-4-1~2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2.型号、规格：流量59cmh，扬程28m，功率11kw（含配套控制箱制安，含连接处法兰，水泵进线电源管线）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3.隔 振：隔振垫(器)安装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 他：具体规格参数、压力等级等需满足设计与现行规范要求，详见暖通设计说明及设备材料表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7895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165AA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3E2BE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B376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95E9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水箱</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1714F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1.材质、类型：膨胀水箱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2.型号、规格：1m³,1100*1100*1100,SUS304,方形保温水箱,5cm聚氨酯保温层,含浮球阀DN20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D6E1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B9A74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1E3F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C45D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2AA3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水箱</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9706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1.材质、类型：缓冲水箱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2.型号、规格：1m³，带排气阀，内304不锈钢外210不锈钢，闭式承压。</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C16A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EDB34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B940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1E9A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01543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水箱</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F6BF8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1.材质、类型：冷凝水降温水箱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2.型号、规格：600*600*600 304不锈钢，含保温</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6DFC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E5FC0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68556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A8FE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E38C7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超声波灭藻设备</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372A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1.材质、类型：电子除垢仪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2.型号、规格：DN125 ，功率25W</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2414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DBA9A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F206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9E0B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11DE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F896E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称：压差旁通平衡阀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2.规格、型号：DN125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3.连接形式：法兰连接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858D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8BE65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FD42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B383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5A90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E3A6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称：静态平衡阀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57F8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2A712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FBDF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8163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C53D2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9EE2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称：静态平衡阀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5D3F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24597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38AD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3DFE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A45D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2A753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称：静态平衡阀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2.规格、型号：DN65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ECBD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3717C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26F3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694F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003FA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8A65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称：静态平衡阀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2.规格、型号：DN80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A391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745D4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3404B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2BF4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6B06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828ED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称：静态平衡阀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2.规格、型号：DN100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27FF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A85DA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6650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59EB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CD3C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3DC58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称：电动二通调节阀，24V（交流驱动）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1B58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7C5F0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0E8AE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3384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B4AB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9C2FE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称：电动二通调节阀，24V（交流驱动）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A71A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3C009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ACE7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C0FC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C050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5A19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称：电动二通调节阀，24V（交流驱动）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2.规格、型号：DN65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9D97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3648E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33B47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215B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99C9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E5780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称：电动二通调节阀，24V（交流驱动）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2.规格、型号：DN80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9C70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ACBFB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62CF0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5136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7B02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2630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2.介质:空调供、回水管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4.型号、规格:D26.9x2.5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5.连接方式:螺纹连接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6.压力试验、刷油刷漆及吹、洗、保温、设计要求详见施工图设计总说明及空调、通风工程安装通用说明</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B856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F23C5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60.0</w:t>
            </w:r>
          </w:p>
        </w:tc>
      </w:tr>
      <w:tr w14:paraId="77F24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3A06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85FA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C4EB3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2.介质:空调供、回水管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4.型号、规格:D33.7x3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5.连接方式:螺纹连接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6.压力试验、刷油刷漆及吹、洗、保温、设计要求详见施工图设计总说明及空调、通风工程安装通用说明</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887D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38C82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25.0</w:t>
            </w:r>
          </w:p>
        </w:tc>
      </w:tr>
      <w:tr w14:paraId="59176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E283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E32A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7AEFA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2.介质:空调供、回水管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4.型号、规格:D42.4x3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5.连接方式:螺纹连接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6.压力试验、刷油刷漆及吹、洗、保温、设计要求详见施工图设计总说明及通风和空调工程施工通用说明</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089C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352CB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17.0</w:t>
            </w:r>
          </w:p>
        </w:tc>
      </w:tr>
      <w:tr w14:paraId="62FEE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29F9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0137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CE8A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2.介质:空调供、回水管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4.型号、规格:D48.3x3.5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5.连接方式:螺纹连接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6.压力试验、刷油刷漆及吹、洗、保温、设计要求详见施工图设计总说明及通风和空调工程施工通用说明</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6A85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BF0A7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75.0</w:t>
            </w:r>
          </w:p>
        </w:tc>
      </w:tr>
      <w:tr w14:paraId="5CA23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B5BB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B8C5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5D313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2.介质:空调供、回水管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4.型号、规格:D60.3x3.5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5.连接方式:螺纹连接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6.压力试验、刷油刷漆及吹、洗、保温、设计要求详见施工图设计总说明及空调、通风工程安装通用说明</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9A0B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74533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50.0</w:t>
            </w:r>
          </w:p>
        </w:tc>
      </w:tr>
      <w:tr w14:paraId="61355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F691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CD50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667CC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2.介质:空调供、回水管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4.型号、规格:D76.1x4</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5.连接方式:螺纹连接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6.压力试验、刷油刷漆及吹、洗、保温设计要求详见施工图设计总说明及空调、通风工程安装通用说明</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8E15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49757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150.0</w:t>
            </w:r>
          </w:p>
        </w:tc>
      </w:tr>
      <w:tr w14:paraId="3ECDA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D53C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BC9A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30D1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2.介质:空调供、回水管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4.型号、规格:D89x4</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5.连接方式:螺纹连接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6.压力试验、刷油刷漆及吹、洗、保温设计要求详见施工图设计总说明及通风和空调工程施工通用说明</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FE4A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DEB12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w:t>
            </w:r>
          </w:p>
        </w:tc>
      </w:tr>
      <w:tr w14:paraId="51A27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A757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248B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486AB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2.介质:空调供、回水管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4.型号、规格:D108x4</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5.连接方式:螺纹连接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6.压力试验、刷油刷漆及吹、洗、保温设计要求详见施工图设计总说明及空调、通风工程安装通用说明</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B49E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07A50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230.0</w:t>
            </w:r>
          </w:p>
        </w:tc>
      </w:tr>
      <w:tr w14:paraId="0FF81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18CB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829C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51830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1.安装部位:室内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2.介质:空调供、回水管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3.材质:镀锌钢管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4.型号、规格:D133x4</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5.连接方式:螺纹连接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6.压力试验、刷油刷漆及吹、洗、保温设计要求详见施工图设计总说明及空调、通风工程安装通用说明</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A73E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7B84C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50.0</w:t>
            </w:r>
          </w:p>
        </w:tc>
      </w:tr>
      <w:tr w14:paraId="3B1E7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6B43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9C4C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0B88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1.一般管架制作安装（一切水暖系统管道支架，具体支架形式详图纸说明）</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B6F8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7A325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475.0</w:t>
            </w:r>
          </w:p>
        </w:tc>
      </w:tr>
      <w:tr w14:paraId="19A9F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2F39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6102B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F15C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1.安装部位:室内冷凝水管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2.材质:冷凝水管（含扫除口）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3.型号、规格:DN20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4.连接方式:粘接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5.压力试验及吹、洗、消毒、保温按验收规范及设计要求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80C6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273D6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45.0</w:t>
            </w:r>
          </w:p>
        </w:tc>
      </w:tr>
      <w:tr w14:paraId="392CD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6C04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FC40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ED98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1.安装部位:室内冷凝水管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2.材质:冷凝水管（含扫除口）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3.型号、规格:DN25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4.连接方式:粘接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5.压力试验及吹、洗、消毒、保温按验收规范及设计要求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FF9D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F7E1A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35.0</w:t>
            </w:r>
          </w:p>
        </w:tc>
      </w:tr>
      <w:tr w14:paraId="493D8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FB25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F5DD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FBA8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1.安装部位:室内冷凝水管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2.材质:冷凝水管（含扫除口）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3.型号、规格:DN32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4.连接方式:粘接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5.压力试验及吹、洗、消毒、保温按验收规范及设计要求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0978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5EA7C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14.0</w:t>
            </w:r>
          </w:p>
        </w:tc>
      </w:tr>
      <w:tr w14:paraId="0A284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552A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2B098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8FB5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1.安装部位:室内冷凝水管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2.材质:冷凝水管（含扫除口）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3.型号、规格:DN40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4.连接方式:粘接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5.压力试验及吹、洗、消毒、保温按验收规范及设计要求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C2AE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EE465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10.0</w:t>
            </w:r>
          </w:p>
        </w:tc>
      </w:tr>
      <w:tr w14:paraId="4564E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DC8D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EF69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焊接法兰阀门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E8C9C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称：橡胶软接头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3.连接形式：法兰连接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B75A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2091C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01B5C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6BA4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D49E9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焊接法兰阀门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5D3A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称：橡胶软接头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3.连接形式：法兰连接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0804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4EDF3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7F0E6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C059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EB2F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焊接法兰阀门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2A51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称：橡胶软接头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2.规格、型号：DN65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3.连接形式：法兰连接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A3B3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443C7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7A89B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74DF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31DF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焊接法兰阀门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01C1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称：橡胶软接头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2.规格、型号：DN80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3.连接形式：法兰连接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289C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6A85B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57504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62F8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F5A28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焊接法兰阀门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E3193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称：橡胶软接头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2.规格、型号：DN125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3.连接形式：法兰连接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95E7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3D3B9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7A1B5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8A53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DB01A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23203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称：铜闸阀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A5F8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0874D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1B2E1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135E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6D5D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A566B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称：铜闸阀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F44C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DD747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53854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128B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710C3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1CBC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称：蝶阀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2.规格、型号：DN65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3.连接形式：法兰连接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9E05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583D8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1F678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6AA5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B275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F931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称：蝶阀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2.规格、型号：DN80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3.连接形式：法兰连接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5E76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81423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79AE6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E30F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F365B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F421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称：蝶阀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2.规格、型号：DN100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3.连接形式：法兰连接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F639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CE4B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4153C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951E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A74D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F84A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称：蝶阀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2.规格、型号：DN125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3.连接形式：法兰连接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D45E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50744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r>
      <w:tr w14:paraId="3F33A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C810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BF82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6F27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称：止回阀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2.规格、型号：DN125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3.连接形式：法兰连接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70C8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9ED76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326C1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80CA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6617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C00B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称：Y过滤器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B397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B9E27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51C09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D62B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DE70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FFFBC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称：Y过滤器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FC7F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DF116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1AB2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D97B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F2A3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54735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称：Y过滤器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2.规格、型号：DN65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3.连接形式：法兰连接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6E57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F670D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7D6AD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F8BB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A73E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B334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称：Y过滤器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2.规格、型号：DN80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3.连接形式：法兰连接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0E8E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2198C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5AE52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81DD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3D81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0C56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称：Y过滤器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2.规格、型号：DN100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3.连接形式：法兰连接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C32F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E1FDC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B60F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33EF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2E91D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E6C0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称：Y过滤器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2.规格、型号：DN125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3.连接形式：法兰连接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474C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80147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8BFF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BE23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11DE3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3ABB8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称：不锈钢软接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2.规格、型号：DN100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3.连接形式：法兰连接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1C37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5CDF3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396D5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E682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BB40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温度仪表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E7171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1、温度计安装 DN15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2、含座套安装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5BF0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支</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44D3F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r>
      <w:tr w14:paraId="1138E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299B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5EEC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压力仪表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1ACE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1、压力表安装 Y100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2、含缓冲管、三通旋塞阀、钢束节安装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4834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CD70E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r>
      <w:tr w14:paraId="63E8E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0E01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571F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4AD57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1、阀门类型：自动排气阀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E549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769B5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r>
      <w:tr w14:paraId="2B6B5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6767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79E6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B0D2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称：泄水阀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EDDB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81D1A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0C5DA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B9E2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9C3B0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32FA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称：泄水阀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ED02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E3879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0E1BE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3324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B2CD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水管美化</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7AD2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称：外墙水管道美化</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0FB1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82EF3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w:t>
            </w:r>
          </w:p>
        </w:tc>
      </w:tr>
      <w:tr w14:paraId="1D4E0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1251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3C31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风管美化</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E0222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称：0.5mm防锈铝箔保护，用于保护室外、机房风管保温层。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CEEE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D24C8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39.0</w:t>
            </w:r>
          </w:p>
        </w:tc>
      </w:tr>
      <w:tr w14:paraId="6C568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2396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C4A2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通风工程检测、 调试</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58C7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1.通风空调系统调试费</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AFBF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1FA8E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1EC2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6C440B">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E1A2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多联机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CAC3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（分体空调和多联机空调内、外机参数为实质性指标★）</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DF9EA1">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8676FD">
            <w:pPr>
              <w:jc w:val="right"/>
              <w:rPr>
                <w:rFonts w:hint="eastAsia" w:ascii="宋体" w:hAnsi="宋体" w:eastAsia="宋体" w:cs="宋体"/>
                <w:i w:val="0"/>
                <w:iCs w:val="0"/>
                <w:color w:val="000000"/>
                <w:sz w:val="18"/>
                <w:szCs w:val="18"/>
                <w:highlight w:val="none"/>
                <w:u w:val="none"/>
              </w:rPr>
            </w:pPr>
          </w:p>
        </w:tc>
      </w:tr>
      <w:tr w14:paraId="794F2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B7F7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1ADD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114D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称:2P分体空调</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2.参 数:制冷/KW：5.1  功率/KW:1.41</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3.安装形式:壁式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5.空调室内机及与其室外机相连：含铜管、冷媒、控制器、控制线及配管等。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 他：具体规格参数压力等级满足设计要求，详见暖通施工图设计总说明及设备材料表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299F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95922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C975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62BB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485F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6523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称:侧出风室外机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2.参 数:制冷/KW：10;制热量/KW:12;功率/KW:2.9</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6.空调室内机及与其室外机相连的冷媒管、冷媒及该系统内的保温、阀门、分支器、支架、系统气密性试验、控制线及配管、屋顶室外冷媒管桥架（根据现场情况及设计要求）、桥架支架等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7.其 他：具体规格参数压力等级满足设计要求，详见暖通施工图设计总说明及设备材料表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A192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06190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E1FB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22F6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0C42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BFF7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称:侧出风室外机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2.参 数:制冷/KW：16;制热量/KW:18;功率/KW:4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3.安装形式:落地式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4.隔振垫(器)安装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5.设备支架制作安装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6.空调室内机及与其室外机相连的冷媒管、冷媒及该系统内的保温、阀门、分支器、支架、系统气密性试验、控制线及配管、屋顶室外冷媒管桥架（根据现场情况及设计要求）、桥架支架等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7.其 他：具体规格参数压力等级满足设计要求，详见暖通施工图设计总说明及设备材料表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7C25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A049D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99DD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F7D0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E46A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050CC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称:整体式室外机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2.参 数:制冷/KW：28；制热量/KW: 31.5；功率/KW:6.79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3.安装形式:落地式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4.隔振垫(器)安装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5.设备支架制作安装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6.空调室内机及与其室外机相连的冷媒管、冷媒及该系统内的保温、阀门、分支器、支架、系统气密性试验、控制线及配管、屋顶室外冷媒管桥架（根据现场情况及设计要求）、桥架支架等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7.其 他：具体规格参数压力等级满足设计要求，详见暖通施工图设计总说明及设备材料表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5421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C4C0C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5958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2438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9B08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834D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称:整体式室外机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2.参 数:制冷/KW：40；制热量/KW: 45；功率/KW:10.68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5.设备支架制作安装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6.空调室内机及与其室外机相连的冷媒管、冷媒及该系统内的保温、阀门、分支器、支架、系统气密性试验、控制线及配管、屋顶室外冷媒管桥架（根据现场情况及设计要求）、桥架支架等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7.其 他：具体规格参数压力等级满足设计要求，详见暖通施工图设计总说明及设备材料表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BF59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89D95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6C60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CB56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FDEA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313C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称:整体式室外机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2.参 数:制冷/KW：85；制热量/KW: 95；功率/KW:22.89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3.安装形式:落地式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4.隔振垫(器)安装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5.设备支架制作安装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6.空调室内机及与其室外机相连的冷媒管、冷媒及该系统内的保温、阀门、分支器、支架、系统气密性试验、控制线及配管、屋顶室外冷媒管桥架（根据现场情况及设计要求）、桥架支架等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7.其 他：具体规格参数压力等级满足设计要求，详见暖通施工图设计总说明及设备材料表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7588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476C4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4531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FB60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9BF4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90D7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称:整体式室外机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2.参 数:制冷/KW：117；制热量/KW: 130；功率/KW:34.96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3.安装形式:落地式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4.隔振垫(器)安装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5.设备支架制作安装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6.空调室内机及与其室外机相连的冷媒管、冷媒及该系统内的保温、阀门、分支器、支架、系统气密性试验、控制线及配管、屋顶室外冷媒管桥架（根据现场情况及设计要求）、桥架支架等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7.其 他：具体规格参数压力等级满足设计要求，详见暖通施工图设计总说明及设备材料表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9F53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D79FC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5AC7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5876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74D5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2F6C4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称:风管机（带水泵）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2.参 数:制冷/KW：2.8；制热量/KW:3.2；功率/KW:0.028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3.安装形式:暗藏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4.隔振垫(器)安装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5.设备支架制作安装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6.空调室内机及与其室外机相连：屋顶室外水管桥架（根据现场情况及设计要求）、桥架支架、控制线及配管等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7.其 他：具体规格参数、压力等级等需满足设计与现行规范要求，详见暖通设计说明及设备材料表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BC3C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45C53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r>
      <w:tr w14:paraId="05B1D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11824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E5F7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7FAA0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称:风管机（带水泵）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2.参 数:制冷/KW：3.6；制热量/KW:4；功率/KW:0.049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3.安装形式:暗藏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4.隔振垫(器)安装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5.设备支架制作安装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6.空调室内机及与其室外机相连：屋顶室外水管桥架（根据现场情况及设计要求）、桥架支架、控制线及配管等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7.其 他：具体规格参数、压力等级等需满足设计与现行规范要求，详见暖通设计说明及设备材料表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F530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9174D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r>
      <w:tr w14:paraId="750DC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CFDC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5193F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A8BA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称:风管机（带水泵）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2.参 数:制冷/KW：4.5；制热量/KW:5；功率/KW:0.08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3.安装形式:暗藏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4.隔振垫(器)安装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5.设备支架制作安装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6.空调室内机及与其室外机相连：屋顶室外水管桥架（根据现场情况及设计要求）、桥架支架、控制线及配管等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7.其 他：具体规格参数、压力等级等需满足设计与现行规范要求，详见暖通设计说明及设备材料表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BD54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0DA1D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3BA79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4ADA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55EC3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CD5D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称:风管机（带水泵）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2.参 数:制冷/KW：5.6；制热量/KW:6.3；功率/KW:0.1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3.安装形式:暗藏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4.隔振垫(器)安装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5.设备支架制作安装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6.空调室内机及与其室外机相连：屋顶室外水管桥架（根据现场情况及设计要求）、桥架支架、控制线及配管等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7.其 他：具体规格参数、压力等级等需满足设计与现行规范要求，详见暖通设计说明及设备材料表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8A5F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66571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982D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854F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41E5A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FA03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称:风管机（带水泵）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2.参 数:制冷/KW：6.3；制热量/KW:7.1；功率/KW:0.092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3.安装形式:暗藏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4.隔振垫(器)安装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5.设备支架制作安装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6.空调室内机及与其室外机相连：屋顶室外水管桥架（根据现场情况及设计要求）、桥架支架、控制线及配管等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7.其 他：具体规格参数、压力等级等需满足设计与现行规范要求，详见暖通设计说明及设备材料表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B6AD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68D41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848F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236D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EA0D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6EFC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称:风管机（带水泵）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2.参 数:制冷/KW：7.1；制热量/KW:8；功率/KW:0.065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3.安装形式:暗藏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4.隔振垫(器)安装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5.设备支架制作安装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6.空调室内机及与其室外机相连：屋顶室外水管桥架（根据现场情况及设计要求）、桥架支架、控制线及配管等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7.其 他：具体规格参数、压力等级等需满足设计与现行规范要求，详见暖通设计说明及设备材料表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26AB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07C8D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8ABC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CDB9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1120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042D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称:风管机（带水泵）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2.参 数:制冷/KW：9；制热量/KW:10；功率/KW:0.09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3.安装形式:暗藏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4.隔振垫(器)安装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5.设备支架制作安装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6.空调室内机及与其室外机相连：屋顶室外水管桥架（根据现场情况及设计要求）、桥架支架、控制线及配管等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7.其 他：具体规格参数、压力等级等需满足设计与现行规范要求，详见暖通设计说明及设备材料表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844D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43E5D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r>
      <w:tr w14:paraId="454FA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49C5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FA12D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49088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称:四面出风室内机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2.参 数:制冷/KW：4.5；制热量/KW:5；功率/KW:0.036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3.安装形式:暗藏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4.隔振垫(器)安装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5.设备支架制作安装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6.空调室内机及与其室外机相连：屋顶室外水管桥架（根据现场情况及设计要求）、桥架支架、控制线及配管等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7.其 他：具体规格参数、压力等级等需满足设计与现行规范要求，详见暖通设计说明及设备材料表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DE5F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40B67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9522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8E09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E9A5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控制开关</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E165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1.名称：多联机线控器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D5B2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9E4AD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w:t>
            </w:r>
          </w:p>
        </w:tc>
      </w:tr>
      <w:tr w14:paraId="73C26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3202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E43FA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开孔（打洞）</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11BD3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1.混凝土墙体钻孔 直径 （mm以内）200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514B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B6D4A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F634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4F74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F99C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A025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1.安装部位:室内冷凝水管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2.材质:冷凝水管（含扫除口）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3.型号、规格:DN20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4.连接方式:粘接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5.压力试验及吹、洗、消毒、保温按验收规范及设计要求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5B59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0F157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165.0</w:t>
            </w:r>
          </w:p>
        </w:tc>
      </w:tr>
      <w:tr w14:paraId="76C2B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1F5E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4DB5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9237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1.安装部位:室内冷凝水管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2.材质:冷凝水管（含扫除口）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3.型号、规格:DN25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4.连接方式:粘接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5.压力试验及吹、洗、消毒、保温按验收规范及设计要求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5ACC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9DA9E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80.0</w:t>
            </w:r>
          </w:p>
        </w:tc>
      </w:tr>
      <w:tr w14:paraId="5CA73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5E22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A82C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440B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1.安装部位:室内冷凝水管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2.材质:冷凝水管（含扫除口）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3.型号、规格:DN32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4.连接方式:粘接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5.压力试验及吹、洗、消毒、保温按验收规范及设计要求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0A00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A8873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90.0</w:t>
            </w:r>
          </w:p>
        </w:tc>
      </w:tr>
      <w:tr w14:paraId="2CA26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F2072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C70A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3D94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1.安装部位:室内冷凝水管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2.材质:冷凝水管（含扫除口）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3.型号、规格:DN40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4.连接方式:粘接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5.压力试验及吹、洗、消毒、保温按验收规范及设计要求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4135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9FF9C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25.0</w:t>
            </w:r>
          </w:p>
        </w:tc>
      </w:tr>
      <w:tr w14:paraId="69574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9FEC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E527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通风工程检测、 调试</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0F87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1.通风空调系统调试费</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1EA6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97294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bl>
    <w:p w14:paraId="2308A2D1">
      <w:pPr>
        <w:rPr>
          <w:rFonts w:hint="default"/>
          <w:color w:val="auto"/>
          <w:highlight w:val="none"/>
          <w:lang w:val="en-US" w:eastAsia="zh-CN"/>
        </w:rPr>
      </w:pP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6"/>
        <w:gridCol w:w="2952"/>
        <w:gridCol w:w="8134"/>
        <w:gridCol w:w="904"/>
        <w:gridCol w:w="1434"/>
      </w:tblGrid>
      <w:tr w14:paraId="3664D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000" w:type="pct"/>
            <w:gridSpan w:val="5"/>
            <w:tcBorders>
              <w:top w:val="nil"/>
              <w:left w:val="nil"/>
              <w:bottom w:val="nil"/>
              <w:right w:val="nil"/>
            </w:tcBorders>
            <w:shd w:val="clear" w:color="auto" w:fill="FFFFFF"/>
            <w:vAlign w:val="center"/>
          </w:tcPr>
          <w:p w14:paraId="0A668A0C">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snapToGrid w:val="0"/>
                <w:color w:val="000000"/>
                <w:kern w:val="0"/>
                <w:sz w:val="40"/>
                <w:szCs w:val="40"/>
                <w:highlight w:val="none"/>
                <w:u w:val="none"/>
                <w:lang w:val="en-US" w:eastAsia="zh-CN" w:bidi="ar"/>
              </w:rPr>
              <w:t>2.3电气工程</w:t>
            </w:r>
          </w:p>
        </w:tc>
      </w:tr>
      <w:tr w14:paraId="01740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95F53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序号</w:t>
            </w:r>
          </w:p>
        </w:tc>
        <w:tc>
          <w:tcPr>
            <w:tcW w:w="1038"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0310D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项目名称</w:t>
            </w:r>
          </w:p>
        </w:tc>
        <w:tc>
          <w:tcPr>
            <w:tcW w:w="286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BC0A3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项目特征</w:t>
            </w:r>
          </w:p>
        </w:tc>
        <w:tc>
          <w:tcPr>
            <w:tcW w:w="318"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EA25B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计量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单位</w:t>
            </w:r>
          </w:p>
        </w:tc>
        <w:tc>
          <w:tcPr>
            <w:tcW w:w="502"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1FC44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工程量</w:t>
            </w:r>
          </w:p>
        </w:tc>
      </w:tr>
      <w:tr w14:paraId="08E47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F6EA8DE">
            <w:pPr>
              <w:jc w:val="center"/>
              <w:rPr>
                <w:rFonts w:hint="eastAsia" w:ascii="宋体" w:hAnsi="宋体" w:eastAsia="宋体" w:cs="宋体"/>
                <w:i w:val="0"/>
                <w:iCs w:val="0"/>
                <w:color w:val="000000"/>
                <w:sz w:val="18"/>
                <w:szCs w:val="18"/>
                <w:highlight w:val="none"/>
                <w:u w:val="none"/>
              </w:rPr>
            </w:pPr>
          </w:p>
        </w:tc>
        <w:tc>
          <w:tcPr>
            <w:tcW w:w="103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4A1941">
            <w:pPr>
              <w:jc w:val="center"/>
              <w:rPr>
                <w:rFonts w:hint="eastAsia" w:ascii="宋体" w:hAnsi="宋体" w:eastAsia="宋体" w:cs="宋体"/>
                <w:i w:val="0"/>
                <w:iCs w:val="0"/>
                <w:color w:val="000000"/>
                <w:sz w:val="18"/>
                <w:szCs w:val="18"/>
                <w:highlight w:val="none"/>
                <w:u w:val="none"/>
              </w:rPr>
            </w:pPr>
          </w:p>
        </w:tc>
        <w:tc>
          <w:tcPr>
            <w:tcW w:w="286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9338C2">
            <w:pPr>
              <w:jc w:val="center"/>
              <w:rPr>
                <w:rFonts w:hint="eastAsia" w:ascii="宋体" w:hAnsi="宋体" w:eastAsia="宋体" w:cs="宋体"/>
                <w:i w:val="0"/>
                <w:iCs w:val="0"/>
                <w:color w:val="000000"/>
                <w:sz w:val="18"/>
                <w:szCs w:val="18"/>
                <w:highlight w:val="none"/>
                <w:u w:val="none"/>
              </w:rPr>
            </w:pPr>
          </w:p>
        </w:tc>
        <w:tc>
          <w:tcPr>
            <w:tcW w:w="31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630B2F">
            <w:pPr>
              <w:jc w:val="center"/>
              <w:rPr>
                <w:rFonts w:hint="eastAsia" w:ascii="宋体" w:hAnsi="宋体" w:eastAsia="宋体" w:cs="宋体"/>
                <w:i w:val="0"/>
                <w:iCs w:val="0"/>
                <w:color w:val="000000"/>
                <w:sz w:val="18"/>
                <w:szCs w:val="18"/>
                <w:highlight w:val="none"/>
                <w:u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143B48">
            <w:pPr>
              <w:jc w:val="center"/>
              <w:rPr>
                <w:rFonts w:hint="eastAsia" w:ascii="宋体" w:hAnsi="宋体" w:eastAsia="宋体" w:cs="宋体"/>
                <w:i w:val="0"/>
                <w:iCs w:val="0"/>
                <w:color w:val="000000"/>
                <w:sz w:val="18"/>
                <w:szCs w:val="18"/>
                <w:highlight w:val="none"/>
                <w:u w:val="none"/>
              </w:rPr>
            </w:pPr>
          </w:p>
        </w:tc>
      </w:tr>
      <w:tr w14:paraId="2C470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B535F3">
            <w:pPr>
              <w:jc w:val="center"/>
              <w:rPr>
                <w:rFonts w:hint="eastAsia" w:ascii="宋体" w:hAnsi="宋体" w:eastAsia="宋体" w:cs="宋体"/>
                <w:i w:val="0"/>
                <w:iCs w:val="0"/>
                <w:color w:val="000000"/>
                <w:sz w:val="18"/>
                <w:szCs w:val="18"/>
                <w:highlight w:val="none"/>
                <w:u w:val="none"/>
              </w:rPr>
            </w:pPr>
          </w:p>
        </w:tc>
        <w:tc>
          <w:tcPr>
            <w:tcW w:w="103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BB7E07">
            <w:pPr>
              <w:jc w:val="center"/>
              <w:rPr>
                <w:rFonts w:hint="eastAsia" w:ascii="宋体" w:hAnsi="宋体" w:eastAsia="宋体" w:cs="宋体"/>
                <w:i w:val="0"/>
                <w:iCs w:val="0"/>
                <w:color w:val="000000"/>
                <w:sz w:val="18"/>
                <w:szCs w:val="18"/>
                <w:highlight w:val="none"/>
                <w:u w:val="none"/>
              </w:rPr>
            </w:pPr>
          </w:p>
        </w:tc>
        <w:tc>
          <w:tcPr>
            <w:tcW w:w="286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2643D7">
            <w:pPr>
              <w:jc w:val="center"/>
              <w:rPr>
                <w:rFonts w:hint="eastAsia" w:ascii="宋体" w:hAnsi="宋体" w:eastAsia="宋体" w:cs="宋体"/>
                <w:i w:val="0"/>
                <w:iCs w:val="0"/>
                <w:color w:val="000000"/>
                <w:sz w:val="18"/>
                <w:szCs w:val="18"/>
                <w:highlight w:val="none"/>
                <w:u w:val="none"/>
              </w:rPr>
            </w:pPr>
          </w:p>
        </w:tc>
        <w:tc>
          <w:tcPr>
            <w:tcW w:w="31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639276">
            <w:pPr>
              <w:jc w:val="center"/>
              <w:rPr>
                <w:rFonts w:hint="eastAsia" w:ascii="宋体" w:hAnsi="宋体" w:eastAsia="宋体" w:cs="宋体"/>
                <w:i w:val="0"/>
                <w:iCs w:val="0"/>
                <w:color w:val="000000"/>
                <w:sz w:val="18"/>
                <w:szCs w:val="18"/>
                <w:highlight w:val="none"/>
                <w:u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FF23E9">
            <w:pPr>
              <w:jc w:val="center"/>
              <w:rPr>
                <w:rFonts w:hint="eastAsia" w:ascii="宋体" w:hAnsi="宋体" w:eastAsia="宋体" w:cs="宋体"/>
                <w:i w:val="0"/>
                <w:iCs w:val="0"/>
                <w:color w:val="000000"/>
                <w:sz w:val="18"/>
                <w:szCs w:val="18"/>
                <w:highlight w:val="none"/>
                <w:u w:val="none"/>
              </w:rPr>
            </w:pPr>
          </w:p>
        </w:tc>
      </w:tr>
      <w:tr w14:paraId="77F7D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60D23B">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D9AB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强电系统</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F10BA1">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7BA111">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8DB151">
            <w:pPr>
              <w:jc w:val="right"/>
              <w:rPr>
                <w:rFonts w:hint="eastAsia" w:ascii="宋体" w:hAnsi="宋体" w:eastAsia="宋体" w:cs="宋体"/>
                <w:i w:val="0"/>
                <w:iCs w:val="0"/>
                <w:color w:val="000000"/>
                <w:sz w:val="18"/>
                <w:szCs w:val="18"/>
                <w:highlight w:val="none"/>
                <w:u w:val="none"/>
              </w:rPr>
            </w:pPr>
          </w:p>
        </w:tc>
      </w:tr>
      <w:tr w14:paraId="6EF8E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71C7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0ECF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3BFC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1.规格：双电源自动切换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2.电器配置详见设计系统图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3.安装方式：落地安装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4.端子接线安装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5.基础槽钢制、安、除锈刷油</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1F7F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7F269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256DA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E0B4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E4F1F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7825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1.规格：动力配电柜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2.电器配置详见设计系统图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3.安装方式：落地安装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4.端子接线安装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5.基础槽钢制、安、除锈刷油</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B744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2B970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7E2CC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BB60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9F95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B57D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1.规格：照明插座配电箱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2.电器配置详见设计系统图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3.安装方式：底边距地1.2m 暗装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4.端子接线安装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CA22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9A5AA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r>
      <w:tr w14:paraId="1F0ED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3E68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4D3D6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配电箱</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95AA1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1.规格：空调配电箱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2.电器配置详见设计系统图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3.安装方式：底边距地1.2m 暗装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4.端子接线安装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B4C5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907B5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r>
      <w:tr w14:paraId="13B76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7EF5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2B4A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插座箱</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A59F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1.规格：灭菌锅插座箱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2.电器配置详见设计系统图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3.安装方式：底边距地1.2m 暗装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4.端子接线安装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3F94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81782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1A962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6E5E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C4A7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Ups不间断电源及其附属设备安装</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5F31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1.UP主机安装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2.250KVA 380/380 30min</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257B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90AC1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0033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9D9C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A5B0A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蓄电池</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2AF1D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1.蓄电池安装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2.6-FM-120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6DB5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节</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FF263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120</w:t>
            </w:r>
          </w:p>
        </w:tc>
      </w:tr>
      <w:tr w14:paraId="4524E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DC58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36A2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蓄电池柜</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6201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1.蓄电池柜 A40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5767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EC3DC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397D3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C3E3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2686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承重支架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17C2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承重支架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5010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01019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796CC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A3E8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CC63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连接线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D5B8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电池连接线 240²mm</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F60D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CBCC9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64F26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F9262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B6278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装饰灯</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D73E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1.防潮筒灯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2.规格：9W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2.嵌入式安装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C466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CB565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r>
      <w:tr w14:paraId="6ED88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FAC5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C0905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装饰灯</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0633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1.名称洁净筒灯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2.规格：9W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2.安装方式：嵌入式安装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CBF8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16FE7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57</w:t>
            </w:r>
          </w:p>
        </w:tc>
      </w:tr>
      <w:tr w14:paraId="1E479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7C2C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F99F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装饰灯</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B6AEA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1.名称：洁净LED平板灯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2.规格：600*600；40W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2.安装方式：吸顶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C4CC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36CAC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w:t>
            </w:r>
          </w:p>
        </w:tc>
      </w:tr>
      <w:tr w14:paraId="6B032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5B55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3F0A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装饰灯</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9B94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1.名称：洁净LED平板灯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2.规格：300*1200；40W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2.安装方式：吸顶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3690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8D38F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137</w:t>
            </w:r>
          </w:p>
        </w:tc>
      </w:tr>
      <w:tr w14:paraId="13D6A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9C8B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A05D8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装饰灯</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DBDC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1.名称：洁净LED平板灯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2.规格：300*600；18W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2.安装方式：吸顶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D5DC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C6678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w:t>
            </w:r>
          </w:p>
        </w:tc>
      </w:tr>
      <w:tr w14:paraId="16C2B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39FA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D128B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A728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1.名称：支架荧光灯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2.规格：LED T5 28W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2.安装方式：支架安装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60EC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DC23B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6FDD5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8B1C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3E3F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防爆灯</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0018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1.名称：防爆灯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2.规格：YJBPY-18W  ExdⅡCT4 Gb3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2.安装方式：吸顶安装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6B2A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EA15F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3635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752B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E7A5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6908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1.名称：紫外线杀菌灯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2.规格：YJSJ02-30W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2.安装方式：专用灯架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B09C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533E7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w:t>
            </w:r>
          </w:p>
        </w:tc>
      </w:tr>
      <w:tr w14:paraId="7C355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6229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13F1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8B4C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1.名称：紫外线杀菌灯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2.规格：YJSJ02-20W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2.安装方式：专用灯架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7C6C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A773E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430E0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FC2C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39B0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荧光灯</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4D86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1.名称：紫外线杀菌灯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2.规格：YJSJ02-10W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2.安装方式：专用灯架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5520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B5114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213E8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BF1B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F09B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FF27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1.跷板暗开关单控 单联单控开关</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7FAC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9FE4A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r>
      <w:tr w14:paraId="653B6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337B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94CF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11BEC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1.跷板暗开关单控 双联单控开关</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CEEF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1800C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w:t>
            </w:r>
          </w:p>
        </w:tc>
      </w:tr>
      <w:tr w14:paraId="71815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C774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4D77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DC92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1.跷板暗开关单控 三联单控开关</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E9D5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7A135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r>
      <w:tr w14:paraId="2D7DB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EC9C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C135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4516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1.跷板暗开关单控 四联单控开关</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5667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6A18C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137A6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D231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FBBE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B342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1.跷板暗开关单控 双联单控防爆开关</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8823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DF17C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05C1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AF9E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2B285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照明开关</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C12B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1.时控开关</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053C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3D788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w:t>
            </w:r>
          </w:p>
        </w:tc>
      </w:tr>
      <w:tr w14:paraId="45D91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E6F1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09C92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6A19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1.单相二三极插座 10A</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284E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4074F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504</w:t>
            </w:r>
          </w:p>
        </w:tc>
      </w:tr>
      <w:tr w14:paraId="1A395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319E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99E3B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B294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1.单相三极插座 16A</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8134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282FE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46</w:t>
            </w:r>
          </w:p>
        </w:tc>
      </w:tr>
      <w:tr w14:paraId="5C919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0FE6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DE21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6F7E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1.单相二三极地面插座 10A</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00A25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77250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r>
      <w:tr w14:paraId="62C60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2668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E6ED2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605D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1.防水单相二三极插座 10A</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43A1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37107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r>
      <w:tr w14:paraId="07433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48AF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64EE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插座</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58BF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1.防爆插座 10A</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A34F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E2B17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CE35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0B43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DB45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接线盒</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FBF2D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1.钢制接线盒安装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549D9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2B555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1119</w:t>
            </w:r>
          </w:p>
        </w:tc>
      </w:tr>
      <w:tr w14:paraId="4242B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1F16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A6CEB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2E39C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1.穿照明线 WDZB-BYJ2.5</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E033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EC0F8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8391.6</w:t>
            </w:r>
          </w:p>
        </w:tc>
      </w:tr>
      <w:tr w14:paraId="23322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0410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C2BE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8579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1.穿照明线 WDZBN-BYJ4</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3CC5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2FDA1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12344.9</w:t>
            </w:r>
          </w:p>
        </w:tc>
      </w:tr>
      <w:tr w14:paraId="1628E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BC8C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BEBF2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C18F5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1.穿照明线 WDZBN-BYJ16</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F4AC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C1BC7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253.1</w:t>
            </w:r>
          </w:p>
        </w:tc>
      </w:tr>
      <w:tr w14:paraId="60C14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524F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A133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3CDA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1.铜芯电力电缆敷设  WDZB-YJY-4x2.5</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D462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045A8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162.4</w:t>
            </w:r>
          </w:p>
        </w:tc>
      </w:tr>
      <w:tr w14:paraId="6CCB0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0DDC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BFF9F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02726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1.铜芯电力电缆敷设  WDZB-YJY-5x2.5</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40A4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CF738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16.2</w:t>
            </w:r>
          </w:p>
        </w:tc>
      </w:tr>
      <w:tr w14:paraId="16D14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CE57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30C7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EBC2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1.铜芯电力电缆敷设  WDZB-YJY-4x6</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78A1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A81F1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41.7</w:t>
            </w:r>
          </w:p>
        </w:tc>
      </w:tr>
      <w:tr w14:paraId="31D7D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1E13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F2A8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4AAF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1.铜芯电力电缆敷设  WDZB-YJY-5x4</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2CFA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FB3B0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281.6</w:t>
            </w:r>
          </w:p>
        </w:tc>
      </w:tr>
      <w:tr w14:paraId="0E748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7E74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772D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4642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1.铜芯电力电缆敷设  WDZB-YJY-5x6</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4604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4AED3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313.2</w:t>
            </w:r>
          </w:p>
        </w:tc>
      </w:tr>
      <w:tr w14:paraId="16FBD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5F58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CBED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3C5D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1.铜芯电力电缆敷设  WDZB-YJY-5x10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90EE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53ABC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87.3</w:t>
            </w:r>
          </w:p>
        </w:tc>
      </w:tr>
      <w:tr w14:paraId="6C9F8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103B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501C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CBB8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1.铜芯电力电缆敷设  WDZB-YJY-5x16</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249F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1D887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294.8</w:t>
            </w:r>
          </w:p>
        </w:tc>
      </w:tr>
      <w:tr w14:paraId="4BC39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F178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AE37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8BB0B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1.铜芯电力电缆敷设  WDZB-YJY-4x25+1x16</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FC673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DC68D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261.6</w:t>
            </w:r>
          </w:p>
        </w:tc>
      </w:tr>
      <w:tr w14:paraId="78EBC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C112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5F6B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22ED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1.铜芯电力电缆敷设  WDZB-YJY-4x35+1x16</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5142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96FA1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48.1</w:t>
            </w:r>
          </w:p>
        </w:tc>
      </w:tr>
      <w:tr w14:paraId="248C6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9DEE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D5A4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9C1D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1.名称:RVV-3x0.5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2.敷设方式:桥架、管内敷设</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ACB3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D7E42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144.9</w:t>
            </w:r>
          </w:p>
        </w:tc>
      </w:tr>
      <w:tr w14:paraId="251F5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6C0F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F77A2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1F28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1.名称:WDZB-RYY-3x2.5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2.敷设方式:桥架、管内敷设</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016F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A2796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181</w:t>
            </w:r>
          </w:p>
        </w:tc>
      </w:tr>
      <w:tr w14:paraId="756BA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69F6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F832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小电器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C591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1.焊铜接线端子 导线截面（mm2）≤16</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620F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BF340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r>
      <w:tr w14:paraId="4089C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1517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8CCAA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电力电缆头</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F6E3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1.户内干包式电力电缆头制作、安装 干包终端头（1kV以下截面mm2以下）35</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5039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D7B68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64</w:t>
            </w:r>
          </w:p>
        </w:tc>
      </w:tr>
      <w:tr w14:paraId="69E42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00DC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E2EA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43CBB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1.砖、混凝土结构暗配 JDG20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578C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59057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1389.3</w:t>
            </w:r>
          </w:p>
        </w:tc>
      </w:tr>
      <w:tr w14:paraId="1FCBF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545F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39463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214C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1.砖、混凝土结构明配 JDG20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2.一般铁构件制作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3.一般铁构件安装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82DE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6E267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3241.7</w:t>
            </w:r>
          </w:p>
        </w:tc>
      </w:tr>
      <w:tr w14:paraId="72EAE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9A22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DCECE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0B3F0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1.砖、混凝土结构暗配 JDG32</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5FD2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95972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63.6</w:t>
            </w:r>
          </w:p>
        </w:tc>
      </w:tr>
      <w:tr w14:paraId="4B08A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EF5F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36EA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476A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1.砖、混凝土结构明配 JDG32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2.一般铁构件制作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3.一般铁构件安装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8875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5FAF8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148.3</w:t>
            </w:r>
          </w:p>
        </w:tc>
      </w:tr>
      <w:tr w14:paraId="06D15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52715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7E818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6A7F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1.砖、混凝土结构暗配 JDG40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8CB4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176D6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12.3</w:t>
            </w:r>
          </w:p>
        </w:tc>
      </w:tr>
      <w:tr w14:paraId="7CF30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5CAB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72C38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FA7A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1.砖、混凝土结构明配 JDG40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F325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555EB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28.7</w:t>
            </w:r>
          </w:p>
        </w:tc>
      </w:tr>
      <w:tr w14:paraId="1FB5E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9DDA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98611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B8FB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1.砖、混凝土结构暗配镀锌钢管 SC20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B433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90456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53.7</w:t>
            </w:r>
          </w:p>
        </w:tc>
      </w:tr>
      <w:tr w14:paraId="324C2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27D3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2512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C6D7E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1.砖、混凝土结构明配镀锌钢管 SC20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9FD2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45E6A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125.2</w:t>
            </w:r>
          </w:p>
        </w:tc>
      </w:tr>
      <w:tr w14:paraId="0480A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61B3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CB0B9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E679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1.砖、混凝土结构暗配镀锌钢管 SC32</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20DB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0D612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15.8</w:t>
            </w:r>
          </w:p>
        </w:tc>
      </w:tr>
      <w:tr w14:paraId="506AD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6918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92B9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DBC7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1.砖、混凝土结构明配镀锌钢管 SC32</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4759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8229B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36.8</w:t>
            </w:r>
          </w:p>
        </w:tc>
      </w:tr>
      <w:tr w14:paraId="685BD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E4C0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85748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C14DA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1.砖、混凝土结构暗配镀锌钢管 SC50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C49A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18535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35.2</w:t>
            </w:r>
          </w:p>
        </w:tc>
      </w:tr>
      <w:tr w14:paraId="7A337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E60D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93D3B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6EC3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1.砖、混凝土结构明配镀锌钢管 SC65</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7010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FF4C8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105.5</w:t>
            </w:r>
          </w:p>
        </w:tc>
      </w:tr>
      <w:tr w14:paraId="1FAD3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0628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19A7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F526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1.名称：热镀锌钢制槽式桥架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2.规格：100*100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3.跨接接地线</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18A1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3849E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146.4</w:t>
            </w:r>
          </w:p>
        </w:tc>
      </w:tr>
      <w:tr w14:paraId="74E46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36CF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CE9E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3957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1.名称：热镀锌钢制槽式桥架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2.规格：200*100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3.跨接接地线</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6506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802B8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47.8</w:t>
            </w:r>
          </w:p>
        </w:tc>
      </w:tr>
      <w:tr w14:paraId="31ABB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1DFD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2F23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A8A0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1.名称：热镀锌钢制槽式桥架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2.规格：300*150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3.跨接接地线</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278B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55118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28.1</w:t>
            </w:r>
          </w:p>
        </w:tc>
      </w:tr>
      <w:tr w14:paraId="585C2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6978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02B0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6E04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1.名称：热镀锌钢制槽式桥架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2.规格：400*150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3.跨接接地线</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CE00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913E9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123.3</w:t>
            </w:r>
          </w:p>
        </w:tc>
      </w:tr>
      <w:tr w14:paraId="3211E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153A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C65D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3E69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1.名称：热镀锌钢制槽式防雨桥架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2.规格：100*100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3.跨接接地线</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B0DC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3D76A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47.6</w:t>
            </w:r>
          </w:p>
        </w:tc>
      </w:tr>
      <w:tr w14:paraId="489DB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157A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869D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铁构件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24A4A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1.一般铁构件制作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2.一般铁构件安装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1EA9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70B55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450.2</w:t>
            </w:r>
          </w:p>
        </w:tc>
      </w:tr>
      <w:tr w14:paraId="7910D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99CA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7C8C9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3E63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1.手工除锈 一般钢结构轻锈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2.一般钢结构 红丹防锈漆~第一遍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3.一般钢结构 红丹防锈漆增一遍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4.一般钢结构 调和漆~第一遍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5.一般钢结构 调和漆增一遍</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86DF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FBE20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450.2</w:t>
            </w:r>
          </w:p>
        </w:tc>
      </w:tr>
      <w:tr w14:paraId="5E026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50E7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5599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等电位端子箱、 测试板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6B0C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1.局部等电位箱 LEB</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5FC0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F3964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w:t>
            </w:r>
          </w:p>
        </w:tc>
      </w:tr>
      <w:tr w14:paraId="45A01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7740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9E7F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接地母线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73B6D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1.接地母线敷设 沿桥架支架敷设 -25x4镀锌扁钢</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4DE9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F52B7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231.7</w:t>
            </w:r>
          </w:p>
        </w:tc>
      </w:tr>
      <w:tr w14:paraId="43F92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0F72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3D1B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DA28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称：桥架抗震支吊架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AADA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付</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6B717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w:t>
            </w:r>
          </w:p>
        </w:tc>
      </w:tr>
      <w:tr w14:paraId="4DD0A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5967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70D8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送配电装置系统</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B1C4A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1.送配电装置系统调试 1kV以下交流供电(综  合)</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D5C9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45AED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03D82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27AE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AA09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自动投入装置</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129C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1.自动投入装置调试 备用电源自投装置</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A360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22199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7C689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FBE320">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E594D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弱电智能化专业</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BEBF1D">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11738D">
            <w:pPr>
              <w:jc w:val="center"/>
              <w:rPr>
                <w:rFonts w:hint="eastAsia" w:ascii="宋体" w:hAnsi="宋体" w:eastAsia="宋体" w:cs="宋体"/>
                <w:i w:val="0"/>
                <w:iCs w:val="0"/>
                <w:color w:val="000000"/>
                <w:sz w:val="18"/>
                <w:szCs w:val="18"/>
                <w:highlight w:val="none"/>
                <w:u w:val="none"/>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FEA773">
            <w:pPr>
              <w:jc w:val="right"/>
              <w:rPr>
                <w:rFonts w:hint="eastAsia" w:ascii="宋体" w:hAnsi="宋体" w:eastAsia="宋体" w:cs="宋体"/>
                <w:i w:val="0"/>
                <w:iCs w:val="0"/>
                <w:color w:val="000000"/>
                <w:sz w:val="18"/>
                <w:szCs w:val="18"/>
                <w:highlight w:val="none"/>
                <w:u w:val="none"/>
              </w:rPr>
            </w:pPr>
          </w:p>
        </w:tc>
      </w:tr>
      <w:tr w14:paraId="2A9D8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F3D9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DC1EC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61F7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1.砖、混凝土结构暗配 JDG20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C983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B2E3F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492</w:t>
            </w:r>
          </w:p>
        </w:tc>
      </w:tr>
      <w:tr w14:paraId="21716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D421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C9C2D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639D3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1.砖、混凝土结构明配 JDG20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2.一般铁构件制作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3.一般铁构件安装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0311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40969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1148</w:t>
            </w:r>
          </w:p>
        </w:tc>
      </w:tr>
      <w:tr w14:paraId="3545C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7AFD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11C3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桥架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9FE0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1.名称：热镀锌钢制槽式桥架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2.规格：300*100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3.跨接接地线</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1BE7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CF2EE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273.6</w:t>
            </w:r>
          </w:p>
        </w:tc>
      </w:tr>
      <w:tr w14:paraId="3B90D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684B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AB26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2395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1.手工除锈 一般钢结构轻锈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2.一般钢结构 红丹防锈漆~第一遍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3.一般钢结构 红丹防锈漆增一遍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4.一般钢结构 调和漆~第一遍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5.一般钢结构 调和漆增一遍</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10E0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A1BE6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7E2B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519D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6842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防火封堵</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4389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1.防火板、阻火包、防火泥组合封堵</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F08C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7256C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A215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4226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D373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网络高清POE半球</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F569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1.高清半球网络摄像机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2.400万2.5寸4倍红外PTZ半球</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F0BE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C4C71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w:t>
            </w:r>
          </w:p>
        </w:tc>
      </w:tr>
      <w:tr w14:paraId="64217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B134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08CD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出入口控制设备</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996A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1、门禁控制器 双门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56F0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E8531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297C9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F5F6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0845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门禁电源</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41F8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交流输入：220VAC/50HZ,直流输出：12VDC/5A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设延时控制电路，设开门按钮输入，可直接开启电锁；自动保护功能，当电源短路等意外情况发生时，电源可暂时自动断开或熔断保险丝。</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DAB2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88FC3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1A7EE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2D48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9000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门禁读卡器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4D947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1、人脸识别、刷卡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2、外形尺寸：85*166*25.4mm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3、设备电源 DC12V/3A(不带电源，集中供电）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4、4.3英寸触摸屏</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A7CC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5A81A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6EBC8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0547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7B7F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双门磁力锁</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F226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锁体尺寸：500*45*25mm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开锁方式：断电开门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最大拉力：280KG（550LBS)*2直线拉力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输入电压：DC12V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工作电流：340mA*2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重量：4.2KG</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A83E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FE27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072A5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69DE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74883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出入口目标识别设备</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764D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1.门禁按钮安装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4E6C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16DEF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r>
      <w:tr w14:paraId="79BBA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787D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1C83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信息插座</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9407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1.单口信息插座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2.4对模块安装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1F72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7862D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61</w:t>
            </w:r>
          </w:p>
        </w:tc>
      </w:tr>
      <w:tr w14:paraId="70450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0EA2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A05B7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信息插座</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B760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1.单口电话插座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2.4对模块安装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897F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2A587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r>
      <w:tr w14:paraId="21CD7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D52B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7ECDC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信息插座</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AD7B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1.电话信息插座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2.4对模块安装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54BE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F01A1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r>
      <w:tr w14:paraId="24EC0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AA74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19F7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无线网络AP设备</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7F96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1.面板式，含RJ45模块、面板 </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79CC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3E47D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r>
      <w:tr w14:paraId="16926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00F1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4481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接线盒</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D5F6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1.钢制接线盒安装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E63A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92060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220</w:t>
            </w:r>
          </w:p>
        </w:tc>
      </w:tr>
      <w:tr w14:paraId="4C784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C8C9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E47D5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弱电机柜</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00BC4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1.产品尺寸：550*450*700mm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2.材质：冷轧钢，脱脂喷塑工艺</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D370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663E8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0FA0A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82EC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DD67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双绞线缆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46925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1、规格：六类非屏蔽双绞线 管内敷设</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14BE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38CDD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1730</w:t>
            </w:r>
          </w:p>
        </w:tc>
      </w:tr>
      <w:tr w14:paraId="75A13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097E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7F1AE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双绞线缆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0963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1、规格：六类非屏蔽双绞线 线槽桥架内敷设</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8E50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BD91A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1730</w:t>
            </w:r>
          </w:p>
        </w:tc>
      </w:tr>
      <w:tr w14:paraId="0CC0B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5D8E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6A66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网络交换机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23BA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1.网络交换机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2.8口</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5986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C6F6A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042F4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2695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66BA1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网络交换机</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EDA4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1.网络交换机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2.24口</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CDD6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27C0C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6DB59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819D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371B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显示设备</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B36D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1.液晶监控显示器</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B48C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98E9D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3D9C2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54EC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401B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录像设备</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3528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1.硬盘录像机 16路NVR</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3508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A5E5A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1067D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9B6C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B53D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录像设备</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2727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1.硬盘录像机 4路NVR</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D6BF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E13BE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FD63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3A38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A623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硬盘</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802C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1.6T硬盘</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A015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C7FA8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r>
      <w:tr w14:paraId="39B83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0CFB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89EF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Ups不间断电源及其附属设备安装</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68B0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1.UP主机安装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2.6KVA，单进单出</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4E34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891A9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E5A2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60F0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FD16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Ups不间断电源及其附属设备安装</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0831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1.UP主机安装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2.1KVA，单进单出</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113A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F5A71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2B14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51BC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9B23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蓄电池柜</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610E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1.蓄电池柜 可放置16节100AH蓄电池</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E2ED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87630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18A1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05AF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93C1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蓄电池柜</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A24D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1.蓄电池柜 可放置3节100AH蓄电池</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65CF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41E4C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10D2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FA6B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3A9F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蓄电池</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1FB50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1.蓄电池安装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2.电池额定容量100AH（20hr(25℃)）</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082CC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节</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29B82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w:t>
            </w:r>
          </w:p>
        </w:tc>
      </w:tr>
      <w:tr w14:paraId="555D5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7D9C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561A6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承重支架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7138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承重支架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0A0F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55F90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74461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C734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7462C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086F4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1.二芯单芯导线截面 WDZ-RYY2*1.0mm2</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AFF9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91784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870</w:t>
            </w:r>
          </w:p>
        </w:tc>
      </w:tr>
      <w:tr w14:paraId="20F23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169E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88C0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CB0F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1.二芯单芯导线截面 WDZ-RYY4*1.0mm2</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FC33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90BB1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500</w:t>
            </w:r>
          </w:p>
        </w:tc>
      </w:tr>
    </w:tbl>
    <w:p w14:paraId="1153B1BB">
      <w:pPr>
        <w:pStyle w:val="18"/>
        <w:tabs>
          <w:tab w:val="right" w:leader="dot" w:pos="9004"/>
        </w:tabs>
        <w:rPr>
          <w:rFonts w:hint="default"/>
          <w:color w:val="auto"/>
          <w:highlight w:val="none"/>
          <w:lang w:val="en-US" w:eastAsia="zh-CN"/>
        </w:rPr>
      </w:pP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6"/>
        <w:gridCol w:w="2952"/>
        <w:gridCol w:w="8134"/>
        <w:gridCol w:w="904"/>
        <w:gridCol w:w="1434"/>
      </w:tblGrid>
      <w:tr w14:paraId="00869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000" w:type="pct"/>
            <w:gridSpan w:val="5"/>
            <w:tcBorders>
              <w:top w:val="nil"/>
              <w:left w:val="nil"/>
              <w:bottom w:val="nil"/>
              <w:right w:val="nil"/>
            </w:tcBorders>
            <w:shd w:val="clear" w:color="auto" w:fill="FFFFFF"/>
            <w:vAlign w:val="center"/>
          </w:tcPr>
          <w:p w14:paraId="4B736813">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snapToGrid w:val="0"/>
                <w:color w:val="000000"/>
                <w:kern w:val="0"/>
                <w:sz w:val="40"/>
                <w:szCs w:val="40"/>
                <w:highlight w:val="none"/>
                <w:u w:val="none"/>
                <w:lang w:val="en-US" w:eastAsia="zh-CN" w:bidi="ar"/>
              </w:rPr>
              <w:t>2.4给排水工程</w:t>
            </w:r>
          </w:p>
        </w:tc>
      </w:tr>
      <w:tr w14:paraId="412A7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9AE9C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序号</w:t>
            </w:r>
          </w:p>
        </w:tc>
        <w:tc>
          <w:tcPr>
            <w:tcW w:w="1038"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1DD71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项目名称</w:t>
            </w:r>
          </w:p>
        </w:tc>
        <w:tc>
          <w:tcPr>
            <w:tcW w:w="286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2412B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项目特征</w:t>
            </w:r>
          </w:p>
        </w:tc>
        <w:tc>
          <w:tcPr>
            <w:tcW w:w="318"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6AAFD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计量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单位</w:t>
            </w:r>
          </w:p>
        </w:tc>
        <w:tc>
          <w:tcPr>
            <w:tcW w:w="50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4A720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工程量</w:t>
            </w:r>
          </w:p>
        </w:tc>
      </w:tr>
      <w:tr w14:paraId="6E8CC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9649B1">
            <w:pPr>
              <w:jc w:val="center"/>
              <w:rPr>
                <w:rFonts w:hint="eastAsia" w:ascii="宋体" w:hAnsi="宋体" w:eastAsia="宋体" w:cs="宋体"/>
                <w:i w:val="0"/>
                <w:iCs w:val="0"/>
                <w:color w:val="000000"/>
                <w:sz w:val="18"/>
                <w:szCs w:val="18"/>
                <w:highlight w:val="none"/>
                <w:u w:val="none"/>
              </w:rPr>
            </w:pPr>
          </w:p>
        </w:tc>
        <w:tc>
          <w:tcPr>
            <w:tcW w:w="103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94C05F">
            <w:pPr>
              <w:jc w:val="center"/>
              <w:rPr>
                <w:rFonts w:hint="eastAsia" w:ascii="宋体" w:hAnsi="宋体" w:eastAsia="宋体" w:cs="宋体"/>
                <w:i w:val="0"/>
                <w:iCs w:val="0"/>
                <w:color w:val="000000"/>
                <w:sz w:val="18"/>
                <w:szCs w:val="18"/>
                <w:highlight w:val="none"/>
                <w:u w:val="none"/>
              </w:rPr>
            </w:pPr>
          </w:p>
        </w:tc>
        <w:tc>
          <w:tcPr>
            <w:tcW w:w="286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F90DEB">
            <w:pPr>
              <w:jc w:val="center"/>
              <w:rPr>
                <w:rFonts w:hint="eastAsia" w:ascii="宋体" w:hAnsi="宋体" w:eastAsia="宋体" w:cs="宋体"/>
                <w:i w:val="0"/>
                <w:iCs w:val="0"/>
                <w:color w:val="000000"/>
                <w:sz w:val="18"/>
                <w:szCs w:val="18"/>
                <w:highlight w:val="none"/>
                <w:u w:val="none"/>
              </w:rPr>
            </w:pPr>
          </w:p>
        </w:tc>
        <w:tc>
          <w:tcPr>
            <w:tcW w:w="31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6CDCAA">
            <w:pPr>
              <w:jc w:val="center"/>
              <w:rPr>
                <w:rFonts w:hint="eastAsia" w:ascii="宋体" w:hAnsi="宋体" w:eastAsia="宋体" w:cs="宋体"/>
                <w:i w:val="0"/>
                <w:iCs w:val="0"/>
                <w:color w:val="000000"/>
                <w:sz w:val="18"/>
                <w:szCs w:val="18"/>
                <w:highlight w:val="none"/>
                <w:u w:val="none"/>
              </w:rPr>
            </w:pPr>
          </w:p>
        </w:tc>
        <w:tc>
          <w:tcPr>
            <w:tcW w:w="50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61657A">
            <w:pPr>
              <w:jc w:val="center"/>
              <w:rPr>
                <w:rFonts w:hint="eastAsia" w:ascii="宋体" w:hAnsi="宋体" w:eastAsia="宋体" w:cs="宋体"/>
                <w:i w:val="0"/>
                <w:iCs w:val="0"/>
                <w:color w:val="000000"/>
                <w:sz w:val="18"/>
                <w:szCs w:val="18"/>
                <w:highlight w:val="none"/>
                <w:u w:val="none"/>
              </w:rPr>
            </w:pPr>
          </w:p>
        </w:tc>
      </w:tr>
      <w:tr w14:paraId="0FF8D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57FB83">
            <w:pPr>
              <w:jc w:val="center"/>
              <w:rPr>
                <w:rFonts w:hint="eastAsia" w:ascii="宋体" w:hAnsi="宋体" w:eastAsia="宋体" w:cs="宋体"/>
                <w:i w:val="0"/>
                <w:iCs w:val="0"/>
                <w:color w:val="000000"/>
                <w:sz w:val="18"/>
                <w:szCs w:val="18"/>
                <w:highlight w:val="none"/>
                <w:u w:val="none"/>
              </w:rPr>
            </w:pPr>
          </w:p>
        </w:tc>
        <w:tc>
          <w:tcPr>
            <w:tcW w:w="103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6BF569">
            <w:pPr>
              <w:jc w:val="center"/>
              <w:rPr>
                <w:rFonts w:hint="eastAsia" w:ascii="宋体" w:hAnsi="宋体" w:eastAsia="宋体" w:cs="宋体"/>
                <w:i w:val="0"/>
                <w:iCs w:val="0"/>
                <w:color w:val="000000"/>
                <w:sz w:val="18"/>
                <w:szCs w:val="18"/>
                <w:highlight w:val="none"/>
                <w:u w:val="none"/>
              </w:rPr>
            </w:pPr>
          </w:p>
        </w:tc>
        <w:tc>
          <w:tcPr>
            <w:tcW w:w="286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75D460">
            <w:pPr>
              <w:jc w:val="center"/>
              <w:rPr>
                <w:rFonts w:hint="eastAsia" w:ascii="宋体" w:hAnsi="宋体" w:eastAsia="宋体" w:cs="宋体"/>
                <w:i w:val="0"/>
                <w:iCs w:val="0"/>
                <w:color w:val="000000"/>
                <w:sz w:val="18"/>
                <w:szCs w:val="18"/>
                <w:highlight w:val="none"/>
                <w:u w:val="none"/>
              </w:rPr>
            </w:pPr>
          </w:p>
        </w:tc>
        <w:tc>
          <w:tcPr>
            <w:tcW w:w="31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D8DD03">
            <w:pPr>
              <w:jc w:val="center"/>
              <w:rPr>
                <w:rFonts w:hint="eastAsia" w:ascii="宋体" w:hAnsi="宋体" w:eastAsia="宋体" w:cs="宋体"/>
                <w:i w:val="0"/>
                <w:iCs w:val="0"/>
                <w:color w:val="000000"/>
                <w:sz w:val="18"/>
                <w:szCs w:val="18"/>
                <w:highlight w:val="none"/>
                <w:u w:val="none"/>
              </w:rPr>
            </w:pPr>
          </w:p>
        </w:tc>
        <w:tc>
          <w:tcPr>
            <w:tcW w:w="50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A39842">
            <w:pPr>
              <w:jc w:val="center"/>
              <w:rPr>
                <w:rFonts w:hint="eastAsia" w:ascii="宋体" w:hAnsi="宋体" w:eastAsia="宋体" w:cs="宋体"/>
                <w:i w:val="0"/>
                <w:iCs w:val="0"/>
                <w:color w:val="000000"/>
                <w:sz w:val="18"/>
                <w:szCs w:val="18"/>
                <w:highlight w:val="none"/>
                <w:u w:val="none"/>
              </w:rPr>
            </w:pPr>
          </w:p>
        </w:tc>
      </w:tr>
      <w:tr w14:paraId="3ABD4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B1E1DF">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8817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给水部分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7474E3">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DE51DC">
            <w:pPr>
              <w:jc w:val="center"/>
              <w:rPr>
                <w:rFonts w:hint="eastAsia" w:ascii="宋体" w:hAnsi="宋体" w:eastAsia="宋体" w:cs="宋体"/>
                <w:i w:val="0"/>
                <w:iCs w:val="0"/>
                <w:color w:val="000000"/>
                <w:sz w:val="18"/>
                <w:szCs w:val="18"/>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450F16">
            <w:pPr>
              <w:jc w:val="right"/>
              <w:rPr>
                <w:rFonts w:hint="eastAsia" w:ascii="宋体" w:hAnsi="宋体" w:eastAsia="宋体" w:cs="宋体"/>
                <w:i w:val="0"/>
                <w:iCs w:val="0"/>
                <w:color w:val="000000"/>
                <w:sz w:val="18"/>
                <w:szCs w:val="18"/>
                <w:highlight w:val="none"/>
                <w:u w:val="none"/>
              </w:rPr>
            </w:pPr>
          </w:p>
        </w:tc>
      </w:tr>
      <w:tr w14:paraId="7AF89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5A83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D8D1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14213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1.材质：薄壁不锈钢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2.规格：DN15x1.0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3.连接形式:卡压连接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5.综合考虑管件类型及数量</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BD93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D7ECF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457.2</w:t>
            </w:r>
          </w:p>
        </w:tc>
      </w:tr>
      <w:tr w14:paraId="60DAE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04B3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CF96F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40133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1.材质：薄壁不锈钢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2.规格：DN20x1.2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3.连接形式:卡压连接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5.综合考虑管件类型及数量</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6B73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64DDB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167</w:t>
            </w:r>
          </w:p>
        </w:tc>
      </w:tr>
      <w:tr w14:paraId="20815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C7AB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8F4E7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3774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1.材质：薄壁不锈钢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2.规格：DN25x1.2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3.连接形式:卡压连接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5.综合考虑管件类型及数量5</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0174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67B4E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124.5</w:t>
            </w:r>
          </w:p>
        </w:tc>
      </w:tr>
      <w:tr w14:paraId="5FB90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EAE0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7E4E8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311A4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1.材质：薄壁不锈钢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2.规格：DN32x1.5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3.连接形式:卡压连接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5.综合考虑管件类型及数量5</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1A1B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B1685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110.4</w:t>
            </w:r>
          </w:p>
        </w:tc>
      </w:tr>
      <w:tr w14:paraId="796F1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8257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D00CD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620A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1.材质：薄壁不锈钢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2.规格：DN40x1.5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3.连接形式:卡压连接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5.综合考虑管件类型及数量5</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6C07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625CB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63.9</w:t>
            </w:r>
          </w:p>
        </w:tc>
      </w:tr>
      <w:tr w14:paraId="75113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E05A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4C180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00AC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1.材质：薄壁不锈钢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2.规格：DN50x1.5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3.连接形式:卡压连接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5.综合考虑管件类型及数量5</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037D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7E0E8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192.4</w:t>
            </w:r>
          </w:p>
        </w:tc>
      </w:tr>
      <w:tr w14:paraId="2DF73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A7873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5F78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铁构件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1B76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1.一般管架制作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2.一般管架安装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E289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43814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347</w:t>
            </w:r>
          </w:p>
        </w:tc>
      </w:tr>
      <w:tr w14:paraId="0D9DA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5A2C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59A3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CEF9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1.手工除锈 一般钢结构轻锈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2.一般钢结构 红丹防锈漆~第一遍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3.一般钢结构 红丹防锈漆增一遍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4.一般钢结构 调和漆~第一遍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5.一般钢结构 调和漆增一遍</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C240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2763A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347</w:t>
            </w:r>
          </w:p>
        </w:tc>
      </w:tr>
      <w:tr w14:paraId="026A1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A9D6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5029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F2A06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A9FF5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E3E0C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7F3E8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7AFE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E560B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6127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2.规格、型号：DN20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70F9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7725C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r>
      <w:tr w14:paraId="6707F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2214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96AAB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A6DE8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5827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366DB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7D1FF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2A9F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33B2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98E20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2.规格、型号：DN32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2413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58F79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7667E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4421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B978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CE02A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91A4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2F91F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23C39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BBB8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954A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0840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称：截止阀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52F6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F5B8A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01CA3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7174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30151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5B1D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称：三角阀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B877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0C7DD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97</w:t>
            </w:r>
          </w:p>
        </w:tc>
      </w:tr>
      <w:tr w14:paraId="1A540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CCA5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2BFE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9216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称：水龙头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D4F8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84E38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69C82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1A2F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24675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7955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1.名称:水表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2.规格：DN25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3.连接方式：螺纹连接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C6A6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5A9FA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F740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21C1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4DA5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B48E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1.名称:水表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2.规格：DN40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3.连接方式：螺纹连接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A2C2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8A73A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8B12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9CFD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153D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C6D1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1.名称:水表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3.连接方式：螺纹连接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B886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2446C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D2CE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C0DC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4BFB0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1A9F6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称：倒流防止器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265B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A43F8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C590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D571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8E6F0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E8476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称：倒流防止器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DC88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91319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75C0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874A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51D4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A3D6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称：Y过滤器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2.规格、型号：DN25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BBDB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A4C9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3C51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0115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21563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5926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 称：Y过滤器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39F2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83361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CFC0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FDB5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9F481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螺纹阀门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8436A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1、阀门类型：真空破坏器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2、规格、型号：DN15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A3EB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0753D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3C202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A028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F9A67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7A32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1.绝热材料品种：难燃复合铝箔的闭孔橡塑隔热保温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2.绝热厚度：详图纸说明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3.管道外径：DN50mm以内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4.保温壳外须粘贴管道标识色环（及介质流向箭头）标识色环的色彩按照国标刷涂（机房、任何外露(包括室外和没有设在室内天花板内需做保护壳）</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4A8A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BAFA1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r>
      <w:tr w14:paraId="36037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4EBE80">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AB871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排水部分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AB7DD1">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7370FA">
            <w:pPr>
              <w:jc w:val="center"/>
              <w:rPr>
                <w:rFonts w:hint="eastAsia" w:ascii="宋体" w:hAnsi="宋体" w:eastAsia="宋体" w:cs="宋体"/>
                <w:i w:val="0"/>
                <w:iCs w:val="0"/>
                <w:color w:val="000000"/>
                <w:sz w:val="18"/>
                <w:szCs w:val="18"/>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72A759">
            <w:pPr>
              <w:jc w:val="right"/>
              <w:rPr>
                <w:rFonts w:hint="eastAsia" w:ascii="宋体" w:hAnsi="宋体" w:eastAsia="宋体" w:cs="宋体"/>
                <w:i w:val="0"/>
                <w:iCs w:val="0"/>
                <w:color w:val="000000"/>
                <w:sz w:val="18"/>
                <w:szCs w:val="18"/>
                <w:highlight w:val="none"/>
                <w:u w:val="none"/>
              </w:rPr>
            </w:pPr>
          </w:p>
        </w:tc>
      </w:tr>
      <w:tr w14:paraId="071D2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8FD8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BECF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0F7CD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2.介质:排水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3.材质、规格:PP De50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4.连接形式:热熔连接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4CE8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5E4BE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230</w:t>
            </w:r>
          </w:p>
        </w:tc>
      </w:tr>
      <w:tr w14:paraId="32BE7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0E84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3F25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1D4D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2.介质:排水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3.材质、规格:PP De75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4.连接形式:热熔连接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A83B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345C7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245</w:t>
            </w:r>
          </w:p>
        </w:tc>
      </w:tr>
      <w:tr w14:paraId="1BB19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7ED9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0BD9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5666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2.介质:排水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3.材质、规格:PP De110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4.连接形式:热熔连接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D6D8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B5C62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115.4</w:t>
            </w:r>
          </w:p>
        </w:tc>
      </w:tr>
      <w:tr w14:paraId="71D12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CC07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99347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424E5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2.介质:排水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3.材质、规格:UPVC De50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4.连接形式:承插粘接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474D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084BD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r>
      <w:tr w14:paraId="1DE5E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5214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66E4D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1734F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2.介质:排水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3.材质、规格:UPVC De75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4.连接形式:承插粘接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EFF6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4F06C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r>
      <w:tr w14:paraId="635B8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955E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496D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塑料管</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6D37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1.安装部位:室内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2.介质:排水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3.材质、规格:UPVC De110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4.连接形式:承插粘接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E1FD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F2043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r>
      <w:tr w14:paraId="21D6E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7C1B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E39CC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FA11E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1.高水封地漏安装 DN50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BBD3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BF803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r>
      <w:tr w14:paraId="40095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8905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0438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E1D8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1.高水封地漏安装 DN75</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52A1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62BC5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597E8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4CA4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2E66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31A7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1.高水封地漏安装 DN100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96EF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BA895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5C2DA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2787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5CDBA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给、排水附(配)件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944CD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1、塑料清扫口 DN100</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D755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CB672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r>
      <w:tr w14:paraId="3446F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0B19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2A0FB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开孔（打洞）</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D9E0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1.混凝土楼板钻孔 直径 （mm以内）108</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FDB0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4F98A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96</w:t>
            </w:r>
          </w:p>
        </w:tc>
      </w:tr>
      <w:tr w14:paraId="51B41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DCF2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A3B8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ECEA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1.材质:角钢支架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2.其他:包含支架的制作安装及除锈、喷漆等,符合设计要求及规范要求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0FC6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A09D9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302</w:t>
            </w:r>
          </w:p>
        </w:tc>
      </w:tr>
      <w:tr w14:paraId="137DA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96B4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07B3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0FB6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称：水管抗震支吊架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5120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40CBF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r>
      <w:tr w14:paraId="28D5F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FDA0DB">
            <w:pPr>
              <w:jc w:val="center"/>
              <w:rPr>
                <w:rFonts w:hint="eastAsia" w:ascii="宋体" w:hAnsi="宋体" w:eastAsia="宋体" w:cs="宋体"/>
                <w:i w:val="0"/>
                <w:iCs w:val="0"/>
                <w:color w:val="000000"/>
                <w:sz w:val="18"/>
                <w:szCs w:val="18"/>
                <w:highlight w:val="none"/>
                <w:u w:val="none"/>
              </w:rPr>
            </w:pP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A91C2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卫生器具部分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90CCD4">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66021C">
            <w:pPr>
              <w:jc w:val="center"/>
              <w:rPr>
                <w:rFonts w:hint="eastAsia" w:ascii="宋体" w:hAnsi="宋体" w:eastAsia="宋体" w:cs="宋体"/>
                <w:i w:val="0"/>
                <w:iCs w:val="0"/>
                <w:color w:val="000000"/>
                <w:sz w:val="18"/>
                <w:szCs w:val="18"/>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8D149B">
            <w:pPr>
              <w:jc w:val="right"/>
              <w:rPr>
                <w:rFonts w:hint="eastAsia" w:ascii="宋体" w:hAnsi="宋体" w:eastAsia="宋体" w:cs="宋体"/>
                <w:i w:val="0"/>
                <w:iCs w:val="0"/>
                <w:color w:val="000000"/>
                <w:sz w:val="18"/>
                <w:szCs w:val="18"/>
                <w:highlight w:val="none"/>
                <w:u w:val="none"/>
              </w:rPr>
            </w:pPr>
          </w:p>
        </w:tc>
      </w:tr>
      <w:tr w14:paraId="10287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0F4E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35EF4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洗脸盆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856D8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1.名称：感应式立式洗手盆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2.材质：陶瓷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3.规格、类型：立式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4.附件名称、数量 包含水龙头、三角阀、金属软管等全部安装附件</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3230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42C70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w:t>
            </w:r>
          </w:p>
        </w:tc>
      </w:tr>
      <w:tr w14:paraId="47A9C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1542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D244C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洗脸盆</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47CA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1.名称：柜式洗脸盆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2.规格：800*500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3.含器具、冷热混合水嘴、五金件等所有附件安装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4.类型：陶瓷水盆、实木或铝合金柜体</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6D77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DCDE1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7242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05DF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8006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大便器</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FA2DA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1.名称：蹲便器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2.材质：陶瓷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3.规格、类型：节水型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4.附件名称、数量：含脚踏阀等附件安装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988C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3D966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1DA34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28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057E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42</w:t>
            </w:r>
          </w:p>
        </w:tc>
        <w:tc>
          <w:tcPr>
            <w:tcW w:w="103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87AA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其他成品卫生器具</w:t>
            </w:r>
          </w:p>
        </w:tc>
        <w:tc>
          <w:tcPr>
            <w:tcW w:w="2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BACF8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 陶瓷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2.规格、类型:500mmx500mm以内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3.附件名称、数量:下水、水龙头等附件安装</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BC3B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组</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83BA9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bl>
    <w:p w14:paraId="04B95177">
      <w:pPr>
        <w:rPr>
          <w:rFonts w:hint="default"/>
          <w:color w:val="auto"/>
          <w:highlight w:val="none"/>
          <w:lang w:val="en-US" w:eastAsia="zh-CN"/>
        </w:rPr>
      </w:pPr>
    </w:p>
    <w:p w14:paraId="1BB8A310">
      <w:pPr>
        <w:rPr>
          <w:rFonts w:hint="default"/>
          <w:color w:val="auto"/>
          <w:highlight w:val="none"/>
          <w:lang w:val="en-US" w:eastAsia="zh-CN"/>
        </w:rPr>
      </w:pP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6"/>
        <w:gridCol w:w="2907"/>
        <w:gridCol w:w="8009"/>
        <w:gridCol w:w="890"/>
        <w:gridCol w:w="1408"/>
      </w:tblGrid>
      <w:tr w14:paraId="540D5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000" w:type="pct"/>
            <w:gridSpan w:val="5"/>
            <w:tcBorders>
              <w:top w:val="nil"/>
              <w:left w:val="nil"/>
              <w:bottom w:val="nil"/>
              <w:right w:val="nil"/>
            </w:tcBorders>
            <w:shd w:val="clear" w:color="auto" w:fill="FFFFFF"/>
            <w:vAlign w:val="center"/>
          </w:tcPr>
          <w:p w14:paraId="4C8B91AD">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snapToGrid w:val="0"/>
                <w:color w:val="000000"/>
                <w:kern w:val="0"/>
                <w:sz w:val="40"/>
                <w:szCs w:val="40"/>
                <w:highlight w:val="none"/>
                <w:u w:val="none"/>
                <w:lang w:val="en-US" w:eastAsia="zh-CN" w:bidi="ar"/>
              </w:rPr>
              <w:t>2.5实验室设备工程</w:t>
            </w:r>
          </w:p>
        </w:tc>
      </w:tr>
      <w:tr w14:paraId="01766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5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7F310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序号</w:t>
            </w:r>
          </w:p>
        </w:tc>
        <w:tc>
          <w:tcPr>
            <w:tcW w:w="1022"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FDCE4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项目名称</w:t>
            </w:r>
          </w:p>
        </w:tc>
        <w:tc>
          <w:tcPr>
            <w:tcW w:w="28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5F6F7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项目特征</w:t>
            </w:r>
          </w:p>
        </w:tc>
        <w:tc>
          <w:tcPr>
            <w:tcW w:w="31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1B312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计量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单位</w:t>
            </w:r>
          </w:p>
        </w:tc>
        <w:tc>
          <w:tcPr>
            <w:tcW w:w="49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0A1F2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工程量</w:t>
            </w:r>
          </w:p>
        </w:tc>
      </w:tr>
      <w:tr w14:paraId="37150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670DDC">
            <w:pPr>
              <w:jc w:val="center"/>
              <w:rPr>
                <w:rFonts w:hint="eastAsia" w:ascii="宋体" w:hAnsi="宋体" w:eastAsia="宋体" w:cs="宋体"/>
                <w:i w:val="0"/>
                <w:iCs w:val="0"/>
                <w:color w:val="000000"/>
                <w:sz w:val="18"/>
                <w:szCs w:val="18"/>
                <w:highlight w:val="none"/>
                <w:u w:val="none"/>
              </w:rPr>
            </w:pPr>
          </w:p>
        </w:tc>
        <w:tc>
          <w:tcPr>
            <w:tcW w:w="1022"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58D448">
            <w:pPr>
              <w:jc w:val="center"/>
              <w:rPr>
                <w:rFonts w:hint="eastAsia" w:ascii="宋体" w:hAnsi="宋体" w:eastAsia="宋体" w:cs="宋体"/>
                <w:i w:val="0"/>
                <w:iCs w:val="0"/>
                <w:color w:val="000000"/>
                <w:sz w:val="18"/>
                <w:szCs w:val="18"/>
                <w:highlight w:val="none"/>
                <w:u w:val="none"/>
              </w:rPr>
            </w:pPr>
          </w:p>
        </w:tc>
        <w:tc>
          <w:tcPr>
            <w:tcW w:w="28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A7F2A6">
            <w:pPr>
              <w:jc w:val="center"/>
              <w:rPr>
                <w:rFonts w:hint="eastAsia" w:ascii="宋体" w:hAnsi="宋体" w:eastAsia="宋体" w:cs="宋体"/>
                <w:i w:val="0"/>
                <w:iCs w:val="0"/>
                <w:color w:val="000000"/>
                <w:sz w:val="18"/>
                <w:szCs w:val="18"/>
                <w:highlight w:val="none"/>
                <w:u w:val="none"/>
              </w:rPr>
            </w:pPr>
          </w:p>
        </w:tc>
        <w:tc>
          <w:tcPr>
            <w:tcW w:w="31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D0C736">
            <w:pPr>
              <w:jc w:val="center"/>
              <w:rPr>
                <w:rFonts w:hint="eastAsia" w:ascii="宋体" w:hAnsi="宋体" w:eastAsia="宋体" w:cs="宋体"/>
                <w:i w:val="0"/>
                <w:iCs w:val="0"/>
                <w:color w:val="000000"/>
                <w:sz w:val="18"/>
                <w:szCs w:val="18"/>
                <w:highlight w:val="none"/>
                <w:u w:val="none"/>
              </w:rPr>
            </w:pPr>
          </w:p>
        </w:tc>
        <w:tc>
          <w:tcPr>
            <w:tcW w:w="49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2E8279">
            <w:pPr>
              <w:jc w:val="center"/>
              <w:rPr>
                <w:rFonts w:hint="eastAsia" w:ascii="宋体" w:hAnsi="宋体" w:eastAsia="宋体" w:cs="宋体"/>
                <w:i w:val="0"/>
                <w:iCs w:val="0"/>
                <w:color w:val="000000"/>
                <w:sz w:val="18"/>
                <w:szCs w:val="18"/>
                <w:highlight w:val="none"/>
                <w:u w:val="none"/>
              </w:rPr>
            </w:pPr>
          </w:p>
        </w:tc>
      </w:tr>
      <w:tr w14:paraId="27A78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5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19DA52">
            <w:pPr>
              <w:jc w:val="center"/>
              <w:rPr>
                <w:rFonts w:hint="eastAsia" w:ascii="宋体" w:hAnsi="宋体" w:eastAsia="宋体" w:cs="宋体"/>
                <w:i w:val="0"/>
                <w:iCs w:val="0"/>
                <w:color w:val="000000"/>
                <w:sz w:val="18"/>
                <w:szCs w:val="18"/>
                <w:highlight w:val="none"/>
                <w:u w:val="none"/>
              </w:rPr>
            </w:pPr>
          </w:p>
        </w:tc>
        <w:tc>
          <w:tcPr>
            <w:tcW w:w="1022"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BEFBE10">
            <w:pPr>
              <w:jc w:val="center"/>
              <w:rPr>
                <w:rFonts w:hint="eastAsia" w:ascii="宋体" w:hAnsi="宋体" w:eastAsia="宋体" w:cs="宋体"/>
                <w:i w:val="0"/>
                <w:iCs w:val="0"/>
                <w:color w:val="000000"/>
                <w:sz w:val="18"/>
                <w:szCs w:val="18"/>
                <w:highlight w:val="none"/>
                <w:u w:val="none"/>
              </w:rPr>
            </w:pPr>
          </w:p>
        </w:tc>
        <w:tc>
          <w:tcPr>
            <w:tcW w:w="28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BD5B74">
            <w:pPr>
              <w:jc w:val="center"/>
              <w:rPr>
                <w:rFonts w:hint="eastAsia" w:ascii="宋体" w:hAnsi="宋体" w:eastAsia="宋体" w:cs="宋体"/>
                <w:i w:val="0"/>
                <w:iCs w:val="0"/>
                <w:color w:val="000000"/>
                <w:sz w:val="18"/>
                <w:szCs w:val="18"/>
                <w:highlight w:val="none"/>
                <w:u w:val="none"/>
              </w:rPr>
            </w:pPr>
          </w:p>
        </w:tc>
        <w:tc>
          <w:tcPr>
            <w:tcW w:w="31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1752C9">
            <w:pPr>
              <w:jc w:val="center"/>
              <w:rPr>
                <w:rFonts w:hint="eastAsia" w:ascii="宋体" w:hAnsi="宋体" w:eastAsia="宋体" w:cs="宋体"/>
                <w:i w:val="0"/>
                <w:iCs w:val="0"/>
                <w:color w:val="000000"/>
                <w:sz w:val="18"/>
                <w:szCs w:val="18"/>
                <w:highlight w:val="none"/>
                <w:u w:val="none"/>
              </w:rPr>
            </w:pPr>
          </w:p>
        </w:tc>
        <w:tc>
          <w:tcPr>
            <w:tcW w:w="49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CFE9A1">
            <w:pPr>
              <w:jc w:val="center"/>
              <w:rPr>
                <w:rFonts w:hint="eastAsia" w:ascii="宋体" w:hAnsi="宋体" w:eastAsia="宋体" w:cs="宋体"/>
                <w:i w:val="0"/>
                <w:iCs w:val="0"/>
                <w:color w:val="000000"/>
                <w:sz w:val="18"/>
                <w:szCs w:val="18"/>
                <w:highlight w:val="none"/>
                <w:u w:val="none"/>
              </w:rPr>
            </w:pPr>
          </w:p>
        </w:tc>
      </w:tr>
      <w:tr w14:paraId="5C73C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E532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A00B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边台</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DE38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规格：Mx750x800mm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1、台面部分采用实验室专用12.7mm厚实芯理化板制作而成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2、柜体及抽屉门板整体采用1.2mm优质冷轧钢板制作而成</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8A18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7AF80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164.9</w:t>
            </w:r>
          </w:p>
        </w:tc>
      </w:tr>
      <w:tr w14:paraId="43106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3A593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43DB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转角台</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C416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规格：1000x1000x800mm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1、台面部分采用实验室专用12.7mm厚实芯理化板制作而成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2、柜体及抽屉门板整体采用1.2mm优质冷轧钢板制作而成</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9EC4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DF5D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r>
      <w:tr w14:paraId="2A794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3CC8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E93C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仪器台</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0D549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规格：Mx900x800mm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1、台面部分采用实验室专用12.7mm厚实芯理化板制作而成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2、柜体及抽屉门板整体采用1.2mm优质冷轧钢板制作而成</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9D76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E6062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15.3</w:t>
            </w:r>
          </w:p>
        </w:tc>
      </w:tr>
      <w:tr w14:paraId="49B17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BFAD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D229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中央实验台</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000AE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规格：M*1500*800mm，全钢结构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1、台面部分采用实验室专用12.7mm厚实芯理化板制作而成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2、柜体及抽屉门板整体采用1.2mm优质冷轧钢板制作而成</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76C9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米</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D08B9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16.8</w:t>
            </w:r>
          </w:p>
        </w:tc>
      </w:tr>
      <w:tr w14:paraId="0B991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87FD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E524C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立式紧急喷淋洗眼器</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E8798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室内安装，由淋浴喷头、洗眼器立柱、底座、等组成，不锈钢水盆采用304无毒材料,防腐蚀性能良好，喷淋器的出水量为120升/分钟-----180升/分钟，流量12-15升/分,常温水，操作压力为水压0.35mpa,洗眼器开启时间≤6S,洗眼器的流量≥1.5L/min。</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1048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9F53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610FE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2048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D09BA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台式紧急洗眼器</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BD585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PP材质外壳，内部全铜材质，可自由旋转,洗眼器开启时间≤6S,洗眼器的流量≥1.5L/min。</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A510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A2910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r>
      <w:tr w14:paraId="5E99D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E0A2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8722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一体成型中水盆</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FE4D8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规格：550*450*310mm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1、环氧树脂，含下水连接管件</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96E5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9A07D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w:t>
            </w:r>
          </w:p>
        </w:tc>
      </w:tr>
      <w:tr w14:paraId="029D4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6672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2845E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三口化水龙头</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2D11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开关旋钮：高密度PP/ABS，出水口PVC材料， 阀门：为精密陶瓷阀芯，鹅颈管：可360°旋转带上水软管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1、主体为加厚铜质。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2、涂层为亚光环氧树脂，耐腐蚀、耐热、防紫外线辐射。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3、陶瓷阀芯 90°旋转，使用寿命开关 50 万次，静态最大耐压 10 巴。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4、可拆卸铜质水嘴、可加接防溅滤水器。 5、开关旋钮：高密度 PP，人体工学设计，手感舒适。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6、鹅颈管：可 360°旋转。</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4951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3EDA8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w:t>
            </w:r>
          </w:p>
        </w:tc>
      </w:tr>
      <w:tr w14:paraId="74AD0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3E30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BF58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试剂柜</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4B65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规格：900*450*1800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1、外壳：采用 1.0mm 厚优质冷轧钢板在数控中心、剪裁、定位打孔、折弯焊 接后成型，酸洗磷化处理后喷涂环氧树脂粉末高温烘烤固化，附着力强，表面特 硬，抗腐蚀，外形美观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2、柜门：柜门为双开，配置全钢加玻璃门组合。采用 1.0mm 优质冷轧钢板， 无焊连接可拆卸带减震垫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3、层板：层板采用 1.0mm 优质冷轧钢板在数控中心、剪裁、定位打孔、折弯 焊接后成型，酸洗磷化处理后，喷涂环氧树脂粉末高温烘烤固化，层高可以自动 调节</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A8E7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41D49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r>
      <w:tr w14:paraId="07596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DCC8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363B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气瓶柜</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9DB0C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规格：900*450*1800钢结构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1、采用1.2mm厚的优质冷轧钢板构造（烤漆完厚度达1.2MM左右 ）</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D6FF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79375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r>
      <w:tr w14:paraId="6906C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DEEF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4B9F6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更衣柜</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F13E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规格：900*450*1800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1、全钢结构，可以分为双门、三门、多门等的规格，内置晾衣杆、放鞋区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2、外侧采用 1.0mm 厚优质冷轧钢板，经剪切，冲压，折弯，焊接，装配而 成，表面环氧树脂静电喷涂，高温固化，表面附着力高，硬度及防腐蚀性良好， 外形良好。 3、配有一字型拉手、防震可调节脚</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7A07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A4015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r>
      <w:tr w14:paraId="47492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4651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5C72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货架</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51CB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规格：1500*500*2000</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5D10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BF7C6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w:t>
            </w:r>
          </w:p>
        </w:tc>
      </w:tr>
      <w:tr w14:paraId="3D713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93BA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013F2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万向罩</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33F5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规格：3.15米*φ75</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7CEA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6752E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15949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9AC3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DFA72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不锈钢排气罩</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E940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1、材质：304不锈钢板，标厚1.0MM（足厚0.8MM）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2、结构：整焊/高度伸缩200MM</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A830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AD37D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15CA9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936F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692A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钢制通风柜</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0B69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1、台式1500*850*2350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2、柜体：裸板1.0mm厚冷轧钢板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3、电路：液晶控制面板，LED灯，10A防溅插座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4、内衬板：4mm抗倍特板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5、导流板：4mm抗倍特板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6、移动滑门：4mm钢化玻璃(台式和桌上型门玻璃分左、右两片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7、结构：拆装式+同步带轮标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8、配色：高光白</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9700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CE64D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A6F9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460C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E826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超净工作台</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7C16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1、过滤器尺寸：1220mm ×630mm×69mm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2、额定功率：800 W(电源消耗功率包括柜体插座负载的功率（单个负载不能超过500W）)；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3、气流流速：0.30～0.45m/s；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4、紫外灯功率：30W；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5、LED日光灯功率：12W；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6、噪音≤65dB(A)；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7、风机：1370 RPM，功率180W；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8、产品安全性：菌落数≤0.5CFU/30min；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9、照明：≥300lx；</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8DD0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9F55D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51D06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1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EA9C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A65C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超净工作台</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A78C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1、过滤器尺寸：1420mm ×630mm×69mm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2、额定功率：1300 W(电源消耗功率包括柜体插座负载的功率（负载不能超过500W）)；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3、气流流速：0.30～0.45m/s；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4、紫外灯功率：30W；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5、LED日光灯功率：16W；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6、工作台到地面高度：750mm；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7、噪音≤65dB(A)；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8、风机：1370 RPM，功率180W；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9、产品安全性：菌落数≤0.5CFU/30min；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10、照明：≥300lx；</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DE23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95CFA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EA7B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5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9912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3F95C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生物安全柜</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08A44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1、分类：A2型，30%外排，70%循环、</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2、台面距离地面高度：750mm（尺寸可根据要求订制修改）</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3、风速： 平均下降风速：0.33±0.025m/s； 平均吸入口风速0.53±0.025m/s</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4、系统排风总量：460 m3/h</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5、额定功率：1800W（包含操作区插座负载500W，常规运行1300W）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6、噪音等级：≤67dB（A）</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7、照明：≥1000 lx</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8、过滤效率:送风和排风过滤器均采用世界知名品牌的硼硅酸盐玻璃纤维材质的ULPA高效过滤器，对0.12μm颗粒过滤效率≥99.9995%</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4666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6B2A7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r>
      <w:tr w14:paraId="55522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F435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8F82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生物安全柜</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73C2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1、B2型，100%外排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2、台面距离地面高度：750mm（尺寸可根据要求订制修改）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3、风速： 平均下降风速：0.33±0.025m/s； 平均吸入口风速0.53±0.025m/s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4、系统排风总量：1270 m³/h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5、额定功率：1800W（包含操作区插座负载500W）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6、噪音等级：≤67dB（A）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7、照明：≥1000lx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8、过滤效率:送风和排风过滤器均采用世界知名品牌的硼硅酸盐玻璃纤维材质的ULPA高效过滤器，对0.12μm颗粒过滤效率≥99.9995%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重量：毛重300KG净重 279KG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 xml:space="preserve">外排风机毛重60KG 外排风机净重55KG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使用人数：1—2人</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8007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3BA6B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69D2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8C65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A2DC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不锈钢水槽柜</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1F35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规格：700*600*800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1、大单槽 感应龙头</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D12B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DE325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r>
      <w:tr w14:paraId="11EF5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356E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7B47B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不锈钢水槽柜</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AFFB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 xml:space="preserve">规格：1500*600*800 </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1、大单槽 感应龙头</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ADC0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D411D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59CC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3643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w:t>
            </w:r>
          </w:p>
        </w:tc>
        <w:tc>
          <w:tcPr>
            <w:tcW w:w="102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9BBA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不锈钢货架</w:t>
            </w:r>
          </w:p>
        </w:tc>
        <w:tc>
          <w:tcPr>
            <w:tcW w:w="28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D520A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（边台上）</w:t>
            </w:r>
          </w:p>
        </w:tc>
        <w:tc>
          <w:tcPr>
            <w:tcW w:w="31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BD6F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2791D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r>
    </w:tbl>
    <w:p w14:paraId="4DA82B83">
      <w:pPr>
        <w:pStyle w:val="18"/>
        <w:tabs>
          <w:tab w:val="right" w:leader="dot" w:pos="9004"/>
        </w:tabs>
        <w:rPr>
          <w:rFonts w:hint="default"/>
          <w:color w:val="auto"/>
          <w:highlight w:val="none"/>
          <w:lang w:val="en-US" w:eastAsia="zh-CN"/>
        </w:rPr>
      </w:pP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2"/>
        <w:gridCol w:w="2949"/>
        <w:gridCol w:w="8131"/>
        <w:gridCol w:w="904"/>
        <w:gridCol w:w="1434"/>
      </w:tblGrid>
      <w:tr w14:paraId="6EB7D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000" w:type="pct"/>
            <w:gridSpan w:val="5"/>
            <w:tcBorders>
              <w:top w:val="nil"/>
              <w:left w:val="nil"/>
              <w:bottom w:val="nil"/>
              <w:right w:val="nil"/>
            </w:tcBorders>
            <w:shd w:val="clear" w:color="auto" w:fill="FFFFFF"/>
            <w:vAlign w:val="center"/>
          </w:tcPr>
          <w:p w14:paraId="1AF5B790">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snapToGrid w:val="0"/>
                <w:color w:val="000000"/>
                <w:kern w:val="0"/>
                <w:sz w:val="40"/>
                <w:szCs w:val="40"/>
                <w:highlight w:val="none"/>
                <w:u w:val="none"/>
                <w:lang w:val="en-US" w:eastAsia="zh-CN" w:bidi="ar"/>
              </w:rPr>
              <w:t>3、放射防护工程</w:t>
            </w:r>
          </w:p>
        </w:tc>
      </w:tr>
      <w:tr w14:paraId="73341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2"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4B531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序号</w:t>
            </w:r>
          </w:p>
        </w:tc>
        <w:tc>
          <w:tcPr>
            <w:tcW w:w="103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454EA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项目名称</w:t>
            </w:r>
          </w:p>
        </w:tc>
        <w:tc>
          <w:tcPr>
            <w:tcW w:w="2859"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2E14B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项目特征</w:t>
            </w:r>
          </w:p>
        </w:tc>
        <w:tc>
          <w:tcPr>
            <w:tcW w:w="318"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6FA96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计量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单位</w:t>
            </w:r>
          </w:p>
        </w:tc>
        <w:tc>
          <w:tcPr>
            <w:tcW w:w="50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5754C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工程量</w:t>
            </w:r>
          </w:p>
        </w:tc>
      </w:tr>
      <w:tr w14:paraId="0A663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2"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5C5F1E">
            <w:pPr>
              <w:jc w:val="center"/>
              <w:rPr>
                <w:rFonts w:hint="eastAsia" w:ascii="宋体" w:hAnsi="宋体" w:eastAsia="宋体" w:cs="宋体"/>
                <w:i w:val="0"/>
                <w:iCs w:val="0"/>
                <w:color w:val="000000"/>
                <w:sz w:val="18"/>
                <w:szCs w:val="18"/>
                <w:highlight w:val="none"/>
                <w:u w:val="none"/>
              </w:rPr>
            </w:pPr>
          </w:p>
        </w:tc>
        <w:tc>
          <w:tcPr>
            <w:tcW w:w="103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02A324">
            <w:pPr>
              <w:jc w:val="center"/>
              <w:rPr>
                <w:rFonts w:hint="eastAsia" w:ascii="宋体" w:hAnsi="宋体" w:eastAsia="宋体" w:cs="宋体"/>
                <w:i w:val="0"/>
                <w:iCs w:val="0"/>
                <w:color w:val="000000"/>
                <w:sz w:val="18"/>
                <w:szCs w:val="18"/>
                <w:highlight w:val="none"/>
                <w:u w:val="none"/>
              </w:rPr>
            </w:pPr>
          </w:p>
        </w:tc>
        <w:tc>
          <w:tcPr>
            <w:tcW w:w="285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256783">
            <w:pPr>
              <w:jc w:val="center"/>
              <w:rPr>
                <w:rFonts w:hint="eastAsia" w:ascii="宋体" w:hAnsi="宋体" w:eastAsia="宋体" w:cs="宋体"/>
                <w:i w:val="0"/>
                <w:iCs w:val="0"/>
                <w:color w:val="000000"/>
                <w:sz w:val="18"/>
                <w:szCs w:val="18"/>
                <w:highlight w:val="none"/>
                <w:u w:val="none"/>
              </w:rPr>
            </w:pPr>
          </w:p>
        </w:tc>
        <w:tc>
          <w:tcPr>
            <w:tcW w:w="31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8F729C">
            <w:pPr>
              <w:jc w:val="center"/>
              <w:rPr>
                <w:rFonts w:hint="eastAsia" w:ascii="宋体" w:hAnsi="宋体" w:eastAsia="宋体" w:cs="宋体"/>
                <w:i w:val="0"/>
                <w:iCs w:val="0"/>
                <w:color w:val="000000"/>
                <w:sz w:val="18"/>
                <w:szCs w:val="18"/>
                <w:highlight w:val="none"/>
                <w:u w:val="none"/>
              </w:rPr>
            </w:pPr>
          </w:p>
        </w:tc>
        <w:tc>
          <w:tcPr>
            <w:tcW w:w="50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45A6456">
            <w:pPr>
              <w:jc w:val="center"/>
              <w:rPr>
                <w:rFonts w:hint="eastAsia" w:ascii="宋体" w:hAnsi="宋体" w:eastAsia="宋体" w:cs="宋体"/>
                <w:i w:val="0"/>
                <w:iCs w:val="0"/>
                <w:color w:val="000000"/>
                <w:sz w:val="18"/>
                <w:szCs w:val="18"/>
                <w:highlight w:val="none"/>
                <w:u w:val="none"/>
              </w:rPr>
            </w:pPr>
          </w:p>
        </w:tc>
      </w:tr>
      <w:tr w14:paraId="72DCA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2"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38B652">
            <w:pPr>
              <w:jc w:val="center"/>
              <w:rPr>
                <w:rFonts w:hint="eastAsia" w:ascii="宋体" w:hAnsi="宋体" w:eastAsia="宋体" w:cs="宋体"/>
                <w:i w:val="0"/>
                <w:iCs w:val="0"/>
                <w:color w:val="000000"/>
                <w:sz w:val="18"/>
                <w:szCs w:val="18"/>
                <w:highlight w:val="none"/>
                <w:u w:val="none"/>
              </w:rPr>
            </w:pPr>
          </w:p>
        </w:tc>
        <w:tc>
          <w:tcPr>
            <w:tcW w:w="103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3A294F">
            <w:pPr>
              <w:jc w:val="center"/>
              <w:rPr>
                <w:rFonts w:hint="eastAsia" w:ascii="宋体" w:hAnsi="宋体" w:eastAsia="宋体" w:cs="宋体"/>
                <w:i w:val="0"/>
                <w:iCs w:val="0"/>
                <w:color w:val="000000"/>
                <w:sz w:val="18"/>
                <w:szCs w:val="18"/>
                <w:highlight w:val="none"/>
                <w:u w:val="none"/>
              </w:rPr>
            </w:pPr>
          </w:p>
        </w:tc>
        <w:tc>
          <w:tcPr>
            <w:tcW w:w="285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E2E16D">
            <w:pPr>
              <w:jc w:val="center"/>
              <w:rPr>
                <w:rFonts w:hint="eastAsia" w:ascii="宋体" w:hAnsi="宋体" w:eastAsia="宋体" w:cs="宋体"/>
                <w:i w:val="0"/>
                <w:iCs w:val="0"/>
                <w:color w:val="000000"/>
                <w:sz w:val="18"/>
                <w:szCs w:val="18"/>
                <w:highlight w:val="none"/>
                <w:u w:val="none"/>
              </w:rPr>
            </w:pPr>
          </w:p>
        </w:tc>
        <w:tc>
          <w:tcPr>
            <w:tcW w:w="31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345808">
            <w:pPr>
              <w:jc w:val="center"/>
              <w:rPr>
                <w:rFonts w:hint="eastAsia" w:ascii="宋体" w:hAnsi="宋体" w:eastAsia="宋体" w:cs="宋体"/>
                <w:i w:val="0"/>
                <w:iCs w:val="0"/>
                <w:color w:val="000000"/>
                <w:sz w:val="18"/>
                <w:szCs w:val="18"/>
                <w:highlight w:val="none"/>
                <w:u w:val="none"/>
              </w:rPr>
            </w:pPr>
          </w:p>
        </w:tc>
        <w:tc>
          <w:tcPr>
            <w:tcW w:w="50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2DDBCB">
            <w:pPr>
              <w:jc w:val="center"/>
              <w:rPr>
                <w:rFonts w:hint="eastAsia" w:ascii="宋体" w:hAnsi="宋体" w:eastAsia="宋体" w:cs="宋体"/>
                <w:i w:val="0"/>
                <w:iCs w:val="0"/>
                <w:color w:val="000000"/>
                <w:sz w:val="18"/>
                <w:szCs w:val="18"/>
                <w:highlight w:val="none"/>
                <w:u w:val="none"/>
              </w:rPr>
            </w:pPr>
          </w:p>
        </w:tc>
      </w:tr>
      <w:tr w14:paraId="07D00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C94792">
            <w:pPr>
              <w:jc w:val="center"/>
              <w:rPr>
                <w:rFonts w:hint="eastAsia" w:ascii="宋体" w:hAnsi="宋体" w:eastAsia="宋体" w:cs="宋体"/>
                <w:i w:val="0"/>
                <w:iCs w:val="0"/>
                <w:color w:val="000000"/>
                <w:sz w:val="18"/>
                <w:szCs w:val="18"/>
                <w:highlight w:val="none"/>
                <w:u w:val="none"/>
              </w:rPr>
            </w:pP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EF817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地下二层X线机房</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5729F4">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B8A89A">
            <w:pPr>
              <w:jc w:val="center"/>
              <w:rPr>
                <w:rFonts w:hint="eastAsia" w:ascii="宋体" w:hAnsi="宋体" w:eastAsia="宋体" w:cs="宋体"/>
                <w:i w:val="0"/>
                <w:iCs w:val="0"/>
                <w:color w:val="000000"/>
                <w:sz w:val="18"/>
                <w:szCs w:val="18"/>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FC51D1">
            <w:pPr>
              <w:jc w:val="right"/>
              <w:rPr>
                <w:rFonts w:hint="eastAsia" w:ascii="宋体" w:hAnsi="宋体" w:eastAsia="宋体" w:cs="宋体"/>
                <w:i w:val="0"/>
                <w:iCs w:val="0"/>
                <w:color w:val="000000"/>
                <w:sz w:val="18"/>
                <w:szCs w:val="18"/>
                <w:highlight w:val="none"/>
                <w:u w:val="none"/>
              </w:rPr>
            </w:pPr>
          </w:p>
        </w:tc>
      </w:tr>
      <w:tr w14:paraId="0DB9E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A5BC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C9AC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墙面一般抹灰</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CECF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B964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C44D0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118.33</w:t>
            </w:r>
          </w:p>
        </w:tc>
      </w:tr>
      <w:tr w14:paraId="30861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2B78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0C0B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水泥砂浆楼地面(上层地面）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0369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1BEC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4E31B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54.56</w:t>
            </w:r>
          </w:p>
        </w:tc>
      </w:tr>
      <w:tr w14:paraId="36DCF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402E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BD82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铅玻璃观察窗</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8E6A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1.铅玻璃观察窗RCG4-1509，门窗洞口尺寸1500*900，玻璃厚20mm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3.配专用防护不锈钢窗套及其他配件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A47B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B7692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44D6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3233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B187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9E52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单开防护门RMPc4-1022：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1、洞口尺寸1000*2200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3、配专用防护不锈钢门套及其他配件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6B1F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A7D5B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0907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906E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D2E9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D8C8F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电动防护门：RMPc4-1522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1、医用标准自动门微电脑控制器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3、开启方式：直线推拉式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4、配专用防护不锈钢门套及基层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6、洞口尺寸：1500*2200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7、具体做法及配置详见图纸及现行相关规范并满足要求。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5938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F0C36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0227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D9FE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FDFDE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零星防护工程（铅版补偿）</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8433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1、医用铅板；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3、防护当量：4.0mmPb。</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F5E2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75F90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B245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20F684">
            <w:pPr>
              <w:jc w:val="center"/>
              <w:rPr>
                <w:rFonts w:hint="eastAsia" w:ascii="宋体" w:hAnsi="宋体" w:eastAsia="宋体" w:cs="宋体"/>
                <w:i w:val="0"/>
                <w:iCs w:val="0"/>
                <w:color w:val="000000"/>
                <w:sz w:val="18"/>
                <w:szCs w:val="18"/>
                <w:highlight w:val="none"/>
                <w:u w:val="none"/>
              </w:rPr>
            </w:pP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4F2D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一层影像科DR机房1</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CB42C4">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4993BA">
            <w:pPr>
              <w:jc w:val="center"/>
              <w:rPr>
                <w:rFonts w:hint="eastAsia" w:ascii="宋体" w:hAnsi="宋体" w:eastAsia="宋体" w:cs="宋体"/>
                <w:i w:val="0"/>
                <w:iCs w:val="0"/>
                <w:color w:val="000000"/>
                <w:sz w:val="18"/>
                <w:szCs w:val="18"/>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9D7750">
            <w:pPr>
              <w:jc w:val="right"/>
              <w:rPr>
                <w:rFonts w:hint="eastAsia" w:ascii="宋体" w:hAnsi="宋体" w:eastAsia="宋体" w:cs="宋体"/>
                <w:i w:val="0"/>
                <w:iCs w:val="0"/>
                <w:color w:val="000000"/>
                <w:sz w:val="18"/>
                <w:szCs w:val="18"/>
                <w:highlight w:val="none"/>
                <w:u w:val="none"/>
              </w:rPr>
            </w:pPr>
          </w:p>
        </w:tc>
      </w:tr>
      <w:tr w14:paraId="2C5AD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1F84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5D09B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墙面一般抹灰</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CDFB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C4E0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77221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118.98</w:t>
            </w:r>
          </w:p>
        </w:tc>
      </w:tr>
      <w:tr w14:paraId="3CF0A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9A87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8169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16A32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F191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2D9CB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35.17</w:t>
            </w:r>
          </w:p>
        </w:tc>
      </w:tr>
      <w:tr w14:paraId="260A5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7973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DF752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水泥砂浆楼地面(上层地面）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27C5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0379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841C6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35.17</w:t>
            </w:r>
          </w:p>
        </w:tc>
      </w:tr>
      <w:tr w14:paraId="687BF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F538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595E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铅玻璃观察窗</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EAB4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1.铅玻璃观察窗RCG4-1509，门窗洞口尺寸1500*900，玻璃厚20mm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3.配专用防护不锈钢窗套及其他配件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DB9E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5EC11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28ED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5847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FDD09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0B31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单开防护门RMPc4-1022：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1、洞口尺寸1000*2200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3、配专用防护不锈钢门套及其他配件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1AB8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0EE2A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BBCE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D9C7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FD78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0C04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电动防护门：RMPc4-1522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1、医用标准自动门微电脑控制器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3、开启方式：直线推拉式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4、配专用防护不锈钢门套及基层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6、洞口尺寸：1500*2200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7、具体做法及配置详见图纸及现行相关规范并满足要求。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54AC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B4BF3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B0A3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EFE4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4223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零星防护工程（铅版补偿）</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6B4F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1、医用铅板；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3、防护当量：4.0mmPb。</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20D5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C0D1E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C615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553A2B">
            <w:pPr>
              <w:jc w:val="center"/>
              <w:rPr>
                <w:rFonts w:hint="eastAsia" w:ascii="宋体" w:hAnsi="宋体" w:eastAsia="宋体" w:cs="宋体"/>
                <w:i w:val="0"/>
                <w:iCs w:val="0"/>
                <w:color w:val="000000"/>
                <w:sz w:val="18"/>
                <w:szCs w:val="18"/>
                <w:highlight w:val="none"/>
                <w:u w:val="none"/>
              </w:rPr>
            </w:pP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07DA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一层影像科DR机房2</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E3BB81">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CE9D31">
            <w:pPr>
              <w:jc w:val="center"/>
              <w:rPr>
                <w:rFonts w:hint="eastAsia" w:ascii="宋体" w:hAnsi="宋体" w:eastAsia="宋体" w:cs="宋体"/>
                <w:i w:val="0"/>
                <w:iCs w:val="0"/>
                <w:color w:val="000000"/>
                <w:sz w:val="18"/>
                <w:szCs w:val="18"/>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C02923">
            <w:pPr>
              <w:jc w:val="right"/>
              <w:rPr>
                <w:rFonts w:hint="eastAsia" w:ascii="宋体" w:hAnsi="宋体" w:eastAsia="宋体" w:cs="宋体"/>
                <w:i w:val="0"/>
                <w:iCs w:val="0"/>
                <w:color w:val="000000"/>
                <w:sz w:val="18"/>
                <w:szCs w:val="18"/>
                <w:highlight w:val="none"/>
                <w:u w:val="none"/>
              </w:rPr>
            </w:pPr>
          </w:p>
        </w:tc>
      </w:tr>
      <w:tr w14:paraId="48C47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5F31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DBC7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墙面一般抹灰</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BEE1B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2AD5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D34BF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123.1</w:t>
            </w:r>
          </w:p>
        </w:tc>
      </w:tr>
      <w:tr w14:paraId="0F787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9EED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80D4F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5E201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0B0E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5D5AD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40.04</w:t>
            </w:r>
          </w:p>
        </w:tc>
      </w:tr>
      <w:tr w14:paraId="63D99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5C9B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5B7F8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水泥砂浆楼地面(上层地面）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E0D3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E51A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4A466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40.04</w:t>
            </w:r>
          </w:p>
        </w:tc>
      </w:tr>
      <w:tr w14:paraId="365DA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509C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1527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铅玻璃观察窗</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22E6A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1.铅玻璃观察窗RCG4-1509，门窗洞口尺寸1500*900，玻璃厚20mm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3.配专用防护不锈钢窗套及其他配件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E30D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D0D4D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8946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BF85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DA92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18CB4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单开防护门RMPc4-1022：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1、洞口尺寸1000*2200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3、配专用防护不锈钢门套及其他配件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6460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21510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7AA0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BB34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3D17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24763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电动防护门：RMPc4-1522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1、医用标准自动门微电脑控制器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3、开启方式：直线推拉式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4、配专用防护不锈钢门套及基层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6、洞口尺寸：1500*2200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7、具体做法及配置详见图纸及现行相关规范并满足要求。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4260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79140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396B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99DC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EC88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零星防护工程（铅版补偿）</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E642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1、医用铅板；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3、防护当量：4.0mmPb。</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AE63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B7345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EF21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77014F">
            <w:pPr>
              <w:jc w:val="center"/>
              <w:rPr>
                <w:rFonts w:hint="eastAsia" w:ascii="宋体" w:hAnsi="宋体" w:eastAsia="宋体" w:cs="宋体"/>
                <w:i w:val="0"/>
                <w:iCs w:val="0"/>
                <w:color w:val="000000"/>
                <w:sz w:val="18"/>
                <w:szCs w:val="18"/>
                <w:highlight w:val="none"/>
                <w:u w:val="none"/>
              </w:rPr>
            </w:pP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BE73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一层影像科骨密度机房</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8CFFD2">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DA5C3A">
            <w:pPr>
              <w:jc w:val="center"/>
              <w:rPr>
                <w:rFonts w:hint="eastAsia" w:ascii="宋体" w:hAnsi="宋体" w:eastAsia="宋体" w:cs="宋体"/>
                <w:i w:val="0"/>
                <w:iCs w:val="0"/>
                <w:color w:val="000000"/>
                <w:sz w:val="18"/>
                <w:szCs w:val="18"/>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2CD4F5">
            <w:pPr>
              <w:jc w:val="right"/>
              <w:rPr>
                <w:rFonts w:hint="eastAsia" w:ascii="宋体" w:hAnsi="宋体" w:eastAsia="宋体" w:cs="宋体"/>
                <w:i w:val="0"/>
                <w:iCs w:val="0"/>
                <w:color w:val="000000"/>
                <w:sz w:val="18"/>
                <w:szCs w:val="18"/>
                <w:highlight w:val="none"/>
                <w:u w:val="none"/>
              </w:rPr>
            </w:pPr>
          </w:p>
        </w:tc>
      </w:tr>
      <w:tr w14:paraId="2AD20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5E48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73B95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墙面一般抹灰</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4363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10mm（1mmPb）硫酸钡防护涂料（复合密度≥3.8g/cm3），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BF2F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8554A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30.87</w:t>
            </w:r>
          </w:p>
        </w:tc>
      </w:tr>
      <w:tr w14:paraId="31EE5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AFF3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3B6D2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B0CE7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10mm（1mmPb）硫酸钡防护涂料（复合密度≥3.8g/cm3），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ED76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E8419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23.53</w:t>
            </w:r>
          </w:p>
        </w:tc>
      </w:tr>
      <w:tr w14:paraId="1CE20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8CC7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1DA94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水泥砂浆楼地面(上层地面）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E3F1E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10mm（1mmPb）硫酸钡防护涂料（复合密度≥3.8g/cm3），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3D2F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090C3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23.53</w:t>
            </w:r>
          </w:p>
        </w:tc>
      </w:tr>
      <w:tr w14:paraId="083DA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8D9D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E029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铅玻璃观察窗</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53208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1.铅玻璃观察窗RCG2-1509，门窗洞口尺寸1500*900，玻璃厚15mm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2.防护当量2.0mmPb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3.配专用防护不锈钢窗套及其他配件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1534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11279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510D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3E96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8B9B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77B2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单开防护门RMPc2-1022：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1、洞口尺寸1000*2200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2、防护当量2.0mmPb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3、配专用防护不锈钢门套及其他配件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BF39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7E9BA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BCA0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E8AF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53A52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B1059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电动防护门：RMDc2-1222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1、医用标准自动门微电脑控制器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2、防护当量2.0mmPb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3、开启方式：直线推拉式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4、配专用防护不锈钢门套及基层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6、洞口尺寸：1200*2200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7、具体做法及配置详见图纸及现行相关规范并满足要求。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5C3F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6C79C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BB20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94B2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8CEF6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零星防护工程（铅版补偿）</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40EC5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1、医用铅板；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3、防护当量：2.0mmPb。</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E027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C68C2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9FF0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7CD2A2">
            <w:pPr>
              <w:jc w:val="center"/>
              <w:rPr>
                <w:rFonts w:hint="eastAsia" w:ascii="宋体" w:hAnsi="宋体" w:eastAsia="宋体" w:cs="宋体"/>
                <w:i w:val="0"/>
                <w:iCs w:val="0"/>
                <w:color w:val="000000"/>
                <w:sz w:val="18"/>
                <w:szCs w:val="18"/>
                <w:highlight w:val="none"/>
                <w:u w:val="none"/>
              </w:rPr>
            </w:pP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34945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一层影像科CT机房1</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D3D6A1">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7D672B">
            <w:pPr>
              <w:jc w:val="center"/>
              <w:rPr>
                <w:rFonts w:hint="eastAsia" w:ascii="宋体" w:hAnsi="宋体" w:eastAsia="宋体" w:cs="宋体"/>
                <w:i w:val="0"/>
                <w:iCs w:val="0"/>
                <w:color w:val="000000"/>
                <w:sz w:val="18"/>
                <w:szCs w:val="18"/>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C5FB08">
            <w:pPr>
              <w:jc w:val="right"/>
              <w:rPr>
                <w:rFonts w:hint="eastAsia" w:ascii="宋体" w:hAnsi="宋体" w:eastAsia="宋体" w:cs="宋体"/>
                <w:i w:val="0"/>
                <w:iCs w:val="0"/>
                <w:color w:val="000000"/>
                <w:sz w:val="18"/>
                <w:szCs w:val="18"/>
                <w:highlight w:val="none"/>
                <w:u w:val="none"/>
              </w:rPr>
            </w:pPr>
          </w:p>
        </w:tc>
      </w:tr>
      <w:tr w14:paraId="5E21B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7DCD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B25FC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墙面一般抹灰</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20A7F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F7AF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9C91B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137.99</w:t>
            </w:r>
          </w:p>
        </w:tc>
      </w:tr>
      <w:tr w14:paraId="26E6B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127D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F3CF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B1EE1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841E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EDF39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44.9</w:t>
            </w:r>
          </w:p>
        </w:tc>
      </w:tr>
      <w:tr w14:paraId="09AE2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F5B2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8D37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水泥砂浆楼地面(上层地面）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3D604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CDF0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643E0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44.9</w:t>
            </w:r>
          </w:p>
        </w:tc>
      </w:tr>
      <w:tr w14:paraId="7F72E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6191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55C3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铅玻璃观察窗</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BEBF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1.铅玻璃观察窗RCG4-1509，门窗洞口尺寸1500*900，玻璃厚20mm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3.配专用防护不锈钢窗套及其他配件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BA9F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181CC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ACA7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481F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9D3D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AE221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单开防护门RMPc4-1022：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1、洞口尺寸1000*2200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3、配专用防护不锈钢门套及其他配件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5545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AA37B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A003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B3F0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EBEE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D85C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电动防护门：RMPc4-1522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1、医用标准自动门微电脑控制器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3、开启方式：直线推拉式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4、配专用防护不锈钢门套及基层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6、洞口尺寸：1500*2200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7、具体做法及配置详见图纸及现行相关规范并满足要求。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08AA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A77A4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434D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A858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1FD2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零星防护工程（铅版补偿）</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19084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1、医用铅板；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3、防护当量：4.0mmPb。</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FBC6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17C66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66919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6AE094">
            <w:pPr>
              <w:jc w:val="center"/>
              <w:rPr>
                <w:rFonts w:hint="eastAsia" w:ascii="宋体" w:hAnsi="宋体" w:eastAsia="宋体" w:cs="宋体"/>
                <w:i w:val="0"/>
                <w:iCs w:val="0"/>
                <w:color w:val="000000"/>
                <w:sz w:val="18"/>
                <w:szCs w:val="18"/>
                <w:highlight w:val="none"/>
                <w:u w:val="none"/>
              </w:rPr>
            </w:pP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875C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一层影像科CT机房2</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C550A3">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226A1D">
            <w:pPr>
              <w:jc w:val="center"/>
              <w:rPr>
                <w:rFonts w:hint="eastAsia" w:ascii="宋体" w:hAnsi="宋体" w:eastAsia="宋体" w:cs="宋体"/>
                <w:i w:val="0"/>
                <w:iCs w:val="0"/>
                <w:color w:val="000000"/>
                <w:sz w:val="18"/>
                <w:szCs w:val="18"/>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075EEA">
            <w:pPr>
              <w:jc w:val="right"/>
              <w:rPr>
                <w:rFonts w:hint="eastAsia" w:ascii="宋体" w:hAnsi="宋体" w:eastAsia="宋体" w:cs="宋体"/>
                <w:i w:val="0"/>
                <w:iCs w:val="0"/>
                <w:color w:val="000000"/>
                <w:sz w:val="18"/>
                <w:szCs w:val="18"/>
                <w:highlight w:val="none"/>
                <w:u w:val="none"/>
              </w:rPr>
            </w:pPr>
          </w:p>
        </w:tc>
      </w:tr>
      <w:tr w14:paraId="2CC07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8A98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13144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墙面一般抹灰</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6E452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5FFC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AFF3B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146.44</w:t>
            </w:r>
          </w:p>
        </w:tc>
      </w:tr>
      <w:tr w14:paraId="2FC86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1880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6287B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B7DBD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1052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97B56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52.8</w:t>
            </w:r>
          </w:p>
        </w:tc>
      </w:tr>
      <w:tr w14:paraId="5167E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11DF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E586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水泥砂浆楼地面(上层地面）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DB71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0E07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5F175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52.8</w:t>
            </w:r>
          </w:p>
        </w:tc>
      </w:tr>
      <w:tr w14:paraId="33F85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D70B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DE805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铅玻璃观察窗</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B1E61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1.铅玻璃观察窗RCG4-1509，门窗洞口尺寸1500*900，玻璃厚20mm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3.配专用防护不锈钢窗套及其他配件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8196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B088B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853B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B50F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C1C02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6B2D1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单开防护门RMPc4-1022：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1、洞口尺寸1000*2200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3、配专用防护不锈钢门套及其他配件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FD39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D9994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7EC2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FAF5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068F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C19FF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电动防护门：RMPc4-1522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1、医用标准自动门微电脑控制器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3、开启方式：直线推拉式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4、配专用防护不锈钢门套及基层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6、洞口尺寸：1500*2200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7、具体做法及配置详见图纸及现行相关规范并满足要求。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20E5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3A5C8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5EEB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5E27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DF5E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零星防护工程（铅版补偿）</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DBE8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1、医用铅板；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3、防护当量：4.0mmPb。</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77B9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4E6A8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0BDC9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1B33C4">
            <w:pPr>
              <w:jc w:val="center"/>
              <w:rPr>
                <w:rFonts w:hint="eastAsia" w:ascii="宋体" w:hAnsi="宋体" w:eastAsia="宋体" w:cs="宋体"/>
                <w:i w:val="0"/>
                <w:iCs w:val="0"/>
                <w:color w:val="000000"/>
                <w:sz w:val="18"/>
                <w:szCs w:val="18"/>
                <w:highlight w:val="none"/>
                <w:u w:val="none"/>
              </w:rPr>
            </w:pP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213A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一层影像科钼靶机房</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6E3D1F">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98F746">
            <w:pPr>
              <w:jc w:val="center"/>
              <w:rPr>
                <w:rFonts w:hint="eastAsia" w:ascii="宋体" w:hAnsi="宋体" w:eastAsia="宋体" w:cs="宋体"/>
                <w:i w:val="0"/>
                <w:iCs w:val="0"/>
                <w:color w:val="000000"/>
                <w:sz w:val="18"/>
                <w:szCs w:val="18"/>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EC179C">
            <w:pPr>
              <w:jc w:val="right"/>
              <w:rPr>
                <w:rFonts w:hint="eastAsia" w:ascii="宋体" w:hAnsi="宋体" w:eastAsia="宋体" w:cs="宋体"/>
                <w:i w:val="0"/>
                <w:iCs w:val="0"/>
                <w:color w:val="000000"/>
                <w:sz w:val="18"/>
                <w:szCs w:val="18"/>
                <w:highlight w:val="none"/>
                <w:u w:val="none"/>
              </w:rPr>
            </w:pPr>
          </w:p>
        </w:tc>
      </w:tr>
      <w:tr w14:paraId="0E764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2279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42</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9B8F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墙面一般抹灰</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CD3B7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10mm（1mmPb）硫酸钡防护涂料（复合密度≥3.8g/cm3），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D70F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43C5C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28.95</w:t>
            </w:r>
          </w:p>
        </w:tc>
      </w:tr>
      <w:tr w14:paraId="6FD1B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51A5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43</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0072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806B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10mm（1mmPb）硫酸钡防护涂料（复合密度≥3.8g/cm3），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8E54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A7470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21.6</w:t>
            </w:r>
          </w:p>
        </w:tc>
      </w:tr>
      <w:tr w14:paraId="6EA68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D629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44</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1DE7A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水泥砂浆楼地面(上层地面）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2169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10mm（1mmPb）硫酸钡防护涂料（复合密度≥3.8g/cm3），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1163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D0249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21.6</w:t>
            </w:r>
          </w:p>
        </w:tc>
      </w:tr>
      <w:tr w14:paraId="70371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56F8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45</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7F4CD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铅玻璃观察窗</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0C84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1.铅玻璃观察窗RCG2-1208，门窗洞口尺寸1500*800，玻璃厚15mm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2.防护当量2.0mmPb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3.配专用防护不锈钢窗套及其他配件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318A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7C2E9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7F274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E427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46</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067A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04EF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单开防护门RMPc2-1022：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1、洞口尺寸1000*2200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2、防护当量2.0mmPb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3、配专用防护不锈钢门套及其他配件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33D7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16864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F29E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EA2C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47</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2B6F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9357F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电动防护门：RMDc2-1222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1、医用标准自动门微电脑控制器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2、防护当量2.0mmPb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3、开启方式：直线推拉式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4、配专用防护不锈钢门套及基层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6、洞口尺寸：1200*2200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7、具体做法及配置详见图纸及现行相关规范并满足要求。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DD42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CF2DC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CB9A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3DA5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48</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352A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零星防护工程（铅版补偿）</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9E63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1、医用铅板；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3、防护当量：2.0mmPb。</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1933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C33AB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1F847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F2E3DC">
            <w:pPr>
              <w:jc w:val="center"/>
              <w:rPr>
                <w:rFonts w:hint="eastAsia" w:ascii="宋体" w:hAnsi="宋体" w:eastAsia="宋体" w:cs="宋体"/>
                <w:i w:val="0"/>
                <w:iCs w:val="0"/>
                <w:color w:val="000000"/>
                <w:sz w:val="18"/>
                <w:szCs w:val="18"/>
                <w:highlight w:val="none"/>
                <w:u w:val="none"/>
              </w:rPr>
            </w:pP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C0BD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一层影像科口腔CT机房</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7C65A0">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4B27A4">
            <w:pPr>
              <w:jc w:val="center"/>
              <w:rPr>
                <w:rFonts w:hint="eastAsia" w:ascii="宋体" w:hAnsi="宋体" w:eastAsia="宋体" w:cs="宋体"/>
                <w:i w:val="0"/>
                <w:iCs w:val="0"/>
                <w:color w:val="000000"/>
                <w:sz w:val="18"/>
                <w:szCs w:val="18"/>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0CBF3C">
            <w:pPr>
              <w:jc w:val="right"/>
              <w:rPr>
                <w:rFonts w:hint="eastAsia" w:ascii="宋体" w:hAnsi="宋体" w:eastAsia="宋体" w:cs="宋体"/>
                <w:i w:val="0"/>
                <w:iCs w:val="0"/>
                <w:color w:val="000000"/>
                <w:sz w:val="18"/>
                <w:szCs w:val="18"/>
                <w:highlight w:val="none"/>
                <w:u w:val="none"/>
              </w:rPr>
            </w:pPr>
          </w:p>
        </w:tc>
      </w:tr>
      <w:tr w14:paraId="593F3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7380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C685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墙面一般抹灰</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8CCDA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A484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5301F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28.62</w:t>
            </w:r>
          </w:p>
        </w:tc>
      </w:tr>
      <w:tr w14:paraId="72D5B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0124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BB57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墙面一般抹灰</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63B7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20mm（2mmPb）硫酸钡防护涂料（复合密度≥3.8g/cm3），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2957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B0FF2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55.72</w:t>
            </w:r>
          </w:p>
        </w:tc>
      </w:tr>
      <w:tr w14:paraId="79E52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3344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04FC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1DFC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20mm（2mmPb）硫酸钡防护涂料（复合密度≥3.8g/cm3），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FAF5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C2322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18.88</w:t>
            </w:r>
          </w:p>
        </w:tc>
      </w:tr>
      <w:tr w14:paraId="646AE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23D9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31C5C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水泥砂浆楼地面(上层地面）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D8E02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20mm（2mmPb）硫酸钡防护涂料（复合密度≥3.8g/cm3），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B7EC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A733E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18.88</w:t>
            </w:r>
          </w:p>
        </w:tc>
      </w:tr>
      <w:tr w14:paraId="3B892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09DE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53</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D30C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铅玻璃观察窗</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A70A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1.铅玻璃观察窗RCG3-0806，门窗洞口尺寸800*600，玻璃厚15mm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2.防护当量3.0mmPb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3.配专用防护不锈钢窗套及其他配件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779C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441D3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9416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2D7C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54</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6F1D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A198F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单开防护门RMPc3-1022：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1、洞口尺寸1000*2200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2、防护当量3.0mmPb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3、配专用防护不锈钢门套及其他配件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B52F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46E84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DF9F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5D40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55</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19A4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1109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电动防护门：RMPc3-1022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1、医用标准自动门微电脑控制器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2、防护当量3.0mmPb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3、开启方式：直线推拉式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4、配专用防护不锈钢门套及基层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6、洞口尺寸：1000*2200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7、具体做法及配置详见图纸及现行相关规范并满足要求。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3583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D148E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1749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BA42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56</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DDAF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零星防护工程（铅版补偿）</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BC7A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1、医用铅板；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3、防护当量：3.0mmPb。</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00AE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52601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3D810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09CC97">
            <w:pPr>
              <w:jc w:val="center"/>
              <w:rPr>
                <w:rFonts w:hint="eastAsia" w:ascii="宋体" w:hAnsi="宋体" w:eastAsia="宋体" w:cs="宋体"/>
                <w:i w:val="0"/>
                <w:iCs w:val="0"/>
                <w:color w:val="000000"/>
                <w:sz w:val="18"/>
                <w:szCs w:val="18"/>
                <w:highlight w:val="none"/>
                <w:u w:val="none"/>
              </w:rPr>
            </w:pP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DF36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一层影像科CT机房3</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B08B57">
            <w:pPr>
              <w:jc w:val="left"/>
              <w:rPr>
                <w:rFonts w:hint="eastAsia" w:ascii="宋体" w:hAnsi="宋体" w:eastAsia="宋体" w:cs="宋体"/>
                <w:i w:val="0"/>
                <w:iCs w:val="0"/>
                <w:color w:val="000000"/>
                <w:sz w:val="18"/>
                <w:szCs w:val="18"/>
                <w:highlight w:val="none"/>
                <w:u w:val="none"/>
              </w:rPr>
            </w:pP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17CF1D">
            <w:pPr>
              <w:jc w:val="center"/>
              <w:rPr>
                <w:rFonts w:hint="eastAsia" w:ascii="宋体" w:hAnsi="宋体" w:eastAsia="宋体" w:cs="宋体"/>
                <w:i w:val="0"/>
                <w:iCs w:val="0"/>
                <w:color w:val="000000"/>
                <w:sz w:val="18"/>
                <w:szCs w:val="18"/>
                <w:highlight w:val="none"/>
                <w:u w:val="none"/>
              </w:rPr>
            </w:pP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B8DB18">
            <w:pPr>
              <w:jc w:val="right"/>
              <w:rPr>
                <w:rFonts w:hint="eastAsia" w:ascii="宋体" w:hAnsi="宋体" w:eastAsia="宋体" w:cs="宋体"/>
                <w:i w:val="0"/>
                <w:iCs w:val="0"/>
                <w:color w:val="000000"/>
                <w:sz w:val="18"/>
                <w:szCs w:val="18"/>
                <w:highlight w:val="none"/>
                <w:u w:val="none"/>
              </w:rPr>
            </w:pPr>
          </w:p>
        </w:tc>
      </w:tr>
      <w:tr w14:paraId="5EC4D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E049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57</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C2482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墙面一般抹灰</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F7CE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743A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25C02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140</w:t>
            </w:r>
          </w:p>
        </w:tc>
      </w:tr>
      <w:tr w14:paraId="05353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C244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58</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7EBF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EB31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0A99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75AC8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49.5</w:t>
            </w:r>
          </w:p>
        </w:tc>
      </w:tr>
      <w:tr w14:paraId="700F9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8757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59</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5790F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水泥砂浆楼地面(上层地面）</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0CAB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30mm（3mmPb）硫酸钡防护涂料（复合密度≥3.8g/cm3），</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1、配合比：配比硫酸钡防护涂料混合砂;(硫酸钡粗砂：硫酸钡细砂3：4)：普通硅酸盐水泥为5:1，另加建筑胶水混合而成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2、详见图纸说明及相关规范要求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E126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F1546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49.5</w:t>
            </w:r>
          </w:p>
        </w:tc>
      </w:tr>
      <w:tr w14:paraId="6D546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7E85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76DAD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铅玻璃观察窗</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40E7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1.铅玻璃观察窗RCG4-1509，门窗洞口尺寸1500*900，玻璃厚20mm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3.配专用防护不锈钢窗套及其他配件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0743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FA4FB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21FFD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52E7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61</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C63F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01CC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单开防护门RMPc4-1022：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1、洞口尺寸1000*2200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3、配专用防护不锈钢门套及其他配件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5、具体详见图纸及相关规范要求施工。</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E87E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樘</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A1699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5EBF8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C526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62</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23428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3224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电动防护门：RMPc4-1522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1、医用标准自动门微电脑控制器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2、防护当量4.0mmPb</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3、开启方式：直线推拉式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4、配专用防护不锈钢门套及基层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5、含电动装置、安全光幕、门灯连锁装置、警示灯、警示三角标注， 微电脑控制系统、凹槽铅防护下轨道、上下轨道、盖板等五金配件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6、洞口尺寸：1500*2200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7、具体做法及配置详见图纸及现行相关规范并满足要求。</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251F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F6785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r w14:paraId="444A8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28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B24B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63</w:t>
            </w:r>
          </w:p>
        </w:tc>
        <w:tc>
          <w:tcPr>
            <w:tcW w:w="103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01AD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零星防护工程（铅版补偿）</w:t>
            </w:r>
          </w:p>
        </w:tc>
        <w:tc>
          <w:tcPr>
            <w:tcW w:w="285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C284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1、医用铅板；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防护要求：补偿于墙体防护薄弱处，开关、插座底盒及嵌入式配电箱背面，穿墙洞口及缝隙和所有通过防护房间的矩形管路及圆形管路等，铅板搭接部分宽度不少于5cm，防护当量按该机房的墙体防护要求配套一致，防护长度为圆形管路直径的2.5倍或矩形管路长边2.5倍等详图纸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3、防护当量：4.0mmPb。</w:t>
            </w:r>
          </w:p>
        </w:tc>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02FC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w:t>
            </w:r>
          </w:p>
        </w:tc>
        <w:tc>
          <w:tcPr>
            <w:tcW w:w="50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33A97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r>
    </w:tbl>
    <w:p w14:paraId="73F9089F">
      <w:pPr>
        <w:rPr>
          <w:rFonts w:hint="default"/>
          <w:color w:val="auto"/>
          <w:highlight w:val="none"/>
          <w:lang w:val="en-US" w:eastAsia="zh-CN"/>
        </w:rPr>
      </w:pPr>
    </w:p>
    <w:p w14:paraId="08710F8C">
      <w:pPr>
        <w:pStyle w:val="18"/>
        <w:tabs>
          <w:tab w:val="right" w:leader="dot" w:pos="9004"/>
        </w:tabs>
        <w:rPr>
          <w:rFonts w:hint="default"/>
          <w:color w:val="auto"/>
          <w:highlight w:val="none"/>
          <w:lang w:val="en-US" w:eastAsia="zh-CN"/>
        </w:rPr>
      </w:pPr>
    </w:p>
    <w:p w14:paraId="266F6185">
      <w:pPr>
        <w:rPr>
          <w:rFonts w:hint="default"/>
          <w:color w:val="auto"/>
          <w:highlight w:val="none"/>
          <w:lang w:val="en-US" w:eastAsia="zh-CN"/>
        </w:rPr>
      </w:pPr>
    </w:p>
    <w:p w14:paraId="39AAE813">
      <w:pPr>
        <w:numPr>
          <w:ilvl w:val="0"/>
          <w:numId w:val="6"/>
        </w:numPr>
        <w:spacing w:before="318" w:line="225" w:lineRule="auto"/>
        <w:jc w:val="both"/>
        <w:outlineLvl w:val="0"/>
        <w:rPr>
          <w:rFonts w:hint="eastAsia" w:ascii="宋体" w:hAnsi="宋体" w:eastAsia="宋体" w:cs="宋体"/>
          <w:color w:val="auto"/>
          <w:sz w:val="31"/>
          <w:szCs w:val="31"/>
          <w:highlight w:val="none"/>
        </w:rPr>
        <w:sectPr>
          <w:pgSz w:w="16840" w:h="11907" w:orient="landscape"/>
          <w:pgMar w:top="1474" w:right="1418" w:bottom="1559" w:left="1418" w:header="0" w:footer="723" w:gutter="0"/>
          <w:cols w:space="720" w:num="1"/>
        </w:sectPr>
      </w:pPr>
    </w:p>
    <w:p w14:paraId="45DE5A4A">
      <w:pPr>
        <w:numPr>
          <w:ilvl w:val="0"/>
          <w:numId w:val="6"/>
        </w:numPr>
        <w:spacing w:before="318" w:line="225" w:lineRule="auto"/>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br w:type="column"/>
      </w:r>
      <w:r>
        <w:rPr>
          <w:rFonts w:hint="eastAsia" w:ascii="宋体" w:hAnsi="宋体" w:eastAsia="宋体" w:cs="宋体"/>
          <w:color w:val="auto"/>
          <w:sz w:val="31"/>
          <w:szCs w:val="31"/>
          <w:highlight w:val="none"/>
        </w:rPr>
        <w:t>第六章 投标文件格式</w:t>
      </w:r>
    </w:p>
    <w:p w14:paraId="5F7C734D">
      <w:pPr>
        <w:spacing w:line="343" w:lineRule="auto"/>
        <w:jc w:val="both"/>
        <w:rPr>
          <w:rFonts w:hint="eastAsia" w:ascii="宋体" w:hAnsi="宋体" w:eastAsia="宋体" w:cs="宋体"/>
          <w:color w:val="auto"/>
          <w:highlight w:val="none"/>
        </w:rPr>
      </w:pPr>
    </w:p>
    <w:p w14:paraId="0B15D3F5">
      <w:pPr>
        <w:spacing w:before="91" w:line="222"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目   录</w:t>
      </w:r>
    </w:p>
    <w:p w14:paraId="14A4C1E1">
      <w:pPr>
        <w:pStyle w:val="18"/>
        <w:rPr>
          <w:rFonts w:hint="eastAsia" w:ascii="宋体" w:hAnsi="宋体" w:eastAsia="宋体" w:cs="宋体"/>
          <w:color w:val="auto"/>
          <w:highlight w:val="none"/>
        </w:rPr>
      </w:pPr>
    </w:p>
    <w:p w14:paraId="2C46ED16">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一、投标函(格式一)</w:t>
      </w:r>
    </w:p>
    <w:p w14:paraId="211D0C73">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二、法定代表人身份证明(格式二)</w:t>
      </w:r>
    </w:p>
    <w:p w14:paraId="7A67F803">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三、法定代表人授权委托书(格式三)</w:t>
      </w:r>
    </w:p>
    <w:p w14:paraId="64910DE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四、联合体协议书(采用联合体投标的提供，格式自拟)（若有）</w:t>
      </w:r>
    </w:p>
    <w:p w14:paraId="1F39C499">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五、投标保证金缴纳证明材料</w:t>
      </w:r>
    </w:p>
    <w:p w14:paraId="1439405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六、投标报价表(格式四)</w:t>
      </w:r>
    </w:p>
    <w:p w14:paraId="2A0C8B58">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七、实质性响应招标文件及评审打分的资料及格式(见格式五、格式六)</w:t>
      </w:r>
    </w:p>
    <w:p w14:paraId="63F3F4B0">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八、投标人基本情况表(见格式七)</w:t>
      </w:r>
    </w:p>
    <w:p w14:paraId="39750983">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九、中小企业声明函（见格式八）（若有）</w:t>
      </w:r>
    </w:p>
    <w:p w14:paraId="60DA8028">
      <w:pPr>
        <w:spacing w:line="360" w:lineRule="auto"/>
        <w:ind w:left="-2" w:leftChars="-1" w:firstLine="283" w:firstLineChars="118"/>
        <w:jc w:val="both"/>
        <w:outlineLvl w:val="0"/>
        <w:rPr>
          <w:rFonts w:hint="eastAsia" w:ascii="宋体" w:hAnsi="宋体" w:eastAsia="宋体" w:cs="宋体"/>
          <w:color w:val="auto"/>
          <w:highlight w:val="none"/>
        </w:rPr>
      </w:pPr>
      <w:r>
        <w:rPr>
          <w:rFonts w:hint="eastAsia" w:ascii="宋体" w:hAnsi="宋体" w:eastAsia="宋体" w:cs="宋体"/>
          <w:snapToGrid w:val="0"/>
          <w:color w:val="auto"/>
          <w:sz w:val="24"/>
          <w:szCs w:val="24"/>
          <w:highlight w:val="none"/>
          <w:lang w:val="en-US" w:eastAsia="zh-CN" w:bidi="ar-SA"/>
        </w:rPr>
        <w:t>十、投标承诺书（见格式九）</w:t>
      </w:r>
    </w:p>
    <w:p w14:paraId="09D11045">
      <w:pPr>
        <w:spacing w:line="360" w:lineRule="auto"/>
        <w:ind w:left="-2" w:leftChars="-1" w:firstLine="247"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highlight w:val="none"/>
          <w:lang w:val="en-US" w:eastAsia="zh-CN"/>
        </w:rPr>
        <w:t>十</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、投标人须知前附表规定的构成投标文件的其他材料</w:t>
      </w:r>
    </w:p>
    <w:p w14:paraId="77CC9067">
      <w:pPr>
        <w:pStyle w:val="18"/>
        <w:rPr>
          <w:rFonts w:hint="eastAsia" w:ascii="宋体" w:hAnsi="宋体" w:eastAsia="宋体" w:cs="宋体"/>
          <w:color w:val="auto"/>
          <w:highlight w:val="none"/>
        </w:rPr>
      </w:pPr>
    </w:p>
    <w:p w14:paraId="17E373E0">
      <w:pPr>
        <w:spacing w:line="360" w:lineRule="auto"/>
        <w:jc w:val="both"/>
        <w:rPr>
          <w:rFonts w:hint="eastAsia" w:ascii="宋体" w:hAnsi="宋体" w:eastAsia="宋体" w:cs="宋体"/>
          <w:color w:val="auto"/>
          <w:highlight w:val="none"/>
        </w:rPr>
        <w:sectPr>
          <w:pgSz w:w="11907" w:h="16840"/>
          <w:pgMar w:top="1418" w:right="1559" w:bottom="1418" w:left="1474" w:header="0" w:footer="723" w:gutter="0"/>
          <w:cols w:space="720" w:num="1"/>
        </w:sectPr>
      </w:pPr>
    </w:p>
    <w:p w14:paraId="3956D7A9">
      <w:pPr>
        <w:spacing w:before="310" w:line="221" w:lineRule="auto"/>
        <w:ind w:left="281"/>
        <w:jc w:val="both"/>
        <w:rPr>
          <w:rFonts w:hint="eastAsia" w:ascii="宋体" w:hAnsi="宋体" w:eastAsia="宋体" w:cs="宋体"/>
          <w:color w:val="auto"/>
          <w:sz w:val="28"/>
          <w:szCs w:val="28"/>
          <w:highlight w:val="none"/>
        </w:rPr>
      </w:pPr>
      <w:bookmarkStart w:id="89" w:name="_bookmark15"/>
      <w:bookmarkEnd w:id="89"/>
      <w:r>
        <w:rPr>
          <w:rFonts w:hint="eastAsia" w:ascii="宋体" w:hAnsi="宋体" w:eastAsia="宋体" w:cs="宋体"/>
          <w:color w:val="auto"/>
          <w:sz w:val="28"/>
          <w:szCs w:val="28"/>
          <w:highlight w:val="none"/>
        </w:rPr>
        <w:t>格式一：投标函</w:t>
      </w:r>
    </w:p>
    <w:p w14:paraId="0265DDC8">
      <w:pPr>
        <w:tabs>
          <w:tab w:val="left" w:pos="3955"/>
        </w:tabs>
        <w:spacing w:before="298" w:line="337" w:lineRule="auto"/>
        <w:ind w:left="237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建设项目货物投标函</w:t>
      </w:r>
    </w:p>
    <w:p w14:paraId="6F91ED77">
      <w:pPr>
        <w:spacing w:line="372" w:lineRule="auto"/>
        <w:jc w:val="both"/>
        <w:rPr>
          <w:rFonts w:hint="eastAsia" w:ascii="宋体" w:hAnsi="宋体" w:eastAsia="宋体" w:cs="宋体"/>
          <w:color w:val="auto"/>
          <w:highlight w:val="none"/>
        </w:rPr>
      </w:pPr>
    </w:p>
    <w:p w14:paraId="786077DC">
      <w:pPr>
        <w:tabs>
          <w:tab w:val="left" w:pos="2775"/>
        </w:tabs>
        <w:spacing w:before="74" w:line="229" w:lineRule="auto"/>
        <w:ind w:left="23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(招标人)：</w:t>
      </w:r>
    </w:p>
    <w:p w14:paraId="3B823973">
      <w:pPr>
        <w:spacing w:before="185" w:line="369"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我方已全面阅读和研究了</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建设项目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建设项目全部内容进行投标。最终报价为人民币(大写)</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元，品牌</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，产地</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，交货期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(日历天/月)，质量标准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，税率：</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51C88974">
      <w:pPr>
        <w:spacing w:before="3" w:line="374" w:lineRule="auto"/>
        <w:ind w:right="63" w:firstLine="48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天内递交委托合同价</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的履约保证金，并按中标通知书、招标文件和本投标函的约定与你方签订委托合同，履行规定的一切责任和义务。</w:t>
      </w:r>
    </w:p>
    <w:p w14:paraId="56A39806">
      <w:pPr>
        <w:spacing w:before="1" w:line="375" w:lineRule="auto"/>
        <w:ind w:left="5" w:right="63" w:firstLine="54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我们同意从投标之日起在</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天的有效期内恪守本招标文件，在此期限期满之前的任何时间，本投标函全部条款内容对我方具有约束力。</w:t>
      </w:r>
    </w:p>
    <w:p w14:paraId="2BEFAC3B">
      <w:pPr>
        <w:spacing w:before="2" w:line="374" w:lineRule="auto"/>
        <w:ind w:left="1" w:right="63" w:firstLine="54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在合同协议书正式签署生效之前，本投标函连同你方的中标通知书将构成我们双方之间共同遵守的文件，对双方具有约束力。</w:t>
      </w:r>
    </w:p>
    <w:p w14:paraId="1D9F3DAC">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投标单位：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0847A1BF">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法定代表或委托代理人：(签字或盖章)</w:t>
      </w:r>
    </w:p>
    <w:p w14:paraId="3119098C">
      <w:pPr>
        <w:spacing w:before="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联系人：</w:t>
      </w:r>
      <w:r>
        <w:rPr>
          <w:rFonts w:hint="eastAsia" w:ascii="宋体" w:hAnsi="宋体" w:eastAsia="宋体" w:cs="宋体"/>
          <w:color w:val="auto"/>
          <w:sz w:val="23"/>
          <w:szCs w:val="23"/>
          <w:highlight w:val="none"/>
          <w:u w:val="single"/>
        </w:rPr>
        <w:t xml:space="preserve">               </w:t>
      </w:r>
    </w:p>
    <w:p w14:paraId="1441778D">
      <w:pPr>
        <w:spacing w:before="18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联系地址：</w:t>
      </w:r>
      <w:r>
        <w:rPr>
          <w:rFonts w:hint="eastAsia" w:ascii="宋体" w:hAnsi="宋体" w:eastAsia="宋体" w:cs="宋体"/>
          <w:color w:val="auto"/>
          <w:sz w:val="23"/>
          <w:szCs w:val="23"/>
          <w:highlight w:val="none"/>
          <w:u w:val="single"/>
        </w:rPr>
        <w:t xml:space="preserve">              </w:t>
      </w:r>
    </w:p>
    <w:p w14:paraId="57E3A97D">
      <w:pPr>
        <w:spacing w:before="182"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14:paraId="651A7D33">
      <w:pPr>
        <w:tabs>
          <w:tab w:val="left" w:pos="6005"/>
        </w:tabs>
        <w:spacing w:before="178" w:line="384" w:lineRule="auto"/>
        <w:ind w:right="63"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邮编：</w:t>
      </w:r>
      <w:r>
        <w:rPr>
          <w:rFonts w:hint="eastAsia" w:ascii="宋体" w:hAnsi="宋体" w:eastAsia="宋体" w:cs="宋体"/>
          <w:color w:val="auto"/>
          <w:sz w:val="23"/>
          <w:szCs w:val="23"/>
          <w:highlight w:val="none"/>
          <w:u w:val="single"/>
        </w:rPr>
        <w:t xml:space="preserve">               </w:t>
      </w:r>
    </w:p>
    <w:p w14:paraId="4AE0E929">
      <w:pPr>
        <w:tabs>
          <w:tab w:val="left" w:pos="6005"/>
        </w:tabs>
        <w:spacing w:before="178" w:line="384" w:lineRule="auto"/>
        <w:ind w:left="5271" w:right="63" w:hanging="5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3EF95943">
      <w:pPr>
        <w:jc w:val="both"/>
        <w:rPr>
          <w:rFonts w:hint="eastAsia" w:ascii="宋体" w:hAnsi="宋体" w:eastAsia="宋体" w:cs="宋体"/>
          <w:color w:val="auto"/>
          <w:highlight w:val="none"/>
        </w:rPr>
        <w:sectPr>
          <w:footerReference r:id="rId16" w:type="default"/>
          <w:pgSz w:w="11907" w:h="16840"/>
          <w:pgMar w:top="1418" w:right="1559" w:bottom="1418" w:left="1474" w:header="0" w:footer="723" w:gutter="0"/>
          <w:cols w:space="720" w:num="1"/>
        </w:sectPr>
      </w:pPr>
    </w:p>
    <w:p w14:paraId="10814CB8">
      <w:pPr>
        <w:spacing w:before="310" w:line="221" w:lineRule="auto"/>
        <w:ind w:left="92"/>
        <w:jc w:val="both"/>
        <w:outlineLvl w:val="1"/>
        <w:rPr>
          <w:rFonts w:hint="eastAsia" w:ascii="宋体" w:hAnsi="宋体" w:eastAsia="宋体" w:cs="宋体"/>
          <w:color w:val="auto"/>
          <w:sz w:val="28"/>
          <w:szCs w:val="28"/>
          <w:highlight w:val="none"/>
        </w:rPr>
      </w:pPr>
      <w:bookmarkStart w:id="90" w:name="_bookmark16"/>
      <w:bookmarkEnd w:id="90"/>
      <w:r>
        <w:rPr>
          <w:rFonts w:hint="eastAsia" w:ascii="宋体" w:hAnsi="宋体" w:eastAsia="宋体" w:cs="宋体"/>
          <w:color w:val="auto"/>
          <w:sz w:val="28"/>
          <w:szCs w:val="28"/>
          <w:highlight w:val="none"/>
        </w:rPr>
        <w:t>格式二：法定代表人身份证明</w:t>
      </w:r>
    </w:p>
    <w:p w14:paraId="2E65F308">
      <w:pPr>
        <w:spacing w:line="337" w:lineRule="auto"/>
        <w:jc w:val="both"/>
        <w:rPr>
          <w:rFonts w:hint="eastAsia" w:ascii="宋体" w:hAnsi="宋体" w:eastAsia="宋体" w:cs="宋体"/>
          <w:color w:val="auto"/>
          <w:highlight w:val="none"/>
        </w:rPr>
      </w:pPr>
    </w:p>
    <w:p w14:paraId="38128599">
      <w:pPr>
        <w:spacing w:line="338" w:lineRule="auto"/>
        <w:jc w:val="both"/>
        <w:rPr>
          <w:rFonts w:hint="eastAsia" w:ascii="宋体" w:hAnsi="宋体" w:eastAsia="宋体" w:cs="宋体"/>
          <w:color w:val="auto"/>
          <w:highlight w:val="none"/>
        </w:rPr>
      </w:pPr>
    </w:p>
    <w:p w14:paraId="190A1A8A">
      <w:pPr>
        <w:spacing w:before="75" w:line="228" w:lineRule="auto"/>
        <w:ind w:left="321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法定代表人身份证明</w:t>
      </w:r>
    </w:p>
    <w:p w14:paraId="1C61B82A">
      <w:pPr>
        <w:spacing w:line="290" w:lineRule="auto"/>
        <w:jc w:val="both"/>
        <w:rPr>
          <w:rFonts w:hint="eastAsia" w:ascii="宋体" w:hAnsi="宋体" w:eastAsia="宋体" w:cs="宋体"/>
          <w:color w:val="auto"/>
          <w:highlight w:val="none"/>
        </w:rPr>
      </w:pPr>
    </w:p>
    <w:p w14:paraId="09BB74C4">
      <w:pPr>
        <w:spacing w:line="290" w:lineRule="auto"/>
        <w:jc w:val="both"/>
        <w:rPr>
          <w:rFonts w:hint="eastAsia" w:ascii="宋体" w:hAnsi="宋体" w:eastAsia="宋体" w:cs="宋体"/>
          <w:color w:val="auto"/>
          <w:highlight w:val="none"/>
        </w:rPr>
      </w:pPr>
    </w:p>
    <w:p w14:paraId="46DB9874">
      <w:pPr>
        <w:spacing w:line="291" w:lineRule="auto"/>
        <w:jc w:val="both"/>
        <w:rPr>
          <w:rFonts w:hint="eastAsia" w:ascii="宋体" w:hAnsi="宋体" w:eastAsia="宋体" w:cs="宋体"/>
          <w:color w:val="auto"/>
          <w:highlight w:val="none"/>
        </w:rPr>
      </w:pPr>
    </w:p>
    <w:p w14:paraId="276E509A">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投标人名称：</w:t>
      </w:r>
      <w:r>
        <w:rPr>
          <w:rFonts w:hint="eastAsia" w:ascii="宋体" w:hAnsi="宋体" w:eastAsia="宋体" w:cs="宋体"/>
          <w:color w:val="auto"/>
          <w:sz w:val="23"/>
          <w:szCs w:val="23"/>
          <w:highlight w:val="none"/>
          <w:u w:val="single"/>
        </w:rPr>
        <w:t xml:space="preserve">                                         </w:t>
      </w:r>
    </w:p>
    <w:p w14:paraId="7EF5F189">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单位性质：</w:t>
      </w:r>
      <w:r>
        <w:rPr>
          <w:rFonts w:hint="eastAsia" w:ascii="宋体" w:hAnsi="宋体" w:eastAsia="宋体" w:cs="宋体"/>
          <w:color w:val="auto"/>
          <w:sz w:val="23"/>
          <w:szCs w:val="23"/>
          <w:highlight w:val="none"/>
          <w:u w:val="single"/>
        </w:rPr>
        <w:t xml:space="preserve">                                         </w:t>
      </w:r>
    </w:p>
    <w:p w14:paraId="4C0A95F2">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地址：</w:t>
      </w:r>
      <w:r>
        <w:rPr>
          <w:rFonts w:hint="eastAsia" w:ascii="宋体" w:hAnsi="宋体" w:eastAsia="宋体" w:cs="宋体"/>
          <w:color w:val="auto"/>
          <w:sz w:val="23"/>
          <w:szCs w:val="23"/>
          <w:highlight w:val="none"/>
          <w:u w:val="single"/>
        </w:rPr>
        <w:t xml:space="preserve">                                         </w:t>
      </w:r>
    </w:p>
    <w:p w14:paraId="47B2BA99">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成立时间：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82EC458">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经营期限：</w:t>
      </w:r>
      <w:r>
        <w:rPr>
          <w:rFonts w:hint="eastAsia" w:ascii="宋体" w:hAnsi="宋体" w:eastAsia="宋体" w:cs="宋体"/>
          <w:color w:val="auto"/>
          <w:sz w:val="23"/>
          <w:szCs w:val="23"/>
          <w:highlight w:val="none"/>
          <w:u w:val="single"/>
        </w:rPr>
        <w:t xml:space="preserve">                                         </w:t>
      </w:r>
    </w:p>
    <w:p w14:paraId="3C6D6DEE">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姓名：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性别：</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职务：</w:t>
      </w:r>
      <w:r>
        <w:rPr>
          <w:rFonts w:hint="eastAsia" w:ascii="宋体" w:hAnsi="宋体" w:eastAsia="宋体" w:cs="宋体"/>
          <w:color w:val="auto"/>
          <w:sz w:val="23"/>
          <w:szCs w:val="23"/>
          <w:highlight w:val="none"/>
          <w:u w:val="single"/>
        </w:rPr>
        <w:t xml:space="preserve">   </w:t>
      </w:r>
    </w:p>
    <w:p w14:paraId="430718E5">
      <w:pPr>
        <w:spacing w:line="440" w:lineRule="exact"/>
        <w:ind w:left="105" w:leftChars="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系(投标人名称)的法定代表人。特此证明。</w:t>
      </w:r>
    </w:p>
    <w:p w14:paraId="6CA5E60A">
      <w:pPr>
        <w:spacing w:line="259" w:lineRule="auto"/>
        <w:jc w:val="both"/>
        <w:rPr>
          <w:rFonts w:hint="eastAsia" w:ascii="宋体" w:hAnsi="宋体" w:eastAsia="宋体" w:cs="宋体"/>
          <w:color w:val="auto"/>
          <w:highlight w:val="none"/>
        </w:rPr>
      </w:pPr>
    </w:p>
    <w:p w14:paraId="39695E80">
      <w:pPr>
        <w:spacing w:line="259" w:lineRule="auto"/>
        <w:jc w:val="both"/>
        <w:rPr>
          <w:rFonts w:hint="eastAsia" w:ascii="宋体" w:hAnsi="宋体" w:eastAsia="宋体" w:cs="宋体"/>
          <w:color w:val="auto"/>
          <w:highlight w:val="none"/>
        </w:rPr>
      </w:pPr>
    </w:p>
    <w:p w14:paraId="0EFF02EB">
      <w:pPr>
        <w:spacing w:line="260" w:lineRule="auto"/>
        <w:jc w:val="both"/>
        <w:rPr>
          <w:rFonts w:hint="eastAsia" w:ascii="宋体" w:hAnsi="宋体" w:eastAsia="宋体" w:cs="宋体"/>
          <w:color w:val="auto"/>
          <w:highlight w:val="none"/>
        </w:rPr>
      </w:pPr>
    </w:p>
    <w:p w14:paraId="0FCE089F">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747BC959">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395C41C7">
      <w:pPr>
        <w:tabs>
          <w:tab w:val="left" w:pos="6144"/>
        </w:tabs>
        <w:spacing w:before="75" w:line="384" w:lineRule="auto"/>
        <w:ind w:left="5053" w:hanging="467"/>
        <w:jc w:val="both"/>
        <w:rPr>
          <w:rFonts w:hint="eastAsia" w:ascii="宋体" w:hAnsi="宋体" w:eastAsia="宋体" w:cs="宋体"/>
          <w:color w:val="auto"/>
          <w:sz w:val="23"/>
          <w:szCs w:val="23"/>
          <w:highlight w:val="none"/>
        </w:rPr>
      </w:pPr>
    </w:p>
    <w:p w14:paraId="7080B534">
      <w:pPr>
        <w:jc w:val="both"/>
        <w:rPr>
          <w:rFonts w:hint="eastAsia" w:ascii="宋体" w:hAnsi="宋体" w:eastAsia="宋体" w:cs="宋体"/>
          <w:color w:val="auto"/>
          <w:highlight w:val="none"/>
        </w:rPr>
      </w:pPr>
    </w:p>
    <w:p w14:paraId="3C8C8B87">
      <w:pPr>
        <w:spacing w:line="140" w:lineRule="exact"/>
        <w:jc w:val="both"/>
        <w:rPr>
          <w:rFonts w:hint="eastAsia" w:ascii="宋体" w:hAnsi="宋体" w:eastAsia="宋体" w:cs="宋体"/>
          <w:color w:val="auto"/>
          <w:highlight w:val="none"/>
        </w:rPr>
      </w:pPr>
    </w:p>
    <w:tbl>
      <w:tblPr>
        <w:tblStyle w:val="53"/>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14:paraId="1D68A043">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noWrap w:val="0"/>
            <w:vAlign w:val="top"/>
          </w:tcPr>
          <w:p w14:paraId="52F3006D">
            <w:pPr>
              <w:spacing w:line="257" w:lineRule="auto"/>
              <w:jc w:val="both"/>
              <w:rPr>
                <w:rFonts w:hint="eastAsia" w:ascii="宋体" w:hAnsi="宋体" w:eastAsia="宋体" w:cs="宋体"/>
                <w:color w:val="auto"/>
                <w:highlight w:val="none"/>
              </w:rPr>
            </w:pPr>
          </w:p>
          <w:p w14:paraId="27967A86">
            <w:pPr>
              <w:spacing w:line="258" w:lineRule="auto"/>
              <w:jc w:val="both"/>
              <w:rPr>
                <w:rFonts w:hint="eastAsia" w:ascii="宋体" w:hAnsi="宋体" w:eastAsia="宋体" w:cs="宋体"/>
                <w:color w:val="auto"/>
                <w:highlight w:val="none"/>
              </w:rPr>
            </w:pPr>
          </w:p>
          <w:p w14:paraId="514A3D60">
            <w:pPr>
              <w:spacing w:before="74" w:line="228" w:lineRule="auto"/>
              <w:ind w:left="2458"/>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法定代表人身份证复制件</w:t>
            </w:r>
          </w:p>
        </w:tc>
      </w:tr>
    </w:tbl>
    <w:p w14:paraId="4E01C57B">
      <w:pPr>
        <w:jc w:val="both"/>
        <w:rPr>
          <w:rFonts w:hint="eastAsia" w:ascii="宋体" w:hAnsi="宋体" w:eastAsia="宋体" w:cs="宋体"/>
          <w:color w:val="auto"/>
          <w:highlight w:val="none"/>
        </w:rPr>
      </w:pPr>
    </w:p>
    <w:p w14:paraId="4FA5070E">
      <w:pPr>
        <w:jc w:val="both"/>
        <w:rPr>
          <w:rFonts w:hint="eastAsia" w:ascii="宋体" w:hAnsi="宋体" w:eastAsia="宋体" w:cs="宋体"/>
          <w:color w:val="auto"/>
          <w:highlight w:val="none"/>
        </w:rPr>
        <w:sectPr>
          <w:footerReference r:id="rId17" w:type="default"/>
          <w:pgSz w:w="11907" w:h="16840"/>
          <w:pgMar w:top="1418" w:right="1559" w:bottom="1418" w:left="1474" w:header="0" w:footer="723" w:gutter="0"/>
          <w:cols w:space="720" w:num="1"/>
        </w:sectPr>
      </w:pPr>
    </w:p>
    <w:p w14:paraId="0D649CB7">
      <w:pPr>
        <w:spacing w:before="310" w:line="221" w:lineRule="auto"/>
        <w:ind w:left="388"/>
        <w:jc w:val="both"/>
        <w:rPr>
          <w:rFonts w:hint="eastAsia" w:ascii="宋体" w:hAnsi="宋体" w:eastAsia="宋体" w:cs="宋体"/>
          <w:color w:val="auto"/>
          <w:sz w:val="28"/>
          <w:szCs w:val="28"/>
          <w:highlight w:val="none"/>
        </w:rPr>
      </w:pPr>
      <w:bookmarkStart w:id="91" w:name="_bookmark17"/>
      <w:bookmarkEnd w:id="91"/>
      <w:r>
        <w:rPr>
          <w:rFonts w:hint="eastAsia" w:ascii="宋体" w:hAnsi="宋体" w:eastAsia="宋体" w:cs="宋体"/>
          <w:color w:val="auto"/>
          <w:sz w:val="28"/>
          <w:szCs w:val="28"/>
          <w:highlight w:val="none"/>
        </w:rPr>
        <w:t>格式三：法定代表人授权委托书</w:t>
      </w:r>
    </w:p>
    <w:p w14:paraId="7D328EEC">
      <w:pPr>
        <w:spacing w:line="328" w:lineRule="auto"/>
        <w:jc w:val="both"/>
        <w:rPr>
          <w:rFonts w:hint="eastAsia" w:ascii="宋体" w:hAnsi="宋体" w:eastAsia="宋体" w:cs="宋体"/>
          <w:color w:val="auto"/>
          <w:highlight w:val="none"/>
        </w:rPr>
      </w:pPr>
    </w:p>
    <w:p w14:paraId="72717E4F">
      <w:pPr>
        <w:spacing w:line="328" w:lineRule="auto"/>
        <w:jc w:val="both"/>
        <w:rPr>
          <w:rFonts w:hint="eastAsia" w:ascii="宋体" w:hAnsi="宋体" w:eastAsia="宋体" w:cs="宋体"/>
          <w:color w:val="auto"/>
          <w:highlight w:val="none"/>
        </w:rPr>
      </w:pPr>
    </w:p>
    <w:p w14:paraId="51B320E6">
      <w:pPr>
        <w:spacing w:before="75" w:line="227" w:lineRule="auto"/>
        <w:jc w:val="center"/>
        <w:outlineLvl w:val="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法定代表人授权委托书</w:t>
      </w:r>
    </w:p>
    <w:p w14:paraId="41AF7D50">
      <w:pPr>
        <w:spacing w:line="386" w:lineRule="auto"/>
        <w:jc w:val="both"/>
        <w:rPr>
          <w:rFonts w:hint="eastAsia" w:ascii="宋体" w:hAnsi="宋体" w:eastAsia="宋体" w:cs="宋体"/>
          <w:color w:val="auto"/>
          <w:highlight w:val="none"/>
        </w:rPr>
      </w:pPr>
    </w:p>
    <w:p w14:paraId="3DA31C0D">
      <w:pPr>
        <w:spacing w:before="75" w:line="375" w:lineRule="auto"/>
        <w:ind w:firstLine="5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本人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(姓名)系</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(投标人名称)的法定代表人，现委托</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(姓名)为我方代理人。代理人根据授权，以我方名义签署、澄清、说明、补正、递交、撤回、修改</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(项目及标段名称)的投标文件、签订合同和处理有关事宜，其法律后果由我方承担。</w:t>
      </w:r>
    </w:p>
    <w:p w14:paraId="201E81F1">
      <w:pPr>
        <w:spacing w:line="375"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委托期限</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4424CCF2">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代理人无转委托权。</w:t>
      </w:r>
    </w:p>
    <w:p w14:paraId="66665543">
      <w:pPr>
        <w:spacing w:before="181" w:line="227" w:lineRule="auto"/>
        <w:ind w:left="36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附：委托代理人身份证明</w:t>
      </w:r>
    </w:p>
    <w:p w14:paraId="2D7ECAD5">
      <w:pPr>
        <w:spacing w:line="285" w:lineRule="auto"/>
        <w:jc w:val="both"/>
        <w:rPr>
          <w:rFonts w:hint="eastAsia" w:ascii="宋体" w:hAnsi="宋体" w:eastAsia="宋体" w:cs="宋体"/>
          <w:color w:val="auto"/>
          <w:highlight w:val="none"/>
        </w:rPr>
      </w:pPr>
    </w:p>
    <w:p w14:paraId="6087E5CE">
      <w:pPr>
        <w:spacing w:line="286" w:lineRule="auto"/>
        <w:jc w:val="both"/>
        <w:rPr>
          <w:rFonts w:hint="eastAsia" w:ascii="宋体" w:hAnsi="宋体" w:eastAsia="宋体" w:cs="宋体"/>
          <w:color w:val="auto"/>
          <w:highlight w:val="none"/>
        </w:rPr>
      </w:pPr>
    </w:p>
    <w:p w14:paraId="1C911FCC">
      <w:pPr>
        <w:spacing w:before="76" w:line="376" w:lineRule="auto"/>
        <w:ind w:left="35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(盖单位公章)</w:t>
      </w:r>
    </w:p>
    <w:p w14:paraId="7926C2BF">
      <w:pPr>
        <w:spacing w:line="227" w:lineRule="auto"/>
        <w:ind w:left="34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(签字或盖章)</w:t>
      </w:r>
    </w:p>
    <w:p w14:paraId="0AFD8B88">
      <w:pPr>
        <w:spacing w:before="185" w:line="374"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43618DD7">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(签字)</w:t>
      </w:r>
    </w:p>
    <w:p w14:paraId="018AAB34">
      <w:pPr>
        <w:spacing w:before="184" w:line="227" w:lineRule="auto"/>
        <w:ind w:left="3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手机号码：</w:t>
      </w:r>
      <w:r>
        <w:rPr>
          <w:rFonts w:hint="eastAsia" w:ascii="宋体" w:hAnsi="宋体" w:eastAsia="宋体" w:cs="宋体"/>
          <w:color w:val="auto"/>
          <w:sz w:val="23"/>
          <w:szCs w:val="23"/>
          <w:highlight w:val="none"/>
          <w:u w:val="single"/>
        </w:rPr>
        <w:t xml:space="preserve">                  </w:t>
      </w:r>
    </w:p>
    <w:p w14:paraId="70C0F085">
      <w:pPr>
        <w:spacing w:before="183" w:line="228"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518F6396">
      <w:pPr>
        <w:spacing w:line="285" w:lineRule="auto"/>
        <w:jc w:val="both"/>
        <w:rPr>
          <w:rFonts w:hint="eastAsia" w:ascii="宋体" w:hAnsi="宋体" w:eastAsia="宋体" w:cs="宋体"/>
          <w:color w:val="auto"/>
          <w:highlight w:val="none"/>
        </w:rPr>
      </w:pPr>
    </w:p>
    <w:p w14:paraId="3FEE39F7">
      <w:pPr>
        <w:spacing w:line="286" w:lineRule="auto"/>
        <w:jc w:val="both"/>
        <w:rPr>
          <w:rFonts w:hint="eastAsia" w:ascii="宋体" w:hAnsi="宋体" w:eastAsia="宋体" w:cs="宋体"/>
          <w:color w:val="auto"/>
          <w:highlight w:val="none"/>
        </w:rPr>
      </w:pPr>
    </w:p>
    <w:p w14:paraId="069EE41C">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085BCD7A">
      <w:pPr>
        <w:jc w:val="both"/>
        <w:rPr>
          <w:rFonts w:hint="eastAsia" w:ascii="宋体" w:hAnsi="宋体" w:eastAsia="宋体" w:cs="宋体"/>
          <w:color w:val="auto"/>
          <w:highlight w:val="none"/>
        </w:rPr>
      </w:pPr>
    </w:p>
    <w:p w14:paraId="796A7C5A">
      <w:pPr>
        <w:jc w:val="both"/>
        <w:rPr>
          <w:rFonts w:hint="eastAsia" w:ascii="宋体" w:hAnsi="宋体" w:eastAsia="宋体" w:cs="宋体"/>
          <w:color w:val="auto"/>
          <w:highlight w:val="none"/>
        </w:rPr>
      </w:pPr>
    </w:p>
    <w:p w14:paraId="6AE019DE">
      <w:pPr>
        <w:spacing w:line="105" w:lineRule="exact"/>
        <w:jc w:val="both"/>
        <w:rPr>
          <w:rFonts w:hint="eastAsia" w:ascii="宋体" w:hAnsi="宋体" w:eastAsia="宋体" w:cs="宋体"/>
          <w:color w:val="auto"/>
          <w:highlight w:val="none"/>
        </w:rPr>
      </w:pPr>
    </w:p>
    <w:tbl>
      <w:tblPr>
        <w:tblStyle w:val="53"/>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14:paraId="7579BBD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noWrap w:val="0"/>
            <w:vAlign w:val="top"/>
          </w:tcPr>
          <w:p w14:paraId="559649C3">
            <w:pPr>
              <w:spacing w:line="256" w:lineRule="auto"/>
              <w:jc w:val="both"/>
              <w:rPr>
                <w:rFonts w:hint="eastAsia" w:ascii="宋体" w:hAnsi="宋体" w:eastAsia="宋体" w:cs="宋体"/>
                <w:color w:val="auto"/>
                <w:highlight w:val="none"/>
              </w:rPr>
            </w:pPr>
          </w:p>
          <w:p w14:paraId="30EAEC24">
            <w:pPr>
              <w:spacing w:line="257" w:lineRule="auto"/>
              <w:jc w:val="both"/>
              <w:rPr>
                <w:rFonts w:hint="eastAsia" w:ascii="宋体" w:hAnsi="宋体" w:eastAsia="宋体" w:cs="宋体"/>
                <w:color w:val="auto"/>
                <w:highlight w:val="none"/>
              </w:rPr>
            </w:pPr>
          </w:p>
          <w:p w14:paraId="4FB60C65">
            <w:pPr>
              <w:spacing w:before="75" w:line="228" w:lineRule="auto"/>
              <w:ind w:left="242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委托代理人身份证复制件</w:t>
            </w:r>
          </w:p>
        </w:tc>
      </w:tr>
    </w:tbl>
    <w:p w14:paraId="606E0A51">
      <w:pPr>
        <w:spacing w:line="480" w:lineRule="auto"/>
        <w:jc w:val="center"/>
        <w:outlineLvl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br w:type="page"/>
      </w:r>
      <w:r>
        <w:rPr>
          <w:rFonts w:hint="eastAsia" w:ascii="宋体" w:hAnsi="宋体" w:eastAsia="宋体" w:cs="宋体"/>
          <w:b/>
          <w:bCs/>
          <w:color w:val="auto"/>
          <w:sz w:val="36"/>
          <w:szCs w:val="36"/>
          <w:highlight w:val="none"/>
        </w:rPr>
        <w:t>投标保证金</w:t>
      </w:r>
      <w:r>
        <w:rPr>
          <w:rFonts w:hint="eastAsia" w:ascii="宋体" w:hAnsi="宋体" w:eastAsia="宋体" w:cs="宋体"/>
          <w:b/>
          <w:bCs/>
          <w:color w:val="auto"/>
          <w:sz w:val="36"/>
          <w:szCs w:val="36"/>
          <w:highlight w:val="none"/>
          <w:lang w:val="en-US" w:eastAsia="zh-CN"/>
        </w:rPr>
        <w:t>缴纳证明资料</w:t>
      </w:r>
    </w:p>
    <w:p w14:paraId="6A68E94B">
      <w:pPr>
        <w:keepNext w:val="0"/>
        <w:keepLines w:val="0"/>
        <w:pageBreakBefore w:val="0"/>
        <w:widowControl w:val="0"/>
        <w:tabs>
          <w:tab w:val="left" w:pos="312"/>
        </w:tabs>
        <w:kinsoku w:val="0"/>
        <w:wordWrap/>
        <w:overflowPunct/>
        <w:topLinePunct w:val="0"/>
        <w:autoSpaceDE w:val="0"/>
        <w:autoSpaceDN w:val="0"/>
        <w:bidi w:val="0"/>
        <w:adjustRightInd w:val="0"/>
        <w:snapToGrid w:val="0"/>
        <w:spacing w:before="156" w:beforeLines="50" w:after="156" w:afterLines="50"/>
        <w:jc w:val="both"/>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1.采用转账形式缴纳的，提供银行转账凭证（记录）及基本账户开户证明。</w:t>
      </w:r>
    </w:p>
    <w:p w14:paraId="3CB99F05">
      <w:pPr>
        <w:keepNext w:val="0"/>
        <w:keepLines w:val="0"/>
        <w:pageBreakBefore w:val="0"/>
        <w:widowControl w:val="0"/>
        <w:tabs>
          <w:tab w:val="left" w:pos="312"/>
        </w:tabs>
        <w:kinsoku w:val="0"/>
        <w:wordWrap/>
        <w:overflowPunct/>
        <w:topLinePunct w:val="0"/>
        <w:autoSpaceDE w:val="0"/>
        <w:autoSpaceDN w:val="0"/>
        <w:bidi w:val="0"/>
        <w:adjustRightInd w:val="0"/>
        <w:snapToGrid w:val="0"/>
        <w:spacing w:before="156" w:beforeLines="50" w:after="156" w:afterLines="50"/>
        <w:jc w:val="both"/>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2.采用银行保函或投标保险保单或担保保函的，提供保函、购买保险或办理保函、担保等保证金相关费用从投标人基本账户转出的凭证、基本账户开户证明。</w:t>
      </w:r>
    </w:p>
    <w:p w14:paraId="5131D6C0">
      <w:pPr>
        <w:rPr>
          <w:rFonts w:hint="eastAsia" w:ascii="宋体" w:hAnsi="宋体" w:eastAsia="宋体" w:cs="宋体"/>
          <w:color w:val="auto"/>
          <w:highlight w:val="none"/>
        </w:rPr>
      </w:pPr>
    </w:p>
    <w:p w14:paraId="324DB069">
      <w:pPr>
        <w:jc w:val="both"/>
        <w:rPr>
          <w:rFonts w:hint="eastAsia" w:ascii="宋体" w:hAnsi="宋体" w:eastAsia="宋体" w:cs="宋体"/>
          <w:color w:val="auto"/>
          <w:highlight w:val="none"/>
        </w:rPr>
      </w:pPr>
    </w:p>
    <w:p w14:paraId="5D42C062">
      <w:pPr>
        <w:jc w:val="both"/>
        <w:rPr>
          <w:rFonts w:hint="eastAsia" w:ascii="宋体" w:hAnsi="宋体" w:eastAsia="宋体" w:cs="宋体"/>
          <w:color w:val="auto"/>
          <w:highlight w:val="none"/>
        </w:rPr>
        <w:sectPr>
          <w:footerReference r:id="rId18" w:type="default"/>
          <w:pgSz w:w="11907" w:h="16840"/>
          <w:pgMar w:top="1418" w:right="1559" w:bottom="1418" w:left="1474" w:header="0" w:footer="723" w:gutter="0"/>
          <w:cols w:space="720" w:num="1"/>
        </w:sectPr>
      </w:pPr>
    </w:p>
    <w:p w14:paraId="0FC7CF44">
      <w:pPr>
        <w:spacing w:before="163" w:line="221" w:lineRule="auto"/>
        <w:ind w:left="617"/>
        <w:jc w:val="both"/>
        <w:outlineLvl w:val="1"/>
        <w:rPr>
          <w:rFonts w:hint="eastAsia" w:ascii="宋体" w:hAnsi="宋体" w:eastAsia="宋体" w:cs="宋体"/>
          <w:color w:val="auto"/>
          <w:sz w:val="28"/>
          <w:szCs w:val="28"/>
          <w:highlight w:val="none"/>
        </w:rPr>
      </w:pPr>
      <w:bookmarkStart w:id="92" w:name="_bookmark18"/>
      <w:bookmarkEnd w:id="92"/>
      <w:r>
        <w:rPr>
          <w:rFonts w:hint="eastAsia" w:ascii="宋体" w:hAnsi="宋体" w:eastAsia="宋体" w:cs="宋体"/>
          <w:color w:val="auto"/>
          <w:sz w:val="28"/>
          <w:szCs w:val="28"/>
          <w:highlight w:val="none"/>
        </w:rPr>
        <w:t>格式四：投标报价表</w:t>
      </w:r>
    </w:p>
    <w:p w14:paraId="53186167">
      <w:pPr>
        <w:spacing w:before="246" w:line="224" w:lineRule="auto"/>
        <w:ind w:left="6702"/>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投标报价表</w:t>
      </w:r>
    </w:p>
    <w:p w14:paraId="259FAF4C">
      <w:pPr>
        <w:spacing w:before="130" w:line="229" w:lineRule="auto"/>
        <w:ind w:left="1185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单位：人民币元</w:t>
      </w:r>
    </w:p>
    <w:p w14:paraId="036EBEDB">
      <w:pPr>
        <w:spacing w:line="98" w:lineRule="auto"/>
        <w:jc w:val="both"/>
        <w:rPr>
          <w:rFonts w:hint="eastAsia" w:ascii="宋体" w:hAnsi="宋体" w:eastAsia="宋体" w:cs="宋体"/>
          <w:color w:val="auto"/>
          <w:sz w:val="2"/>
          <w:highlight w:val="none"/>
        </w:rPr>
      </w:pPr>
    </w:p>
    <w:tbl>
      <w:tblPr>
        <w:tblStyle w:val="53"/>
        <w:tblW w:w="146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
        <w:gridCol w:w="1813"/>
        <w:gridCol w:w="882"/>
        <w:gridCol w:w="1004"/>
        <w:gridCol w:w="1168"/>
        <w:gridCol w:w="1140"/>
        <w:gridCol w:w="1446"/>
        <w:gridCol w:w="1520"/>
        <w:gridCol w:w="900"/>
        <w:gridCol w:w="1269"/>
        <w:gridCol w:w="1424"/>
        <w:gridCol w:w="1235"/>
      </w:tblGrid>
      <w:tr w14:paraId="29C24A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852" w:type="dxa"/>
            <w:noWrap w:val="0"/>
            <w:vAlign w:val="top"/>
          </w:tcPr>
          <w:p w14:paraId="29C5AA4C">
            <w:pPr>
              <w:spacing w:before="176" w:line="193" w:lineRule="auto"/>
              <w:ind w:left="39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1813" w:type="dxa"/>
            <w:noWrap w:val="0"/>
            <w:vAlign w:val="top"/>
          </w:tcPr>
          <w:p w14:paraId="203A68C2">
            <w:pPr>
              <w:spacing w:before="177" w:line="192" w:lineRule="auto"/>
              <w:ind w:left="893"/>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882" w:type="dxa"/>
            <w:noWrap w:val="0"/>
            <w:vAlign w:val="top"/>
          </w:tcPr>
          <w:p w14:paraId="6639F8EB">
            <w:pPr>
              <w:spacing w:before="178" w:line="190" w:lineRule="auto"/>
              <w:ind w:left="39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1004" w:type="dxa"/>
            <w:noWrap w:val="0"/>
            <w:vAlign w:val="top"/>
          </w:tcPr>
          <w:p w14:paraId="398D5E1C">
            <w:pPr>
              <w:spacing w:before="177" w:line="192" w:lineRule="auto"/>
              <w:ind w:left="453"/>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1168" w:type="dxa"/>
            <w:noWrap w:val="0"/>
            <w:vAlign w:val="top"/>
          </w:tcPr>
          <w:p w14:paraId="5EADFD97">
            <w:pPr>
              <w:spacing w:before="179" w:line="189" w:lineRule="auto"/>
              <w:ind w:left="56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w:t>
            </w:r>
          </w:p>
        </w:tc>
        <w:tc>
          <w:tcPr>
            <w:tcW w:w="1140" w:type="dxa"/>
            <w:noWrap w:val="0"/>
            <w:vAlign w:val="top"/>
          </w:tcPr>
          <w:p w14:paraId="00D6519C">
            <w:pPr>
              <w:spacing w:before="178" w:line="190" w:lineRule="auto"/>
              <w:ind w:left="52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w:t>
            </w:r>
          </w:p>
        </w:tc>
        <w:tc>
          <w:tcPr>
            <w:tcW w:w="1446" w:type="dxa"/>
            <w:noWrap w:val="0"/>
            <w:vAlign w:val="top"/>
          </w:tcPr>
          <w:p w14:paraId="081B4B97">
            <w:pPr>
              <w:spacing w:before="179" w:line="189" w:lineRule="auto"/>
              <w:ind w:left="67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7</w:t>
            </w:r>
          </w:p>
        </w:tc>
        <w:tc>
          <w:tcPr>
            <w:tcW w:w="1520" w:type="dxa"/>
            <w:noWrap w:val="0"/>
            <w:vAlign w:val="top"/>
          </w:tcPr>
          <w:p w14:paraId="143B07EE">
            <w:pPr>
              <w:spacing w:before="178" w:line="190" w:lineRule="auto"/>
              <w:ind w:left="715"/>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8</w:t>
            </w:r>
          </w:p>
        </w:tc>
        <w:tc>
          <w:tcPr>
            <w:tcW w:w="900" w:type="dxa"/>
            <w:noWrap w:val="0"/>
            <w:vAlign w:val="top"/>
          </w:tcPr>
          <w:p w14:paraId="339D2B29">
            <w:pPr>
              <w:spacing w:before="178" w:line="190" w:lineRule="auto"/>
              <w:ind w:left="40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9</w:t>
            </w:r>
          </w:p>
        </w:tc>
        <w:tc>
          <w:tcPr>
            <w:tcW w:w="1269" w:type="dxa"/>
            <w:noWrap w:val="0"/>
            <w:vAlign w:val="top"/>
          </w:tcPr>
          <w:p w14:paraId="78D513D7">
            <w:pPr>
              <w:spacing w:before="176" w:line="191" w:lineRule="auto"/>
              <w:ind w:left="55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w:t>
            </w:r>
          </w:p>
        </w:tc>
        <w:tc>
          <w:tcPr>
            <w:tcW w:w="1424" w:type="dxa"/>
            <w:noWrap w:val="0"/>
            <w:vAlign w:val="top"/>
          </w:tcPr>
          <w:p w14:paraId="16DDD61A">
            <w:pPr>
              <w:spacing w:before="176" w:line="193" w:lineRule="auto"/>
              <w:ind w:left="62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w:t>
            </w:r>
          </w:p>
        </w:tc>
        <w:tc>
          <w:tcPr>
            <w:tcW w:w="1235" w:type="dxa"/>
            <w:noWrap w:val="0"/>
            <w:vAlign w:val="top"/>
          </w:tcPr>
          <w:p w14:paraId="47A3FF92">
            <w:pPr>
              <w:spacing w:before="176" w:line="193" w:lineRule="auto"/>
              <w:ind w:left="53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12</w:t>
            </w:r>
          </w:p>
        </w:tc>
      </w:tr>
      <w:tr w14:paraId="4AF422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852" w:type="dxa"/>
            <w:noWrap w:val="0"/>
            <w:vAlign w:val="top"/>
          </w:tcPr>
          <w:p w14:paraId="40BFC9FF">
            <w:pPr>
              <w:spacing w:line="471" w:lineRule="auto"/>
              <w:jc w:val="both"/>
              <w:rPr>
                <w:rFonts w:hint="eastAsia" w:ascii="宋体" w:hAnsi="宋体" w:eastAsia="宋体" w:cs="宋体"/>
                <w:color w:val="auto"/>
                <w:highlight w:val="none"/>
              </w:rPr>
            </w:pPr>
          </w:p>
          <w:p w14:paraId="5F5F3E40">
            <w:pPr>
              <w:spacing w:before="65" w:line="229" w:lineRule="auto"/>
              <w:ind w:left="27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项号</w:t>
            </w:r>
          </w:p>
        </w:tc>
        <w:tc>
          <w:tcPr>
            <w:tcW w:w="1813" w:type="dxa"/>
            <w:noWrap w:val="0"/>
            <w:vAlign w:val="top"/>
          </w:tcPr>
          <w:p w14:paraId="7B829BFB">
            <w:pPr>
              <w:spacing w:line="273" w:lineRule="auto"/>
              <w:jc w:val="both"/>
              <w:rPr>
                <w:rFonts w:hint="eastAsia" w:ascii="宋体" w:hAnsi="宋体" w:eastAsia="宋体" w:cs="宋体"/>
                <w:color w:val="auto"/>
                <w:highlight w:val="none"/>
              </w:rPr>
            </w:pPr>
          </w:p>
          <w:p w14:paraId="1EC96EAD">
            <w:pPr>
              <w:spacing w:before="65" w:line="401" w:lineRule="exact"/>
              <w:ind w:left="528"/>
              <w:jc w:val="both"/>
              <w:rPr>
                <w:rFonts w:hint="eastAsia" w:ascii="宋体" w:hAnsi="宋体" w:eastAsia="宋体" w:cs="宋体"/>
                <w:color w:val="auto"/>
                <w:sz w:val="20"/>
                <w:szCs w:val="20"/>
                <w:highlight w:val="none"/>
              </w:rPr>
            </w:pPr>
            <w:r>
              <w:rPr>
                <w:rFonts w:hint="eastAsia" w:ascii="宋体" w:hAnsi="宋体" w:eastAsia="宋体" w:cs="宋体"/>
                <w:color w:val="auto"/>
                <w:position w:val="14"/>
                <w:sz w:val="20"/>
                <w:szCs w:val="20"/>
                <w:highlight w:val="none"/>
              </w:rPr>
              <w:t>货物名称</w:t>
            </w:r>
          </w:p>
          <w:p w14:paraId="41CC9598">
            <w:pPr>
              <w:spacing w:line="228" w:lineRule="auto"/>
              <w:ind w:left="52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型号规格</w:t>
            </w:r>
          </w:p>
        </w:tc>
        <w:tc>
          <w:tcPr>
            <w:tcW w:w="882" w:type="dxa"/>
            <w:noWrap w:val="0"/>
            <w:vAlign w:val="top"/>
          </w:tcPr>
          <w:p w14:paraId="0EB47B41">
            <w:pPr>
              <w:spacing w:line="272" w:lineRule="auto"/>
              <w:jc w:val="both"/>
              <w:rPr>
                <w:rFonts w:hint="eastAsia" w:ascii="宋体" w:hAnsi="宋体" w:eastAsia="宋体" w:cs="宋体"/>
                <w:color w:val="auto"/>
                <w:highlight w:val="none"/>
              </w:rPr>
            </w:pPr>
          </w:p>
          <w:p w14:paraId="38BA1D2F">
            <w:pPr>
              <w:spacing w:before="65" w:line="379" w:lineRule="auto"/>
              <w:ind w:left="16" w:right="59" w:firstLine="22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产地(品牌)</w:t>
            </w:r>
          </w:p>
        </w:tc>
        <w:tc>
          <w:tcPr>
            <w:tcW w:w="1004" w:type="dxa"/>
            <w:noWrap w:val="0"/>
            <w:vAlign w:val="top"/>
          </w:tcPr>
          <w:p w14:paraId="767C4FB2">
            <w:pPr>
              <w:spacing w:line="471" w:lineRule="auto"/>
              <w:jc w:val="both"/>
              <w:rPr>
                <w:rFonts w:hint="eastAsia" w:ascii="宋体" w:hAnsi="宋体" w:eastAsia="宋体" w:cs="宋体"/>
                <w:color w:val="auto"/>
                <w:highlight w:val="none"/>
              </w:rPr>
            </w:pPr>
          </w:p>
          <w:p w14:paraId="35FF965B">
            <w:pPr>
              <w:spacing w:before="66" w:line="228" w:lineRule="auto"/>
              <w:ind w:left="31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数量</w:t>
            </w:r>
          </w:p>
        </w:tc>
        <w:tc>
          <w:tcPr>
            <w:tcW w:w="1168" w:type="dxa"/>
            <w:noWrap w:val="0"/>
            <w:vAlign w:val="top"/>
          </w:tcPr>
          <w:p w14:paraId="28D2A3D4">
            <w:pPr>
              <w:spacing w:line="272" w:lineRule="auto"/>
              <w:jc w:val="both"/>
              <w:rPr>
                <w:rFonts w:hint="eastAsia" w:ascii="宋体" w:hAnsi="宋体" w:eastAsia="宋体" w:cs="宋体"/>
                <w:color w:val="auto"/>
                <w:highlight w:val="none"/>
              </w:rPr>
            </w:pPr>
          </w:p>
          <w:p w14:paraId="0D295C41">
            <w:pPr>
              <w:spacing w:before="65" w:line="379" w:lineRule="auto"/>
              <w:ind w:left="290" w:right="141" w:hanging="8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出厂单价(含税)</w:t>
            </w:r>
          </w:p>
        </w:tc>
        <w:tc>
          <w:tcPr>
            <w:tcW w:w="1140" w:type="dxa"/>
            <w:noWrap w:val="0"/>
            <w:vAlign w:val="top"/>
          </w:tcPr>
          <w:p w14:paraId="1372FED9">
            <w:pPr>
              <w:spacing w:before="141" w:line="228" w:lineRule="auto"/>
              <w:ind w:left="16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运杂、及</w:t>
            </w:r>
          </w:p>
          <w:p w14:paraId="277B399C">
            <w:pPr>
              <w:spacing w:before="151" w:line="229" w:lineRule="auto"/>
              <w:ind w:left="26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保险费</w:t>
            </w:r>
          </w:p>
          <w:p w14:paraId="5319346D">
            <w:pPr>
              <w:spacing w:before="153" w:line="228" w:lineRule="auto"/>
              <w:ind w:left="303"/>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(含税)</w:t>
            </w:r>
          </w:p>
        </w:tc>
        <w:tc>
          <w:tcPr>
            <w:tcW w:w="1446" w:type="dxa"/>
            <w:noWrap w:val="0"/>
            <w:vAlign w:val="top"/>
          </w:tcPr>
          <w:p w14:paraId="3E2E6B58">
            <w:pPr>
              <w:spacing w:before="141" w:line="228" w:lineRule="auto"/>
              <w:ind w:left="21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特殊工具费</w:t>
            </w:r>
          </w:p>
          <w:p w14:paraId="5051D129">
            <w:pPr>
              <w:spacing w:before="151" w:line="228" w:lineRule="auto"/>
              <w:ind w:left="21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备品备件费</w:t>
            </w:r>
          </w:p>
          <w:p w14:paraId="6F0F3DB1">
            <w:pPr>
              <w:spacing w:before="153" w:line="228" w:lineRule="auto"/>
              <w:ind w:left="44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(含税)</w:t>
            </w:r>
          </w:p>
        </w:tc>
        <w:tc>
          <w:tcPr>
            <w:tcW w:w="1520" w:type="dxa"/>
            <w:noWrap w:val="0"/>
            <w:vAlign w:val="top"/>
          </w:tcPr>
          <w:p w14:paraId="537079E9">
            <w:pPr>
              <w:spacing w:line="274" w:lineRule="auto"/>
              <w:jc w:val="both"/>
              <w:rPr>
                <w:rFonts w:hint="eastAsia" w:ascii="宋体" w:hAnsi="宋体" w:eastAsia="宋体" w:cs="宋体"/>
                <w:color w:val="auto"/>
                <w:highlight w:val="none"/>
              </w:rPr>
            </w:pPr>
          </w:p>
          <w:p w14:paraId="1F985070">
            <w:pPr>
              <w:spacing w:before="65" w:line="228" w:lineRule="auto"/>
              <w:ind w:left="24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相关服务费</w:t>
            </w:r>
          </w:p>
          <w:p w14:paraId="332F61BD">
            <w:pPr>
              <w:spacing w:before="153" w:line="228" w:lineRule="auto"/>
              <w:ind w:left="49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(含税)</w:t>
            </w:r>
          </w:p>
        </w:tc>
        <w:tc>
          <w:tcPr>
            <w:tcW w:w="900" w:type="dxa"/>
            <w:noWrap w:val="0"/>
            <w:vAlign w:val="top"/>
          </w:tcPr>
          <w:p w14:paraId="45747BDD">
            <w:pPr>
              <w:spacing w:line="272" w:lineRule="auto"/>
              <w:jc w:val="both"/>
              <w:rPr>
                <w:rFonts w:hint="eastAsia" w:ascii="宋体" w:hAnsi="宋体" w:eastAsia="宋体" w:cs="宋体"/>
                <w:color w:val="auto"/>
                <w:highlight w:val="none"/>
              </w:rPr>
            </w:pPr>
          </w:p>
          <w:p w14:paraId="085D7BB6">
            <w:pPr>
              <w:spacing w:before="65" w:line="379" w:lineRule="auto"/>
              <w:ind w:left="179" w:right="130" w:firstLine="6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其他(含税)</w:t>
            </w:r>
          </w:p>
        </w:tc>
        <w:tc>
          <w:tcPr>
            <w:tcW w:w="1269" w:type="dxa"/>
            <w:noWrap w:val="0"/>
            <w:vAlign w:val="top"/>
          </w:tcPr>
          <w:p w14:paraId="5224F651">
            <w:pPr>
              <w:spacing w:line="272" w:lineRule="auto"/>
              <w:jc w:val="both"/>
              <w:rPr>
                <w:rFonts w:hint="eastAsia" w:ascii="宋体" w:hAnsi="宋体" w:eastAsia="宋体" w:cs="宋体"/>
                <w:color w:val="auto"/>
                <w:highlight w:val="none"/>
              </w:rPr>
            </w:pPr>
          </w:p>
          <w:p w14:paraId="313F4E0A">
            <w:pPr>
              <w:spacing w:before="65" w:line="379" w:lineRule="auto"/>
              <w:ind w:left="361" w:right="109" w:hanging="3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综合单价(含税)</w:t>
            </w:r>
          </w:p>
        </w:tc>
        <w:tc>
          <w:tcPr>
            <w:tcW w:w="1424" w:type="dxa"/>
            <w:noWrap w:val="0"/>
            <w:vAlign w:val="top"/>
          </w:tcPr>
          <w:p w14:paraId="1B038B1F">
            <w:pPr>
              <w:spacing w:line="471" w:lineRule="auto"/>
              <w:jc w:val="both"/>
              <w:rPr>
                <w:rFonts w:hint="eastAsia" w:ascii="宋体" w:hAnsi="宋体" w:eastAsia="宋体" w:cs="宋体"/>
                <w:color w:val="auto"/>
                <w:highlight w:val="none"/>
              </w:rPr>
            </w:pPr>
          </w:p>
          <w:p w14:paraId="7672E142">
            <w:pPr>
              <w:spacing w:before="65" w:line="227" w:lineRule="auto"/>
              <w:ind w:left="51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总价</w:t>
            </w:r>
          </w:p>
        </w:tc>
        <w:tc>
          <w:tcPr>
            <w:tcW w:w="1235" w:type="dxa"/>
            <w:noWrap w:val="0"/>
            <w:vAlign w:val="top"/>
          </w:tcPr>
          <w:p w14:paraId="7476AF3A">
            <w:pPr>
              <w:spacing w:line="471" w:lineRule="auto"/>
              <w:jc w:val="both"/>
              <w:rPr>
                <w:rFonts w:hint="eastAsia" w:ascii="宋体" w:hAnsi="宋体" w:eastAsia="宋体" w:cs="宋体"/>
                <w:color w:val="auto"/>
                <w:highlight w:val="none"/>
              </w:rPr>
            </w:pPr>
          </w:p>
          <w:p w14:paraId="713F7B68">
            <w:pPr>
              <w:spacing w:before="65" w:line="230" w:lineRule="auto"/>
              <w:ind w:left="415"/>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备注</w:t>
            </w:r>
          </w:p>
        </w:tc>
      </w:tr>
      <w:tr w14:paraId="0101C4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852" w:type="dxa"/>
            <w:noWrap w:val="0"/>
            <w:vAlign w:val="top"/>
          </w:tcPr>
          <w:p w14:paraId="4593D5EC">
            <w:pPr>
              <w:jc w:val="both"/>
              <w:rPr>
                <w:rFonts w:hint="eastAsia" w:ascii="宋体" w:hAnsi="宋体" w:eastAsia="宋体" w:cs="宋体"/>
                <w:color w:val="auto"/>
                <w:highlight w:val="none"/>
              </w:rPr>
            </w:pPr>
          </w:p>
        </w:tc>
        <w:tc>
          <w:tcPr>
            <w:tcW w:w="1813" w:type="dxa"/>
            <w:noWrap w:val="0"/>
            <w:vAlign w:val="top"/>
          </w:tcPr>
          <w:p w14:paraId="7C524D06">
            <w:pPr>
              <w:jc w:val="both"/>
              <w:rPr>
                <w:rFonts w:hint="eastAsia" w:ascii="宋体" w:hAnsi="宋体" w:eastAsia="宋体" w:cs="宋体"/>
                <w:color w:val="auto"/>
                <w:highlight w:val="none"/>
              </w:rPr>
            </w:pPr>
          </w:p>
        </w:tc>
        <w:tc>
          <w:tcPr>
            <w:tcW w:w="882" w:type="dxa"/>
            <w:noWrap w:val="0"/>
            <w:vAlign w:val="top"/>
          </w:tcPr>
          <w:p w14:paraId="2B258BCC">
            <w:pPr>
              <w:jc w:val="both"/>
              <w:rPr>
                <w:rFonts w:hint="eastAsia" w:ascii="宋体" w:hAnsi="宋体" w:eastAsia="宋体" w:cs="宋体"/>
                <w:color w:val="auto"/>
                <w:highlight w:val="none"/>
              </w:rPr>
            </w:pPr>
          </w:p>
        </w:tc>
        <w:tc>
          <w:tcPr>
            <w:tcW w:w="1004" w:type="dxa"/>
            <w:noWrap w:val="0"/>
            <w:vAlign w:val="top"/>
          </w:tcPr>
          <w:p w14:paraId="3D1FDB87">
            <w:pPr>
              <w:jc w:val="both"/>
              <w:rPr>
                <w:rFonts w:hint="eastAsia" w:ascii="宋体" w:hAnsi="宋体" w:eastAsia="宋体" w:cs="宋体"/>
                <w:color w:val="auto"/>
                <w:highlight w:val="none"/>
              </w:rPr>
            </w:pPr>
          </w:p>
        </w:tc>
        <w:tc>
          <w:tcPr>
            <w:tcW w:w="1168" w:type="dxa"/>
            <w:noWrap w:val="0"/>
            <w:vAlign w:val="top"/>
          </w:tcPr>
          <w:p w14:paraId="5D2B9223">
            <w:pPr>
              <w:jc w:val="both"/>
              <w:rPr>
                <w:rFonts w:hint="eastAsia" w:ascii="宋体" w:hAnsi="宋体" w:eastAsia="宋体" w:cs="宋体"/>
                <w:color w:val="auto"/>
                <w:highlight w:val="none"/>
              </w:rPr>
            </w:pPr>
          </w:p>
        </w:tc>
        <w:tc>
          <w:tcPr>
            <w:tcW w:w="1140" w:type="dxa"/>
            <w:noWrap w:val="0"/>
            <w:vAlign w:val="top"/>
          </w:tcPr>
          <w:p w14:paraId="270F8F15">
            <w:pPr>
              <w:jc w:val="both"/>
              <w:rPr>
                <w:rFonts w:hint="eastAsia" w:ascii="宋体" w:hAnsi="宋体" w:eastAsia="宋体" w:cs="宋体"/>
                <w:color w:val="auto"/>
                <w:highlight w:val="none"/>
              </w:rPr>
            </w:pPr>
          </w:p>
        </w:tc>
        <w:tc>
          <w:tcPr>
            <w:tcW w:w="1446" w:type="dxa"/>
            <w:noWrap w:val="0"/>
            <w:vAlign w:val="top"/>
          </w:tcPr>
          <w:p w14:paraId="1A465549">
            <w:pPr>
              <w:jc w:val="both"/>
              <w:rPr>
                <w:rFonts w:hint="eastAsia" w:ascii="宋体" w:hAnsi="宋体" w:eastAsia="宋体" w:cs="宋体"/>
                <w:color w:val="auto"/>
                <w:highlight w:val="none"/>
              </w:rPr>
            </w:pPr>
          </w:p>
        </w:tc>
        <w:tc>
          <w:tcPr>
            <w:tcW w:w="1520" w:type="dxa"/>
            <w:noWrap w:val="0"/>
            <w:vAlign w:val="top"/>
          </w:tcPr>
          <w:p w14:paraId="6600A601">
            <w:pPr>
              <w:jc w:val="both"/>
              <w:rPr>
                <w:rFonts w:hint="eastAsia" w:ascii="宋体" w:hAnsi="宋体" w:eastAsia="宋体" w:cs="宋体"/>
                <w:color w:val="auto"/>
                <w:highlight w:val="none"/>
              </w:rPr>
            </w:pPr>
          </w:p>
        </w:tc>
        <w:tc>
          <w:tcPr>
            <w:tcW w:w="900" w:type="dxa"/>
            <w:noWrap w:val="0"/>
            <w:vAlign w:val="top"/>
          </w:tcPr>
          <w:p w14:paraId="0A352C97">
            <w:pPr>
              <w:jc w:val="both"/>
              <w:rPr>
                <w:rFonts w:hint="eastAsia" w:ascii="宋体" w:hAnsi="宋体" w:eastAsia="宋体" w:cs="宋体"/>
                <w:color w:val="auto"/>
                <w:highlight w:val="none"/>
              </w:rPr>
            </w:pPr>
          </w:p>
        </w:tc>
        <w:tc>
          <w:tcPr>
            <w:tcW w:w="1269" w:type="dxa"/>
            <w:noWrap w:val="0"/>
            <w:vAlign w:val="top"/>
          </w:tcPr>
          <w:p w14:paraId="7995D02B">
            <w:pPr>
              <w:jc w:val="both"/>
              <w:rPr>
                <w:rFonts w:hint="eastAsia" w:ascii="宋体" w:hAnsi="宋体" w:eastAsia="宋体" w:cs="宋体"/>
                <w:color w:val="auto"/>
                <w:highlight w:val="none"/>
              </w:rPr>
            </w:pPr>
          </w:p>
        </w:tc>
        <w:tc>
          <w:tcPr>
            <w:tcW w:w="1424" w:type="dxa"/>
            <w:noWrap w:val="0"/>
            <w:vAlign w:val="top"/>
          </w:tcPr>
          <w:p w14:paraId="77CA3F6D">
            <w:pPr>
              <w:jc w:val="both"/>
              <w:rPr>
                <w:rFonts w:hint="eastAsia" w:ascii="宋体" w:hAnsi="宋体" w:eastAsia="宋体" w:cs="宋体"/>
                <w:color w:val="auto"/>
                <w:highlight w:val="none"/>
              </w:rPr>
            </w:pPr>
          </w:p>
        </w:tc>
        <w:tc>
          <w:tcPr>
            <w:tcW w:w="1235" w:type="dxa"/>
            <w:noWrap w:val="0"/>
            <w:vAlign w:val="top"/>
          </w:tcPr>
          <w:p w14:paraId="2F62A083">
            <w:pPr>
              <w:jc w:val="both"/>
              <w:rPr>
                <w:rFonts w:hint="eastAsia" w:ascii="宋体" w:hAnsi="宋体" w:eastAsia="宋体" w:cs="宋体"/>
                <w:color w:val="auto"/>
                <w:highlight w:val="none"/>
              </w:rPr>
            </w:pPr>
          </w:p>
        </w:tc>
      </w:tr>
      <w:tr w14:paraId="64A446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852" w:type="dxa"/>
            <w:noWrap w:val="0"/>
            <w:vAlign w:val="top"/>
          </w:tcPr>
          <w:p w14:paraId="2AC50684">
            <w:pPr>
              <w:jc w:val="both"/>
              <w:rPr>
                <w:rFonts w:hint="eastAsia" w:ascii="宋体" w:hAnsi="宋体" w:eastAsia="宋体" w:cs="宋体"/>
                <w:color w:val="auto"/>
                <w:highlight w:val="none"/>
              </w:rPr>
            </w:pPr>
          </w:p>
        </w:tc>
        <w:tc>
          <w:tcPr>
            <w:tcW w:w="1813" w:type="dxa"/>
            <w:noWrap w:val="0"/>
            <w:vAlign w:val="top"/>
          </w:tcPr>
          <w:p w14:paraId="4F5F3542">
            <w:pPr>
              <w:jc w:val="both"/>
              <w:rPr>
                <w:rFonts w:hint="eastAsia" w:ascii="宋体" w:hAnsi="宋体" w:eastAsia="宋体" w:cs="宋体"/>
                <w:color w:val="auto"/>
                <w:highlight w:val="none"/>
              </w:rPr>
            </w:pPr>
          </w:p>
        </w:tc>
        <w:tc>
          <w:tcPr>
            <w:tcW w:w="882" w:type="dxa"/>
            <w:noWrap w:val="0"/>
            <w:vAlign w:val="top"/>
          </w:tcPr>
          <w:p w14:paraId="155F3880">
            <w:pPr>
              <w:jc w:val="both"/>
              <w:rPr>
                <w:rFonts w:hint="eastAsia" w:ascii="宋体" w:hAnsi="宋体" w:eastAsia="宋体" w:cs="宋体"/>
                <w:color w:val="auto"/>
                <w:highlight w:val="none"/>
              </w:rPr>
            </w:pPr>
          </w:p>
        </w:tc>
        <w:tc>
          <w:tcPr>
            <w:tcW w:w="1004" w:type="dxa"/>
            <w:noWrap w:val="0"/>
            <w:vAlign w:val="top"/>
          </w:tcPr>
          <w:p w14:paraId="39224BA2">
            <w:pPr>
              <w:jc w:val="both"/>
              <w:rPr>
                <w:rFonts w:hint="eastAsia" w:ascii="宋体" w:hAnsi="宋体" w:eastAsia="宋体" w:cs="宋体"/>
                <w:color w:val="auto"/>
                <w:highlight w:val="none"/>
              </w:rPr>
            </w:pPr>
          </w:p>
        </w:tc>
        <w:tc>
          <w:tcPr>
            <w:tcW w:w="1168" w:type="dxa"/>
            <w:noWrap w:val="0"/>
            <w:vAlign w:val="top"/>
          </w:tcPr>
          <w:p w14:paraId="0ADE2869">
            <w:pPr>
              <w:jc w:val="both"/>
              <w:rPr>
                <w:rFonts w:hint="eastAsia" w:ascii="宋体" w:hAnsi="宋体" w:eastAsia="宋体" w:cs="宋体"/>
                <w:color w:val="auto"/>
                <w:highlight w:val="none"/>
              </w:rPr>
            </w:pPr>
          </w:p>
        </w:tc>
        <w:tc>
          <w:tcPr>
            <w:tcW w:w="1140" w:type="dxa"/>
            <w:noWrap w:val="0"/>
            <w:vAlign w:val="top"/>
          </w:tcPr>
          <w:p w14:paraId="1E4ACEFB">
            <w:pPr>
              <w:jc w:val="both"/>
              <w:rPr>
                <w:rFonts w:hint="eastAsia" w:ascii="宋体" w:hAnsi="宋体" w:eastAsia="宋体" w:cs="宋体"/>
                <w:color w:val="auto"/>
                <w:highlight w:val="none"/>
              </w:rPr>
            </w:pPr>
          </w:p>
        </w:tc>
        <w:tc>
          <w:tcPr>
            <w:tcW w:w="1446" w:type="dxa"/>
            <w:noWrap w:val="0"/>
            <w:vAlign w:val="top"/>
          </w:tcPr>
          <w:p w14:paraId="183603FE">
            <w:pPr>
              <w:jc w:val="both"/>
              <w:rPr>
                <w:rFonts w:hint="eastAsia" w:ascii="宋体" w:hAnsi="宋体" w:eastAsia="宋体" w:cs="宋体"/>
                <w:color w:val="auto"/>
                <w:highlight w:val="none"/>
              </w:rPr>
            </w:pPr>
          </w:p>
        </w:tc>
        <w:tc>
          <w:tcPr>
            <w:tcW w:w="1520" w:type="dxa"/>
            <w:noWrap w:val="0"/>
            <w:vAlign w:val="top"/>
          </w:tcPr>
          <w:p w14:paraId="1AF9897F">
            <w:pPr>
              <w:jc w:val="both"/>
              <w:rPr>
                <w:rFonts w:hint="eastAsia" w:ascii="宋体" w:hAnsi="宋体" w:eastAsia="宋体" w:cs="宋体"/>
                <w:color w:val="auto"/>
                <w:highlight w:val="none"/>
              </w:rPr>
            </w:pPr>
          </w:p>
        </w:tc>
        <w:tc>
          <w:tcPr>
            <w:tcW w:w="900" w:type="dxa"/>
            <w:noWrap w:val="0"/>
            <w:vAlign w:val="top"/>
          </w:tcPr>
          <w:p w14:paraId="7F2055DC">
            <w:pPr>
              <w:jc w:val="both"/>
              <w:rPr>
                <w:rFonts w:hint="eastAsia" w:ascii="宋体" w:hAnsi="宋体" w:eastAsia="宋体" w:cs="宋体"/>
                <w:color w:val="auto"/>
                <w:highlight w:val="none"/>
              </w:rPr>
            </w:pPr>
          </w:p>
        </w:tc>
        <w:tc>
          <w:tcPr>
            <w:tcW w:w="1269" w:type="dxa"/>
            <w:noWrap w:val="0"/>
            <w:vAlign w:val="top"/>
          </w:tcPr>
          <w:p w14:paraId="439E784C">
            <w:pPr>
              <w:jc w:val="both"/>
              <w:rPr>
                <w:rFonts w:hint="eastAsia" w:ascii="宋体" w:hAnsi="宋体" w:eastAsia="宋体" w:cs="宋体"/>
                <w:color w:val="auto"/>
                <w:highlight w:val="none"/>
              </w:rPr>
            </w:pPr>
          </w:p>
        </w:tc>
        <w:tc>
          <w:tcPr>
            <w:tcW w:w="1424" w:type="dxa"/>
            <w:noWrap w:val="0"/>
            <w:vAlign w:val="top"/>
          </w:tcPr>
          <w:p w14:paraId="4B4F2C3D">
            <w:pPr>
              <w:jc w:val="both"/>
              <w:rPr>
                <w:rFonts w:hint="eastAsia" w:ascii="宋体" w:hAnsi="宋体" w:eastAsia="宋体" w:cs="宋体"/>
                <w:color w:val="auto"/>
                <w:highlight w:val="none"/>
              </w:rPr>
            </w:pPr>
          </w:p>
        </w:tc>
        <w:tc>
          <w:tcPr>
            <w:tcW w:w="1235" w:type="dxa"/>
            <w:noWrap w:val="0"/>
            <w:vAlign w:val="top"/>
          </w:tcPr>
          <w:p w14:paraId="77D4CA6C">
            <w:pPr>
              <w:jc w:val="both"/>
              <w:rPr>
                <w:rFonts w:hint="eastAsia" w:ascii="宋体" w:hAnsi="宋体" w:eastAsia="宋体" w:cs="宋体"/>
                <w:color w:val="auto"/>
                <w:highlight w:val="none"/>
              </w:rPr>
            </w:pPr>
          </w:p>
        </w:tc>
      </w:tr>
      <w:tr w14:paraId="6CC2CB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noWrap w:val="0"/>
            <w:vAlign w:val="top"/>
          </w:tcPr>
          <w:p w14:paraId="2B30C5F8">
            <w:pPr>
              <w:jc w:val="both"/>
              <w:rPr>
                <w:rFonts w:hint="eastAsia" w:ascii="宋体" w:hAnsi="宋体" w:eastAsia="宋体" w:cs="宋体"/>
                <w:color w:val="auto"/>
                <w:highlight w:val="none"/>
              </w:rPr>
            </w:pPr>
          </w:p>
        </w:tc>
        <w:tc>
          <w:tcPr>
            <w:tcW w:w="1813" w:type="dxa"/>
            <w:noWrap w:val="0"/>
            <w:vAlign w:val="top"/>
          </w:tcPr>
          <w:p w14:paraId="07EFBF49">
            <w:pPr>
              <w:jc w:val="both"/>
              <w:rPr>
                <w:rFonts w:hint="eastAsia" w:ascii="宋体" w:hAnsi="宋体" w:eastAsia="宋体" w:cs="宋体"/>
                <w:color w:val="auto"/>
                <w:highlight w:val="none"/>
              </w:rPr>
            </w:pPr>
          </w:p>
        </w:tc>
        <w:tc>
          <w:tcPr>
            <w:tcW w:w="882" w:type="dxa"/>
            <w:noWrap w:val="0"/>
            <w:vAlign w:val="top"/>
          </w:tcPr>
          <w:p w14:paraId="2375D5AB">
            <w:pPr>
              <w:jc w:val="both"/>
              <w:rPr>
                <w:rFonts w:hint="eastAsia" w:ascii="宋体" w:hAnsi="宋体" w:eastAsia="宋体" w:cs="宋体"/>
                <w:color w:val="auto"/>
                <w:highlight w:val="none"/>
              </w:rPr>
            </w:pPr>
          </w:p>
        </w:tc>
        <w:tc>
          <w:tcPr>
            <w:tcW w:w="1004" w:type="dxa"/>
            <w:noWrap w:val="0"/>
            <w:vAlign w:val="top"/>
          </w:tcPr>
          <w:p w14:paraId="40591A50">
            <w:pPr>
              <w:jc w:val="both"/>
              <w:rPr>
                <w:rFonts w:hint="eastAsia" w:ascii="宋体" w:hAnsi="宋体" w:eastAsia="宋体" w:cs="宋体"/>
                <w:color w:val="auto"/>
                <w:highlight w:val="none"/>
              </w:rPr>
            </w:pPr>
          </w:p>
        </w:tc>
        <w:tc>
          <w:tcPr>
            <w:tcW w:w="1168" w:type="dxa"/>
            <w:noWrap w:val="0"/>
            <w:vAlign w:val="top"/>
          </w:tcPr>
          <w:p w14:paraId="5E60DB3F">
            <w:pPr>
              <w:jc w:val="both"/>
              <w:rPr>
                <w:rFonts w:hint="eastAsia" w:ascii="宋体" w:hAnsi="宋体" w:eastAsia="宋体" w:cs="宋体"/>
                <w:color w:val="auto"/>
                <w:highlight w:val="none"/>
              </w:rPr>
            </w:pPr>
          </w:p>
        </w:tc>
        <w:tc>
          <w:tcPr>
            <w:tcW w:w="1140" w:type="dxa"/>
            <w:noWrap w:val="0"/>
            <w:vAlign w:val="top"/>
          </w:tcPr>
          <w:p w14:paraId="1D9D89F3">
            <w:pPr>
              <w:jc w:val="both"/>
              <w:rPr>
                <w:rFonts w:hint="eastAsia" w:ascii="宋体" w:hAnsi="宋体" w:eastAsia="宋体" w:cs="宋体"/>
                <w:color w:val="auto"/>
                <w:highlight w:val="none"/>
              </w:rPr>
            </w:pPr>
          </w:p>
        </w:tc>
        <w:tc>
          <w:tcPr>
            <w:tcW w:w="1446" w:type="dxa"/>
            <w:noWrap w:val="0"/>
            <w:vAlign w:val="top"/>
          </w:tcPr>
          <w:p w14:paraId="625F87D4">
            <w:pPr>
              <w:jc w:val="both"/>
              <w:rPr>
                <w:rFonts w:hint="eastAsia" w:ascii="宋体" w:hAnsi="宋体" w:eastAsia="宋体" w:cs="宋体"/>
                <w:color w:val="auto"/>
                <w:highlight w:val="none"/>
              </w:rPr>
            </w:pPr>
          </w:p>
        </w:tc>
        <w:tc>
          <w:tcPr>
            <w:tcW w:w="1520" w:type="dxa"/>
            <w:noWrap w:val="0"/>
            <w:vAlign w:val="top"/>
          </w:tcPr>
          <w:p w14:paraId="23DD51D2">
            <w:pPr>
              <w:jc w:val="both"/>
              <w:rPr>
                <w:rFonts w:hint="eastAsia" w:ascii="宋体" w:hAnsi="宋体" w:eastAsia="宋体" w:cs="宋体"/>
                <w:color w:val="auto"/>
                <w:highlight w:val="none"/>
              </w:rPr>
            </w:pPr>
          </w:p>
        </w:tc>
        <w:tc>
          <w:tcPr>
            <w:tcW w:w="900" w:type="dxa"/>
            <w:noWrap w:val="0"/>
            <w:vAlign w:val="top"/>
          </w:tcPr>
          <w:p w14:paraId="4D9E9004">
            <w:pPr>
              <w:jc w:val="both"/>
              <w:rPr>
                <w:rFonts w:hint="eastAsia" w:ascii="宋体" w:hAnsi="宋体" w:eastAsia="宋体" w:cs="宋体"/>
                <w:color w:val="auto"/>
                <w:highlight w:val="none"/>
              </w:rPr>
            </w:pPr>
          </w:p>
        </w:tc>
        <w:tc>
          <w:tcPr>
            <w:tcW w:w="1269" w:type="dxa"/>
            <w:noWrap w:val="0"/>
            <w:vAlign w:val="top"/>
          </w:tcPr>
          <w:p w14:paraId="66A23E87">
            <w:pPr>
              <w:jc w:val="both"/>
              <w:rPr>
                <w:rFonts w:hint="eastAsia" w:ascii="宋体" w:hAnsi="宋体" w:eastAsia="宋体" w:cs="宋体"/>
                <w:color w:val="auto"/>
                <w:highlight w:val="none"/>
              </w:rPr>
            </w:pPr>
          </w:p>
        </w:tc>
        <w:tc>
          <w:tcPr>
            <w:tcW w:w="1424" w:type="dxa"/>
            <w:noWrap w:val="0"/>
            <w:vAlign w:val="top"/>
          </w:tcPr>
          <w:p w14:paraId="60176779">
            <w:pPr>
              <w:jc w:val="both"/>
              <w:rPr>
                <w:rFonts w:hint="eastAsia" w:ascii="宋体" w:hAnsi="宋体" w:eastAsia="宋体" w:cs="宋体"/>
                <w:color w:val="auto"/>
                <w:highlight w:val="none"/>
              </w:rPr>
            </w:pPr>
          </w:p>
        </w:tc>
        <w:tc>
          <w:tcPr>
            <w:tcW w:w="1235" w:type="dxa"/>
            <w:noWrap w:val="0"/>
            <w:vAlign w:val="top"/>
          </w:tcPr>
          <w:p w14:paraId="4092FE36">
            <w:pPr>
              <w:jc w:val="both"/>
              <w:rPr>
                <w:rFonts w:hint="eastAsia" w:ascii="宋体" w:hAnsi="宋体" w:eastAsia="宋体" w:cs="宋体"/>
                <w:color w:val="auto"/>
                <w:highlight w:val="none"/>
              </w:rPr>
            </w:pPr>
          </w:p>
        </w:tc>
      </w:tr>
      <w:tr w14:paraId="70F93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2665" w:type="dxa"/>
            <w:gridSpan w:val="2"/>
            <w:noWrap w:val="0"/>
            <w:vAlign w:val="top"/>
          </w:tcPr>
          <w:p w14:paraId="1817F5AA">
            <w:pPr>
              <w:spacing w:before="149" w:line="227" w:lineRule="auto"/>
              <w:ind w:left="18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投标总价合计</w:t>
            </w:r>
          </w:p>
        </w:tc>
        <w:tc>
          <w:tcPr>
            <w:tcW w:w="11988" w:type="dxa"/>
            <w:gridSpan w:val="10"/>
            <w:noWrap w:val="0"/>
            <w:vAlign w:val="top"/>
          </w:tcPr>
          <w:p w14:paraId="2A50C79B">
            <w:pPr>
              <w:spacing w:before="149" w:line="229" w:lineRule="auto"/>
              <w:ind w:left="32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小写：元</w:t>
            </w:r>
          </w:p>
        </w:tc>
      </w:tr>
      <w:tr w14:paraId="274E12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665" w:type="dxa"/>
            <w:gridSpan w:val="2"/>
            <w:noWrap w:val="0"/>
            <w:vAlign w:val="top"/>
          </w:tcPr>
          <w:p w14:paraId="32422011">
            <w:pPr>
              <w:spacing w:before="253" w:line="229" w:lineRule="auto"/>
              <w:ind w:left="20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质保期后的维保费用</w:t>
            </w:r>
          </w:p>
        </w:tc>
        <w:tc>
          <w:tcPr>
            <w:tcW w:w="11988" w:type="dxa"/>
            <w:gridSpan w:val="10"/>
            <w:noWrap w:val="0"/>
            <w:vAlign w:val="top"/>
          </w:tcPr>
          <w:p w14:paraId="3F76C5DA">
            <w:pPr>
              <w:tabs>
                <w:tab w:val="left" w:pos="2220"/>
              </w:tabs>
              <w:spacing w:before="253" w:line="227" w:lineRule="auto"/>
              <w:ind w:left="31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rPr>
              <w:t>元/年(不计入投标报价)</w:t>
            </w:r>
          </w:p>
        </w:tc>
      </w:tr>
    </w:tbl>
    <w:p w14:paraId="35CC0277">
      <w:pPr>
        <w:spacing w:before="59" w:line="227" w:lineRule="auto"/>
        <w:ind w:left="62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注：1、第6栏指制造厂运至交货地点全部货物运杂费和保险费，第9栏其它费用包括投标分项报价表中除本表5-8外的所有费用。</w:t>
      </w:r>
    </w:p>
    <w:p w14:paraId="50FDB0E3">
      <w:pPr>
        <w:spacing w:before="54" w:line="227" w:lineRule="auto"/>
        <w:ind w:left="1217"/>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2、第10栏综合单价=5+6+7+8</w:t>
      </w:r>
      <w:r>
        <w:rPr>
          <w:rFonts w:hint="eastAsia" w:ascii="宋体" w:hAnsi="宋体" w:eastAsia="宋体" w:cs="宋体"/>
          <w:color w:val="auto"/>
          <w:sz w:val="20"/>
          <w:szCs w:val="20"/>
          <w:highlight w:val="none"/>
          <w:lang w:val="en-US" w:eastAsia="zh-CN"/>
        </w:rPr>
        <w:t>+9</w:t>
      </w:r>
      <w:r>
        <w:rPr>
          <w:rFonts w:hint="eastAsia" w:ascii="宋体" w:hAnsi="宋体" w:eastAsia="宋体" w:cs="宋体"/>
          <w:color w:val="auto"/>
          <w:sz w:val="20"/>
          <w:szCs w:val="20"/>
          <w:highlight w:val="none"/>
        </w:rPr>
        <w:t>。</w:t>
      </w:r>
    </w:p>
    <w:p w14:paraId="207D8592">
      <w:pPr>
        <w:spacing w:before="54" w:line="227" w:lineRule="auto"/>
        <w:ind w:left="121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3、第11栏合价=4×10项。</w:t>
      </w:r>
    </w:p>
    <w:p w14:paraId="67F7EDCF">
      <w:pPr>
        <w:spacing w:before="54" w:line="271" w:lineRule="exact"/>
        <w:ind w:left="1213"/>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rPr>
        <w:t>4、投标总价合计为总价的合计，应与投标函的投标总价一致。</w:t>
      </w:r>
    </w:p>
    <w:p w14:paraId="31EB21B7">
      <w:pPr>
        <w:spacing w:before="29" w:line="265" w:lineRule="exact"/>
        <w:ind w:left="1218"/>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rPr>
        <w:t>5、投标报价表中含价栏目，若无报价的须填“含”、“无”等字样，若出现空白，招标人视为已含在投标报价中。</w:t>
      </w:r>
    </w:p>
    <w:p w14:paraId="5122AE7C">
      <w:pPr>
        <w:spacing w:before="35" w:line="269" w:lineRule="exact"/>
        <w:ind w:left="1216"/>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rPr>
        <w:t>6、如交货货物数量调整时，综合单价不作调整。</w:t>
      </w:r>
    </w:p>
    <w:p w14:paraId="224B82ED">
      <w:pPr>
        <w:jc w:val="both"/>
        <w:rPr>
          <w:rFonts w:hint="eastAsia" w:ascii="宋体" w:hAnsi="宋体" w:eastAsia="宋体" w:cs="宋体"/>
          <w:color w:val="auto"/>
          <w:highlight w:val="none"/>
        </w:rPr>
        <w:sectPr>
          <w:footerReference r:id="rId19" w:type="default"/>
          <w:pgSz w:w="16840" w:h="11907"/>
          <w:pgMar w:top="1418" w:right="1559" w:bottom="1418" w:left="1474" w:header="0" w:footer="722" w:gutter="0"/>
          <w:cols w:space="720" w:num="1"/>
        </w:sectPr>
      </w:pPr>
    </w:p>
    <w:p w14:paraId="775F828C">
      <w:pPr>
        <w:spacing w:before="310" w:line="221" w:lineRule="auto"/>
        <w:ind w:left="720"/>
        <w:jc w:val="both"/>
        <w:outlineLvl w:val="1"/>
        <w:rPr>
          <w:rFonts w:hint="eastAsia" w:ascii="宋体" w:hAnsi="宋体" w:eastAsia="宋体" w:cs="宋体"/>
          <w:color w:val="auto"/>
          <w:sz w:val="28"/>
          <w:szCs w:val="28"/>
          <w:highlight w:val="none"/>
        </w:rPr>
      </w:pPr>
      <w:bookmarkStart w:id="93" w:name="_bookmark19"/>
      <w:bookmarkEnd w:id="93"/>
      <w:r>
        <w:rPr>
          <w:rFonts w:hint="eastAsia" w:ascii="宋体" w:hAnsi="宋体" w:eastAsia="宋体" w:cs="宋体"/>
          <w:color w:val="auto"/>
          <w:sz w:val="28"/>
          <w:szCs w:val="28"/>
          <w:highlight w:val="none"/>
        </w:rPr>
        <w:t>格式五：资料一览表</w:t>
      </w:r>
    </w:p>
    <w:p w14:paraId="5E6D9B78">
      <w:pPr>
        <w:spacing w:line="337" w:lineRule="auto"/>
        <w:jc w:val="both"/>
        <w:rPr>
          <w:rFonts w:hint="eastAsia" w:ascii="宋体" w:hAnsi="宋体" w:eastAsia="宋体" w:cs="宋体"/>
          <w:color w:val="auto"/>
          <w:highlight w:val="none"/>
        </w:rPr>
      </w:pPr>
    </w:p>
    <w:p w14:paraId="2B979AA3">
      <w:pPr>
        <w:spacing w:line="338" w:lineRule="auto"/>
        <w:jc w:val="both"/>
        <w:rPr>
          <w:rFonts w:hint="eastAsia" w:ascii="宋体" w:hAnsi="宋体" w:eastAsia="宋体" w:cs="宋体"/>
          <w:color w:val="auto"/>
          <w:highlight w:val="none"/>
        </w:rPr>
      </w:pPr>
    </w:p>
    <w:p w14:paraId="7FE1387B">
      <w:pPr>
        <w:spacing w:before="75" w:line="227" w:lineRule="auto"/>
        <w:ind w:left="252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投标人提供的实质性响应招标文件资料一览表</w:t>
      </w:r>
    </w:p>
    <w:p w14:paraId="6E99853D">
      <w:pPr>
        <w:jc w:val="both"/>
        <w:rPr>
          <w:rFonts w:hint="eastAsia" w:ascii="宋体" w:hAnsi="宋体" w:eastAsia="宋体" w:cs="宋体"/>
          <w:color w:val="auto"/>
          <w:highlight w:val="none"/>
        </w:rPr>
      </w:pPr>
    </w:p>
    <w:p w14:paraId="595AD366">
      <w:pPr>
        <w:spacing w:line="210" w:lineRule="exact"/>
        <w:jc w:val="both"/>
        <w:rPr>
          <w:rFonts w:hint="eastAsia" w:ascii="宋体" w:hAnsi="宋体" w:eastAsia="宋体" w:cs="宋体"/>
          <w:color w:val="auto"/>
          <w:highlight w:val="none"/>
        </w:rPr>
      </w:pPr>
    </w:p>
    <w:tbl>
      <w:tblPr>
        <w:tblStyle w:val="53"/>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6"/>
        <w:gridCol w:w="2408"/>
        <w:gridCol w:w="2130"/>
      </w:tblGrid>
      <w:tr w14:paraId="5D2BEE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noWrap w:val="0"/>
            <w:vAlign w:val="top"/>
          </w:tcPr>
          <w:p w14:paraId="719F9D93">
            <w:pPr>
              <w:spacing w:before="272" w:line="230" w:lineRule="auto"/>
              <w:ind w:left="26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3826" w:type="dxa"/>
            <w:noWrap w:val="0"/>
            <w:vAlign w:val="top"/>
          </w:tcPr>
          <w:p w14:paraId="0B855BEC">
            <w:pPr>
              <w:spacing w:before="272" w:line="229" w:lineRule="auto"/>
              <w:ind w:left="14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2408" w:type="dxa"/>
            <w:noWrap w:val="0"/>
            <w:vAlign w:val="top"/>
          </w:tcPr>
          <w:p w14:paraId="0A4B639A">
            <w:pPr>
              <w:spacing w:before="272" w:line="228" w:lineRule="auto"/>
              <w:jc w:val="center"/>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在投标文件的位置</w:t>
            </w:r>
          </w:p>
        </w:tc>
        <w:tc>
          <w:tcPr>
            <w:tcW w:w="2130" w:type="dxa"/>
            <w:noWrap w:val="0"/>
            <w:vAlign w:val="top"/>
          </w:tcPr>
          <w:p w14:paraId="3249911D">
            <w:pPr>
              <w:spacing w:before="272" w:line="230" w:lineRule="auto"/>
              <w:ind w:left="71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1D006C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5AFD7C5C">
            <w:pPr>
              <w:jc w:val="both"/>
              <w:rPr>
                <w:rFonts w:hint="eastAsia" w:ascii="宋体" w:hAnsi="宋体" w:eastAsia="宋体" w:cs="宋体"/>
                <w:color w:val="auto"/>
                <w:highlight w:val="none"/>
              </w:rPr>
            </w:pPr>
          </w:p>
        </w:tc>
        <w:tc>
          <w:tcPr>
            <w:tcW w:w="3826" w:type="dxa"/>
            <w:noWrap w:val="0"/>
            <w:vAlign w:val="top"/>
          </w:tcPr>
          <w:p w14:paraId="49A14D29">
            <w:pPr>
              <w:jc w:val="both"/>
              <w:rPr>
                <w:rFonts w:hint="eastAsia" w:ascii="宋体" w:hAnsi="宋体" w:eastAsia="宋体" w:cs="宋体"/>
                <w:color w:val="auto"/>
                <w:highlight w:val="none"/>
              </w:rPr>
            </w:pPr>
          </w:p>
        </w:tc>
        <w:tc>
          <w:tcPr>
            <w:tcW w:w="2408" w:type="dxa"/>
            <w:noWrap w:val="0"/>
            <w:vAlign w:val="top"/>
          </w:tcPr>
          <w:p w14:paraId="2C6C1A13">
            <w:pPr>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例如：投标文件第X页</w:t>
            </w:r>
          </w:p>
        </w:tc>
        <w:tc>
          <w:tcPr>
            <w:tcW w:w="2130" w:type="dxa"/>
            <w:noWrap w:val="0"/>
            <w:vAlign w:val="top"/>
          </w:tcPr>
          <w:p w14:paraId="1E220F7A">
            <w:pPr>
              <w:jc w:val="both"/>
              <w:rPr>
                <w:rFonts w:hint="eastAsia" w:ascii="宋体" w:hAnsi="宋体" w:eastAsia="宋体" w:cs="宋体"/>
                <w:color w:val="auto"/>
                <w:highlight w:val="none"/>
              </w:rPr>
            </w:pPr>
          </w:p>
        </w:tc>
      </w:tr>
      <w:tr w14:paraId="373DD0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6CFD29B4">
            <w:pPr>
              <w:jc w:val="both"/>
              <w:rPr>
                <w:rFonts w:hint="eastAsia" w:ascii="宋体" w:hAnsi="宋体" w:eastAsia="宋体" w:cs="宋体"/>
                <w:color w:val="auto"/>
                <w:highlight w:val="none"/>
              </w:rPr>
            </w:pPr>
          </w:p>
        </w:tc>
        <w:tc>
          <w:tcPr>
            <w:tcW w:w="3826" w:type="dxa"/>
            <w:noWrap w:val="0"/>
            <w:vAlign w:val="top"/>
          </w:tcPr>
          <w:p w14:paraId="1464C401">
            <w:pPr>
              <w:jc w:val="both"/>
              <w:rPr>
                <w:rFonts w:hint="eastAsia" w:ascii="宋体" w:hAnsi="宋体" w:eastAsia="宋体" w:cs="宋体"/>
                <w:color w:val="auto"/>
                <w:highlight w:val="none"/>
              </w:rPr>
            </w:pPr>
          </w:p>
        </w:tc>
        <w:tc>
          <w:tcPr>
            <w:tcW w:w="2408" w:type="dxa"/>
            <w:noWrap w:val="0"/>
            <w:vAlign w:val="top"/>
          </w:tcPr>
          <w:p w14:paraId="1964C710">
            <w:pPr>
              <w:jc w:val="both"/>
              <w:rPr>
                <w:rFonts w:hint="eastAsia" w:ascii="宋体" w:hAnsi="宋体" w:eastAsia="宋体" w:cs="宋体"/>
                <w:color w:val="auto"/>
                <w:highlight w:val="none"/>
              </w:rPr>
            </w:pPr>
          </w:p>
        </w:tc>
        <w:tc>
          <w:tcPr>
            <w:tcW w:w="2130" w:type="dxa"/>
            <w:noWrap w:val="0"/>
            <w:vAlign w:val="top"/>
          </w:tcPr>
          <w:p w14:paraId="2BE1A167">
            <w:pPr>
              <w:jc w:val="both"/>
              <w:rPr>
                <w:rFonts w:hint="eastAsia" w:ascii="宋体" w:hAnsi="宋体" w:eastAsia="宋体" w:cs="宋体"/>
                <w:color w:val="auto"/>
                <w:highlight w:val="none"/>
              </w:rPr>
            </w:pPr>
          </w:p>
        </w:tc>
      </w:tr>
      <w:tr w14:paraId="2AA69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69A6B47C">
            <w:pPr>
              <w:jc w:val="both"/>
              <w:rPr>
                <w:rFonts w:hint="eastAsia" w:ascii="宋体" w:hAnsi="宋体" w:eastAsia="宋体" w:cs="宋体"/>
                <w:color w:val="auto"/>
                <w:highlight w:val="none"/>
              </w:rPr>
            </w:pPr>
          </w:p>
        </w:tc>
        <w:tc>
          <w:tcPr>
            <w:tcW w:w="3826" w:type="dxa"/>
            <w:noWrap w:val="0"/>
            <w:vAlign w:val="top"/>
          </w:tcPr>
          <w:p w14:paraId="4224597C">
            <w:pPr>
              <w:jc w:val="both"/>
              <w:rPr>
                <w:rFonts w:hint="eastAsia" w:ascii="宋体" w:hAnsi="宋体" w:eastAsia="宋体" w:cs="宋体"/>
                <w:color w:val="auto"/>
                <w:highlight w:val="none"/>
              </w:rPr>
            </w:pPr>
          </w:p>
        </w:tc>
        <w:tc>
          <w:tcPr>
            <w:tcW w:w="2408" w:type="dxa"/>
            <w:noWrap w:val="0"/>
            <w:vAlign w:val="top"/>
          </w:tcPr>
          <w:p w14:paraId="2A8170ED">
            <w:pPr>
              <w:jc w:val="both"/>
              <w:rPr>
                <w:rFonts w:hint="eastAsia" w:ascii="宋体" w:hAnsi="宋体" w:eastAsia="宋体" w:cs="宋体"/>
                <w:color w:val="auto"/>
                <w:highlight w:val="none"/>
              </w:rPr>
            </w:pPr>
          </w:p>
        </w:tc>
        <w:tc>
          <w:tcPr>
            <w:tcW w:w="2130" w:type="dxa"/>
            <w:noWrap w:val="0"/>
            <w:vAlign w:val="top"/>
          </w:tcPr>
          <w:p w14:paraId="0933ED2A">
            <w:pPr>
              <w:jc w:val="both"/>
              <w:rPr>
                <w:rFonts w:hint="eastAsia" w:ascii="宋体" w:hAnsi="宋体" w:eastAsia="宋体" w:cs="宋体"/>
                <w:color w:val="auto"/>
                <w:highlight w:val="none"/>
              </w:rPr>
            </w:pPr>
          </w:p>
        </w:tc>
      </w:tr>
      <w:tr w14:paraId="21D976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1F159B1C">
            <w:pPr>
              <w:jc w:val="both"/>
              <w:rPr>
                <w:rFonts w:hint="eastAsia" w:ascii="宋体" w:hAnsi="宋体" w:eastAsia="宋体" w:cs="宋体"/>
                <w:color w:val="auto"/>
                <w:highlight w:val="none"/>
              </w:rPr>
            </w:pPr>
          </w:p>
        </w:tc>
        <w:tc>
          <w:tcPr>
            <w:tcW w:w="3826" w:type="dxa"/>
            <w:noWrap w:val="0"/>
            <w:vAlign w:val="top"/>
          </w:tcPr>
          <w:p w14:paraId="47D6C894">
            <w:pPr>
              <w:jc w:val="both"/>
              <w:rPr>
                <w:rFonts w:hint="eastAsia" w:ascii="宋体" w:hAnsi="宋体" w:eastAsia="宋体" w:cs="宋体"/>
                <w:color w:val="auto"/>
                <w:highlight w:val="none"/>
              </w:rPr>
            </w:pPr>
          </w:p>
        </w:tc>
        <w:tc>
          <w:tcPr>
            <w:tcW w:w="2408" w:type="dxa"/>
            <w:noWrap w:val="0"/>
            <w:vAlign w:val="top"/>
          </w:tcPr>
          <w:p w14:paraId="7617B66D">
            <w:pPr>
              <w:jc w:val="both"/>
              <w:rPr>
                <w:rFonts w:hint="eastAsia" w:ascii="宋体" w:hAnsi="宋体" w:eastAsia="宋体" w:cs="宋体"/>
                <w:color w:val="auto"/>
                <w:highlight w:val="none"/>
              </w:rPr>
            </w:pPr>
          </w:p>
        </w:tc>
        <w:tc>
          <w:tcPr>
            <w:tcW w:w="2130" w:type="dxa"/>
            <w:noWrap w:val="0"/>
            <w:vAlign w:val="top"/>
          </w:tcPr>
          <w:p w14:paraId="27E94D8B">
            <w:pPr>
              <w:jc w:val="both"/>
              <w:rPr>
                <w:rFonts w:hint="eastAsia" w:ascii="宋体" w:hAnsi="宋体" w:eastAsia="宋体" w:cs="宋体"/>
                <w:color w:val="auto"/>
                <w:highlight w:val="none"/>
              </w:rPr>
            </w:pPr>
          </w:p>
        </w:tc>
      </w:tr>
      <w:tr w14:paraId="0AF3B7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16F21882">
            <w:pPr>
              <w:jc w:val="both"/>
              <w:rPr>
                <w:rFonts w:hint="eastAsia" w:ascii="宋体" w:hAnsi="宋体" w:eastAsia="宋体" w:cs="宋体"/>
                <w:color w:val="auto"/>
                <w:highlight w:val="none"/>
              </w:rPr>
            </w:pPr>
          </w:p>
        </w:tc>
        <w:tc>
          <w:tcPr>
            <w:tcW w:w="3826" w:type="dxa"/>
            <w:noWrap w:val="0"/>
            <w:vAlign w:val="top"/>
          </w:tcPr>
          <w:p w14:paraId="27FB9D48">
            <w:pPr>
              <w:jc w:val="both"/>
              <w:rPr>
                <w:rFonts w:hint="eastAsia" w:ascii="宋体" w:hAnsi="宋体" w:eastAsia="宋体" w:cs="宋体"/>
                <w:color w:val="auto"/>
                <w:highlight w:val="none"/>
              </w:rPr>
            </w:pPr>
          </w:p>
        </w:tc>
        <w:tc>
          <w:tcPr>
            <w:tcW w:w="2408" w:type="dxa"/>
            <w:noWrap w:val="0"/>
            <w:vAlign w:val="top"/>
          </w:tcPr>
          <w:p w14:paraId="68BE26A6">
            <w:pPr>
              <w:jc w:val="both"/>
              <w:rPr>
                <w:rFonts w:hint="eastAsia" w:ascii="宋体" w:hAnsi="宋体" w:eastAsia="宋体" w:cs="宋体"/>
                <w:color w:val="auto"/>
                <w:highlight w:val="none"/>
              </w:rPr>
            </w:pPr>
          </w:p>
        </w:tc>
        <w:tc>
          <w:tcPr>
            <w:tcW w:w="2130" w:type="dxa"/>
            <w:noWrap w:val="0"/>
            <w:vAlign w:val="top"/>
          </w:tcPr>
          <w:p w14:paraId="7CE6ECE5">
            <w:pPr>
              <w:jc w:val="both"/>
              <w:rPr>
                <w:rFonts w:hint="eastAsia" w:ascii="宋体" w:hAnsi="宋体" w:eastAsia="宋体" w:cs="宋体"/>
                <w:color w:val="auto"/>
                <w:highlight w:val="none"/>
              </w:rPr>
            </w:pPr>
          </w:p>
        </w:tc>
      </w:tr>
      <w:tr w14:paraId="4083A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75352A4A">
            <w:pPr>
              <w:jc w:val="both"/>
              <w:rPr>
                <w:rFonts w:hint="eastAsia" w:ascii="宋体" w:hAnsi="宋体" w:eastAsia="宋体" w:cs="宋体"/>
                <w:color w:val="auto"/>
                <w:highlight w:val="none"/>
              </w:rPr>
            </w:pPr>
          </w:p>
        </w:tc>
        <w:tc>
          <w:tcPr>
            <w:tcW w:w="3826" w:type="dxa"/>
            <w:noWrap w:val="0"/>
            <w:vAlign w:val="top"/>
          </w:tcPr>
          <w:p w14:paraId="6314F294">
            <w:pPr>
              <w:jc w:val="both"/>
              <w:rPr>
                <w:rFonts w:hint="eastAsia" w:ascii="宋体" w:hAnsi="宋体" w:eastAsia="宋体" w:cs="宋体"/>
                <w:color w:val="auto"/>
                <w:highlight w:val="none"/>
              </w:rPr>
            </w:pPr>
          </w:p>
        </w:tc>
        <w:tc>
          <w:tcPr>
            <w:tcW w:w="2408" w:type="dxa"/>
            <w:noWrap w:val="0"/>
            <w:vAlign w:val="top"/>
          </w:tcPr>
          <w:p w14:paraId="4E10E623">
            <w:pPr>
              <w:jc w:val="both"/>
              <w:rPr>
                <w:rFonts w:hint="eastAsia" w:ascii="宋体" w:hAnsi="宋体" w:eastAsia="宋体" w:cs="宋体"/>
                <w:color w:val="auto"/>
                <w:highlight w:val="none"/>
              </w:rPr>
            </w:pPr>
          </w:p>
        </w:tc>
        <w:tc>
          <w:tcPr>
            <w:tcW w:w="2130" w:type="dxa"/>
            <w:noWrap w:val="0"/>
            <w:vAlign w:val="top"/>
          </w:tcPr>
          <w:p w14:paraId="40CA9F50">
            <w:pPr>
              <w:jc w:val="both"/>
              <w:rPr>
                <w:rFonts w:hint="eastAsia" w:ascii="宋体" w:hAnsi="宋体" w:eastAsia="宋体" w:cs="宋体"/>
                <w:color w:val="auto"/>
                <w:highlight w:val="none"/>
              </w:rPr>
            </w:pPr>
          </w:p>
        </w:tc>
      </w:tr>
      <w:tr w14:paraId="15307F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50CFE2C9">
            <w:pPr>
              <w:jc w:val="both"/>
              <w:rPr>
                <w:rFonts w:hint="eastAsia" w:ascii="宋体" w:hAnsi="宋体" w:eastAsia="宋体" w:cs="宋体"/>
                <w:color w:val="auto"/>
                <w:highlight w:val="none"/>
              </w:rPr>
            </w:pPr>
          </w:p>
        </w:tc>
        <w:tc>
          <w:tcPr>
            <w:tcW w:w="3826" w:type="dxa"/>
            <w:noWrap w:val="0"/>
            <w:vAlign w:val="top"/>
          </w:tcPr>
          <w:p w14:paraId="787A2FC5">
            <w:pPr>
              <w:jc w:val="both"/>
              <w:rPr>
                <w:rFonts w:hint="eastAsia" w:ascii="宋体" w:hAnsi="宋体" w:eastAsia="宋体" w:cs="宋体"/>
                <w:color w:val="auto"/>
                <w:highlight w:val="none"/>
              </w:rPr>
            </w:pPr>
          </w:p>
        </w:tc>
        <w:tc>
          <w:tcPr>
            <w:tcW w:w="2408" w:type="dxa"/>
            <w:noWrap w:val="0"/>
            <w:vAlign w:val="top"/>
          </w:tcPr>
          <w:p w14:paraId="264BB9DC">
            <w:pPr>
              <w:jc w:val="both"/>
              <w:rPr>
                <w:rFonts w:hint="eastAsia" w:ascii="宋体" w:hAnsi="宋体" w:eastAsia="宋体" w:cs="宋体"/>
                <w:color w:val="auto"/>
                <w:highlight w:val="none"/>
              </w:rPr>
            </w:pPr>
          </w:p>
        </w:tc>
        <w:tc>
          <w:tcPr>
            <w:tcW w:w="2130" w:type="dxa"/>
            <w:noWrap w:val="0"/>
            <w:vAlign w:val="top"/>
          </w:tcPr>
          <w:p w14:paraId="0C4D27C7">
            <w:pPr>
              <w:jc w:val="both"/>
              <w:rPr>
                <w:rFonts w:hint="eastAsia" w:ascii="宋体" w:hAnsi="宋体" w:eastAsia="宋体" w:cs="宋体"/>
                <w:color w:val="auto"/>
                <w:highlight w:val="none"/>
              </w:rPr>
            </w:pPr>
          </w:p>
        </w:tc>
      </w:tr>
      <w:tr w14:paraId="19E74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3E2626E6">
            <w:pPr>
              <w:jc w:val="both"/>
              <w:rPr>
                <w:rFonts w:hint="eastAsia" w:ascii="宋体" w:hAnsi="宋体" w:eastAsia="宋体" w:cs="宋体"/>
                <w:color w:val="auto"/>
                <w:highlight w:val="none"/>
              </w:rPr>
            </w:pPr>
          </w:p>
        </w:tc>
        <w:tc>
          <w:tcPr>
            <w:tcW w:w="3826" w:type="dxa"/>
            <w:noWrap w:val="0"/>
            <w:vAlign w:val="top"/>
          </w:tcPr>
          <w:p w14:paraId="681EB5AE">
            <w:pPr>
              <w:jc w:val="both"/>
              <w:rPr>
                <w:rFonts w:hint="eastAsia" w:ascii="宋体" w:hAnsi="宋体" w:eastAsia="宋体" w:cs="宋体"/>
                <w:color w:val="auto"/>
                <w:highlight w:val="none"/>
              </w:rPr>
            </w:pPr>
          </w:p>
        </w:tc>
        <w:tc>
          <w:tcPr>
            <w:tcW w:w="2408" w:type="dxa"/>
            <w:noWrap w:val="0"/>
            <w:vAlign w:val="top"/>
          </w:tcPr>
          <w:p w14:paraId="1ED42D44">
            <w:pPr>
              <w:jc w:val="both"/>
              <w:rPr>
                <w:rFonts w:hint="eastAsia" w:ascii="宋体" w:hAnsi="宋体" w:eastAsia="宋体" w:cs="宋体"/>
                <w:color w:val="auto"/>
                <w:highlight w:val="none"/>
              </w:rPr>
            </w:pPr>
          </w:p>
        </w:tc>
        <w:tc>
          <w:tcPr>
            <w:tcW w:w="2130" w:type="dxa"/>
            <w:noWrap w:val="0"/>
            <w:vAlign w:val="top"/>
          </w:tcPr>
          <w:p w14:paraId="5E0E0243">
            <w:pPr>
              <w:jc w:val="both"/>
              <w:rPr>
                <w:rFonts w:hint="eastAsia" w:ascii="宋体" w:hAnsi="宋体" w:eastAsia="宋体" w:cs="宋体"/>
                <w:color w:val="auto"/>
                <w:highlight w:val="none"/>
              </w:rPr>
            </w:pPr>
          </w:p>
        </w:tc>
      </w:tr>
      <w:tr w14:paraId="42CEB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695132B2">
            <w:pPr>
              <w:jc w:val="both"/>
              <w:rPr>
                <w:rFonts w:hint="eastAsia" w:ascii="宋体" w:hAnsi="宋体" w:eastAsia="宋体" w:cs="宋体"/>
                <w:color w:val="auto"/>
                <w:highlight w:val="none"/>
              </w:rPr>
            </w:pPr>
          </w:p>
        </w:tc>
        <w:tc>
          <w:tcPr>
            <w:tcW w:w="3826" w:type="dxa"/>
            <w:noWrap w:val="0"/>
            <w:vAlign w:val="top"/>
          </w:tcPr>
          <w:p w14:paraId="6AA6812E">
            <w:pPr>
              <w:jc w:val="both"/>
              <w:rPr>
                <w:rFonts w:hint="eastAsia" w:ascii="宋体" w:hAnsi="宋体" w:eastAsia="宋体" w:cs="宋体"/>
                <w:color w:val="auto"/>
                <w:highlight w:val="none"/>
              </w:rPr>
            </w:pPr>
          </w:p>
        </w:tc>
        <w:tc>
          <w:tcPr>
            <w:tcW w:w="2408" w:type="dxa"/>
            <w:noWrap w:val="0"/>
            <w:vAlign w:val="top"/>
          </w:tcPr>
          <w:p w14:paraId="1F5BC29F">
            <w:pPr>
              <w:jc w:val="both"/>
              <w:rPr>
                <w:rFonts w:hint="eastAsia" w:ascii="宋体" w:hAnsi="宋体" w:eastAsia="宋体" w:cs="宋体"/>
                <w:color w:val="auto"/>
                <w:highlight w:val="none"/>
              </w:rPr>
            </w:pPr>
          </w:p>
        </w:tc>
        <w:tc>
          <w:tcPr>
            <w:tcW w:w="2130" w:type="dxa"/>
            <w:noWrap w:val="0"/>
            <w:vAlign w:val="top"/>
          </w:tcPr>
          <w:p w14:paraId="0C93E69B">
            <w:pPr>
              <w:jc w:val="both"/>
              <w:rPr>
                <w:rFonts w:hint="eastAsia" w:ascii="宋体" w:hAnsi="宋体" w:eastAsia="宋体" w:cs="宋体"/>
                <w:color w:val="auto"/>
                <w:highlight w:val="none"/>
              </w:rPr>
            </w:pPr>
          </w:p>
        </w:tc>
      </w:tr>
      <w:tr w14:paraId="21E309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145648E7">
            <w:pPr>
              <w:jc w:val="both"/>
              <w:rPr>
                <w:rFonts w:hint="eastAsia" w:ascii="宋体" w:hAnsi="宋体" w:eastAsia="宋体" w:cs="宋体"/>
                <w:color w:val="auto"/>
                <w:highlight w:val="none"/>
              </w:rPr>
            </w:pPr>
          </w:p>
        </w:tc>
        <w:tc>
          <w:tcPr>
            <w:tcW w:w="3826" w:type="dxa"/>
            <w:noWrap w:val="0"/>
            <w:vAlign w:val="top"/>
          </w:tcPr>
          <w:p w14:paraId="4746E47F">
            <w:pPr>
              <w:jc w:val="both"/>
              <w:rPr>
                <w:rFonts w:hint="eastAsia" w:ascii="宋体" w:hAnsi="宋体" w:eastAsia="宋体" w:cs="宋体"/>
                <w:color w:val="auto"/>
                <w:highlight w:val="none"/>
              </w:rPr>
            </w:pPr>
          </w:p>
        </w:tc>
        <w:tc>
          <w:tcPr>
            <w:tcW w:w="2408" w:type="dxa"/>
            <w:noWrap w:val="0"/>
            <w:vAlign w:val="top"/>
          </w:tcPr>
          <w:p w14:paraId="2046BADF">
            <w:pPr>
              <w:jc w:val="both"/>
              <w:rPr>
                <w:rFonts w:hint="eastAsia" w:ascii="宋体" w:hAnsi="宋体" w:eastAsia="宋体" w:cs="宋体"/>
                <w:color w:val="auto"/>
                <w:highlight w:val="none"/>
              </w:rPr>
            </w:pPr>
          </w:p>
        </w:tc>
        <w:tc>
          <w:tcPr>
            <w:tcW w:w="2130" w:type="dxa"/>
            <w:noWrap w:val="0"/>
            <w:vAlign w:val="top"/>
          </w:tcPr>
          <w:p w14:paraId="2350C276">
            <w:pPr>
              <w:jc w:val="both"/>
              <w:rPr>
                <w:rFonts w:hint="eastAsia" w:ascii="宋体" w:hAnsi="宋体" w:eastAsia="宋体" w:cs="宋体"/>
                <w:color w:val="auto"/>
                <w:highlight w:val="none"/>
              </w:rPr>
            </w:pPr>
          </w:p>
        </w:tc>
      </w:tr>
      <w:tr w14:paraId="6F501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noWrap w:val="0"/>
            <w:vAlign w:val="top"/>
          </w:tcPr>
          <w:p w14:paraId="7226309C">
            <w:pPr>
              <w:jc w:val="both"/>
              <w:rPr>
                <w:rFonts w:hint="eastAsia" w:ascii="宋体" w:hAnsi="宋体" w:eastAsia="宋体" w:cs="宋体"/>
                <w:color w:val="auto"/>
                <w:highlight w:val="none"/>
              </w:rPr>
            </w:pPr>
          </w:p>
        </w:tc>
        <w:tc>
          <w:tcPr>
            <w:tcW w:w="3826" w:type="dxa"/>
            <w:noWrap w:val="0"/>
            <w:vAlign w:val="top"/>
          </w:tcPr>
          <w:p w14:paraId="1B96EC13">
            <w:pPr>
              <w:jc w:val="both"/>
              <w:rPr>
                <w:rFonts w:hint="eastAsia" w:ascii="宋体" w:hAnsi="宋体" w:eastAsia="宋体" w:cs="宋体"/>
                <w:color w:val="auto"/>
                <w:highlight w:val="none"/>
              </w:rPr>
            </w:pPr>
          </w:p>
        </w:tc>
        <w:tc>
          <w:tcPr>
            <w:tcW w:w="2408" w:type="dxa"/>
            <w:noWrap w:val="0"/>
            <w:vAlign w:val="top"/>
          </w:tcPr>
          <w:p w14:paraId="36D30478">
            <w:pPr>
              <w:jc w:val="both"/>
              <w:rPr>
                <w:rFonts w:hint="eastAsia" w:ascii="宋体" w:hAnsi="宋体" w:eastAsia="宋体" w:cs="宋体"/>
                <w:color w:val="auto"/>
                <w:highlight w:val="none"/>
              </w:rPr>
            </w:pPr>
          </w:p>
        </w:tc>
        <w:tc>
          <w:tcPr>
            <w:tcW w:w="2130" w:type="dxa"/>
            <w:noWrap w:val="0"/>
            <w:vAlign w:val="top"/>
          </w:tcPr>
          <w:p w14:paraId="1CE66105">
            <w:pPr>
              <w:jc w:val="both"/>
              <w:rPr>
                <w:rFonts w:hint="eastAsia" w:ascii="宋体" w:hAnsi="宋体" w:eastAsia="宋体" w:cs="宋体"/>
                <w:color w:val="auto"/>
                <w:highlight w:val="none"/>
              </w:rPr>
            </w:pPr>
          </w:p>
        </w:tc>
      </w:tr>
    </w:tbl>
    <w:p w14:paraId="61712D50">
      <w:pPr>
        <w:spacing w:before="145" w:line="228" w:lineRule="auto"/>
        <w:ind w:left="8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注：本表请按投标人须知前附表3.5.7“一、实质性响应招标文件资料”内容填写。</w:t>
      </w:r>
    </w:p>
    <w:p w14:paraId="5C1442E8">
      <w:pPr>
        <w:spacing w:line="281" w:lineRule="auto"/>
        <w:jc w:val="both"/>
        <w:rPr>
          <w:rFonts w:hint="eastAsia" w:ascii="宋体" w:hAnsi="宋体" w:eastAsia="宋体" w:cs="宋体"/>
          <w:color w:val="auto"/>
          <w:highlight w:val="none"/>
        </w:rPr>
      </w:pPr>
    </w:p>
    <w:p w14:paraId="7E96D9D9">
      <w:pPr>
        <w:spacing w:line="282" w:lineRule="auto"/>
        <w:jc w:val="both"/>
        <w:rPr>
          <w:rFonts w:hint="eastAsia" w:ascii="宋体" w:hAnsi="宋体" w:eastAsia="宋体" w:cs="宋体"/>
          <w:color w:val="auto"/>
          <w:highlight w:val="none"/>
        </w:rPr>
      </w:pPr>
    </w:p>
    <w:p w14:paraId="6E7F19E8">
      <w:pPr>
        <w:spacing w:line="282" w:lineRule="auto"/>
        <w:jc w:val="both"/>
        <w:rPr>
          <w:rFonts w:hint="eastAsia" w:ascii="宋体" w:hAnsi="宋体" w:eastAsia="宋体" w:cs="宋体"/>
          <w:color w:val="auto"/>
          <w:highlight w:val="none"/>
        </w:rPr>
      </w:pPr>
    </w:p>
    <w:p w14:paraId="2612583D">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2C484767">
      <w:pPr>
        <w:tabs>
          <w:tab w:val="left" w:pos="7132"/>
        </w:tabs>
        <w:spacing w:before="75" w:line="384" w:lineRule="auto"/>
        <w:ind w:left="6162" w:right="203" w:hanging="1187"/>
        <w:jc w:val="both"/>
        <w:rPr>
          <w:rFonts w:hint="eastAsia" w:ascii="宋体" w:hAnsi="宋体" w:eastAsia="宋体" w:cs="宋体"/>
          <w:color w:val="auto"/>
          <w:highlight w:val="none"/>
        </w:rPr>
        <w:sectPr>
          <w:footerReference r:id="rId20" w:type="default"/>
          <w:pgSz w:w="11907" w:h="16840"/>
          <w:pgMar w:top="1418" w:right="1559" w:bottom="1418" w:left="1474" w:header="0" w:footer="723" w:gutter="0"/>
          <w:cols w:space="720" w:num="1"/>
        </w:sect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5A7ED107">
      <w:pPr>
        <w:spacing w:before="91" w:line="221" w:lineRule="auto"/>
        <w:jc w:val="both"/>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格式六：打分资料一览表</w:t>
      </w:r>
    </w:p>
    <w:p w14:paraId="5101C93F">
      <w:pPr>
        <w:spacing w:before="312" w:line="227" w:lineRule="auto"/>
        <w:ind w:left="29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投标人提供的评审打分资料一览表</w:t>
      </w:r>
    </w:p>
    <w:p w14:paraId="7510061D">
      <w:pPr>
        <w:jc w:val="both"/>
        <w:rPr>
          <w:rFonts w:hint="eastAsia" w:ascii="宋体" w:hAnsi="宋体" w:eastAsia="宋体" w:cs="宋体"/>
          <w:color w:val="auto"/>
          <w:highlight w:val="none"/>
        </w:rPr>
      </w:pPr>
    </w:p>
    <w:p w14:paraId="6825FA3E">
      <w:pPr>
        <w:spacing w:line="210" w:lineRule="exact"/>
        <w:jc w:val="both"/>
        <w:rPr>
          <w:rFonts w:hint="eastAsia" w:ascii="宋体" w:hAnsi="宋体" w:eastAsia="宋体" w:cs="宋体"/>
          <w:color w:val="auto"/>
          <w:highlight w:val="none"/>
        </w:rPr>
      </w:pPr>
    </w:p>
    <w:tbl>
      <w:tblPr>
        <w:tblStyle w:val="53"/>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4675"/>
        <w:gridCol w:w="1700"/>
        <w:gridCol w:w="1705"/>
      </w:tblGrid>
      <w:tr w14:paraId="27F98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noWrap w:val="0"/>
            <w:vAlign w:val="top"/>
          </w:tcPr>
          <w:p w14:paraId="1943683E">
            <w:pPr>
              <w:spacing w:before="231" w:line="230" w:lineRule="auto"/>
              <w:ind w:left="33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4675" w:type="dxa"/>
            <w:noWrap w:val="0"/>
            <w:vAlign w:val="top"/>
          </w:tcPr>
          <w:p w14:paraId="43CACB89">
            <w:pPr>
              <w:spacing w:before="231" w:line="229" w:lineRule="auto"/>
              <w:ind w:left="18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1700" w:type="dxa"/>
            <w:noWrap w:val="0"/>
            <w:vAlign w:val="top"/>
          </w:tcPr>
          <w:p w14:paraId="1F4F25A5">
            <w:pPr>
              <w:spacing w:before="272" w:line="228"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在投标文件的位置</w:t>
            </w:r>
          </w:p>
        </w:tc>
        <w:tc>
          <w:tcPr>
            <w:tcW w:w="1705" w:type="dxa"/>
            <w:noWrap w:val="0"/>
            <w:vAlign w:val="top"/>
          </w:tcPr>
          <w:p w14:paraId="2CF8AA53">
            <w:pPr>
              <w:spacing w:before="231" w:line="230" w:lineRule="auto"/>
              <w:ind w:left="50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7DD067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165483DB">
            <w:pPr>
              <w:jc w:val="both"/>
              <w:rPr>
                <w:rFonts w:hint="eastAsia" w:ascii="宋体" w:hAnsi="宋体" w:eastAsia="宋体" w:cs="宋体"/>
                <w:color w:val="auto"/>
                <w:highlight w:val="none"/>
              </w:rPr>
            </w:pPr>
          </w:p>
        </w:tc>
        <w:tc>
          <w:tcPr>
            <w:tcW w:w="4675" w:type="dxa"/>
            <w:noWrap w:val="0"/>
            <w:vAlign w:val="top"/>
          </w:tcPr>
          <w:p w14:paraId="3918E742">
            <w:pPr>
              <w:jc w:val="both"/>
              <w:rPr>
                <w:rFonts w:hint="eastAsia" w:ascii="宋体" w:hAnsi="宋体" w:eastAsia="宋体" w:cs="宋体"/>
                <w:color w:val="auto"/>
                <w:highlight w:val="none"/>
              </w:rPr>
            </w:pPr>
          </w:p>
        </w:tc>
        <w:tc>
          <w:tcPr>
            <w:tcW w:w="1700" w:type="dxa"/>
            <w:noWrap w:val="0"/>
            <w:vAlign w:val="top"/>
          </w:tcPr>
          <w:p w14:paraId="155AD705">
            <w:pPr>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例如：投标文件第X页</w:t>
            </w:r>
          </w:p>
        </w:tc>
        <w:tc>
          <w:tcPr>
            <w:tcW w:w="1705" w:type="dxa"/>
            <w:noWrap w:val="0"/>
            <w:vAlign w:val="top"/>
          </w:tcPr>
          <w:p w14:paraId="05F62B9D">
            <w:pPr>
              <w:jc w:val="both"/>
              <w:rPr>
                <w:rFonts w:hint="eastAsia" w:ascii="宋体" w:hAnsi="宋体" w:eastAsia="宋体" w:cs="宋体"/>
                <w:color w:val="auto"/>
                <w:highlight w:val="none"/>
              </w:rPr>
            </w:pPr>
          </w:p>
        </w:tc>
      </w:tr>
      <w:tr w14:paraId="4B7DE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46C1D52A">
            <w:pPr>
              <w:jc w:val="both"/>
              <w:rPr>
                <w:rFonts w:hint="eastAsia" w:ascii="宋体" w:hAnsi="宋体" w:eastAsia="宋体" w:cs="宋体"/>
                <w:color w:val="auto"/>
                <w:highlight w:val="none"/>
              </w:rPr>
            </w:pPr>
          </w:p>
        </w:tc>
        <w:tc>
          <w:tcPr>
            <w:tcW w:w="4675" w:type="dxa"/>
            <w:noWrap w:val="0"/>
            <w:vAlign w:val="top"/>
          </w:tcPr>
          <w:p w14:paraId="405DB61F">
            <w:pPr>
              <w:jc w:val="both"/>
              <w:rPr>
                <w:rFonts w:hint="eastAsia" w:ascii="宋体" w:hAnsi="宋体" w:eastAsia="宋体" w:cs="宋体"/>
                <w:color w:val="auto"/>
                <w:highlight w:val="none"/>
              </w:rPr>
            </w:pPr>
          </w:p>
        </w:tc>
        <w:tc>
          <w:tcPr>
            <w:tcW w:w="1700" w:type="dxa"/>
            <w:noWrap w:val="0"/>
            <w:vAlign w:val="top"/>
          </w:tcPr>
          <w:p w14:paraId="69F98C01">
            <w:pPr>
              <w:jc w:val="both"/>
              <w:rPr>
                <w:rFonts w:hint="eastAsia" w:ascii="宋体" w:hAnsi="宋体" w:eastAsia="宋体" w:cs="宋体"/>
                <w:color w:val="auto"/>
                <w:highlight w:val="none"/>
              </w:rPr>
            </w:pPr>
          </w:p>
        </w:tc>
        <w:tc>
          <w:tcPr>
            <w:tcW w:w="1705" w:type="dxa"/>
            <w:noWrap w:val="0"/>
            <w:vAlign w:val="top"/>
          </w:tcPr>
          <w:p w14:paraId="3BA07602">
            <w:pPr>
              <w:jc w:val="both"/>
              <w:rPr>
                <w:rFonts w:hint="eastAsia" w:ascii="宋体" w:hAnsi="宋体" w:eastAsia="宋体" w:cs="宋体"/>
                <w:color w:val="auto"/>
                <w:highlight w:val="none"/>
              </w:rPr>
            </w:pPr>
          </w:p>
        </w:tc>
      </w:tr>
      <w:tr w14:paraId="4F1D27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59EAFB0E">
            <w:pPr>
              <w:jc w:val="both"/>
              <w:rPr>
                <w:rFonts w:hint="eastAsia" w:ascii="宋体" w:hAnsi="宋体" w:eastAsia="宋体" w:cs="宋体"/>
                <w:color w:val="auto"/>
                <w:highlight w:val="none"/>
              </w:rPr>
            </w:pPr>
          </w:p>
        </w:tc>
        <w:tc>
          <w:tcPr>
            <w:tcW w:w="4675" w:type="dxa"/>
            <w:noWrap w:val="0"/>
            <w:vAlign w:val="top"/>
          </w:tcPr>
          <w:p w14:paraId="799B3EAE">
            <w:pPr>
              <w:jc w:val="both"/>
              <w:rPr>
                <w:rFonts w:hint="eastAsia" w:ascii="宋体" w:hAnsi="宋体" w:eastAsia="宋体" w:cs="宋体"/>
                <w:color w:val="auto"/>
                <w:highlight w:val="none"/>
              </w:rPr>
            </w:pPr>
          </w:p>
        </w:tc>
        <w:tc>
          <w:tcPr>
            <w:tcW w:w="1700" w:type="dxa"/>
            <w:noWrap w:val="0"/>
            <w:vAlign w:val="top"/>
          </w:tcPr>
          <w:p w14:paraId="476146E0">
            <w:pPr>
              <w:jc w:val="both"/>
              <w:rPr>
                <w:rFonts w:hint="eastAsia" w:ascii="宋体" w:hAnsi="宋体" w:eastAsia="宋体" w:cs="宋体"/>
                <w:color w:val="auto"/>
                <w:highlight w:val="none"/>
              </w:rPr>
            </w:pPr>
          </w:p>
        </w:tc>
        <w:tc>
          <w:tcPr>
            <w:tcW w:w="1705" w:type="dxa"/>
            <w:noWrap w:val="0"/>
            <w:vAlign w:val="top"/>
          </w:tcPr>
          <w:p w14:paraId="1E8C320C">
            <w:pPr>
              <w:jc w:val="both"/>
              <w:rPr>
                <w:rFonts w:hint="eastAsia" w:ascii="宋体" w:hAnsi="宋体" w:eastAsia="宋体" w:cs="宋体"/>
                <w:color w:val="auto"/>
                <w:highlight w:val="none"/>
              </w:rPr>
            </w:pPr>
          </w:p>
        </w:tc>
      </w:tr>
      <w:tr w14:paraId="7A57A6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6EB1EEBD">
            <w:pPr>
              <w:jc w:val="both"/>
              <w:rPr>
                <w:rFonts w:hint="eastAsia" w:ascii="宋体" w:hAnsi="宋体" w:eastAsia="宋体" w:cs="宋体"/>
                <w:color w:val="auto"/>
                <w:highlight w:val="none"/>
              </w:rPr>
            </w:pPr>
          </w:p>
        </w:tc>
        <w:tc>
          <w:tcPr>
            <w:tcW w:w="4675" w:type="dxa"/>
            <w:noWrap w:val="0"/>
            <w:vAlign w:val="top"/>
          </w:tcPr>
          <w:p w14:paraId="6924348D">
            <w:pPr>
              <w:jc w:val="both"/>
              <w:rPr>
                <w:rFonts w:hint="eastAsia" w:ascii="宋体" w:hAnsi="宋体" w:eastAsia="宋体" w:cs="宋体"/>
                <w:color w:val="auto"/>
                <w:highlight w:val="none"/>
              </w:rPr>
            </w:pPr>
          </w:p>
        </w:tc>
        <w:tc>
          <w:tcPr>
            <w:tcW w:w="1700" w:type="dxa"/>
            <w:noWrap w:val="0"/>
            <w:vAlign w:val="top"/>
          </w:tcPr>
          <w:p w14:paraId="66329528">
            <w:pPr>
              <w:jc w:val="both"/>
              <w:rPr>
                <w:rFonts w:hint="eastAsia" w:ascii="宋体" w:hAnsi="宋体" w:eastAsia="宋体" w:cs="宋体"/>
                <w:color w:val="auto"/>
                <w:highlight w:val="none"/>
              </w:rPr>
            </w:pPr>
          </w:p>
        </w:tc>
        <w:tc>
          <w:tcPr>
            <w:tcW w:w="1705" w:type="dxa"/>
            <w:noWrap w:val="0"/>
            <w:vAlign w:val="top"/>
          </w:tcPr>
          <w:p w14:paraId="47CDA3D3">
            <w:pPr>
              <w:jc w:val="both"/>
              <w:rPr>
                <w:rFonts w:hint="eastAsia" w:ascii="宋体" w:hAnsi="宋体" w:eastAsia="宋体" w:cs="宋体"/>
                <w:color w:val="auto"/>
                <w:highlight w:val="none"/>
              </w:rPr>
            </w:pPr>
          </w:p>
        </w:tc>
      </w:tr>
      <w:tr w14:paraId="6F32C3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noWrap w:val="0"/>
            <w:vAlign w:val="top"/>
          </w:tcPr>
          <w:p w14:paraId="00BC831C">
            <w:pPr>
              <w:jc w:val="both"/>
              <w:rPr>
                <w:rFonts w:hint="eastAsia" w:ascii="宋体" w:hAnsi="宋体" w:eastAsia="宋体" w:cs="宋体"/>
                <w:color w:val="auto"/>
                <w:highlight w:val="none"/>
              </w:rPr>
            </w:pPr>
          </w:p>
        </w:tc>
        <w:tc>
          <w:tcPr>
            <w:tcW w:w="4675" w:type="dxa"/>
            <w:noWrap w:val="0"/>
            <w:vAlign w:val="top"/>
          </w:tcPr>
          <w:p w14:paraId="5D3E09F4">
            <w:pPr>
              <w:jc w:val="both"/>
              <w:rPr>
                <w:rFonts w:hint="eastAsia" w:ascii="宋体" w:hAnsi="宋体" w:eastAsia="宋体" w:cs="宋体"/>
                <w:color w:val="auto"/>
                <w:highlight w:val="none"/>
              </w:rPr>
            </w:pPr>
          </w:p>
        </w:tc>
        <w:tc>
          <w:tcPr>
            <w:tcW w:w="1700" w:type="dxa"/>
            <w:noWrap w:val="0"/>
            <w:vAlign w:val="top"/>
          </w:tcPr>
          <w:p w14:paraId="2074841B">
            <w:pPr>
              <w:jc w:val="both"/>
              <w:rPr>
                <w:rFonts w:hint="eastAsia" w:ascii="宋体" w:hAnsi="宋体" w:eastAsia="宋体" w:cs="宋体"/>
                <w:color w:val="auto"/>
                <w:highlight w:val="none"/>
              </w:rPr>
            </w:pPr>
          </w:p>
        </w:tc>
        <w:tc>
          <w:tcPr>
            <w:tcW w:w="1705" w:type="dxa"/>
            <w:noWrap w:val="0"/>
            <w:vAlign w:val="top"/>
          </w:tcPr>
          <w:p w14:paraId="593E19E1">
            <w:pPr>
              <w:jc w:val="both"/>
              <w:rPr>
                <w:rFonts w:hint="eastAsia" w:ascii="宋体" w:hAnsi="宋体" w:eastAsia="宋体" w:cs="宋体"/>
                <w:color w:val="auto"/>
                <w:highlight w:val="none"/>
              </w:rPr>
            </w:pPr>
          </w:p>
        </w:tc>
      </w:tr>
      <w:tr w14:paraId="6B14AB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noWrap w:val="0"/>
            <w:vAlign w:val="top"/>
          </w:tcPr>
          <w:p w14:paraId="0CF523FF">
            <w:pPr>
              <w:jc w:val="both"/>
              <w:rPr>
                <w:rFonts w:hint="eastAsia" w:ascii="宋体" w:hAnsi="宋体" w:eastAsia="宋体" w:cs="宋体"/>
                <w:color w:val="auto"/>
                <w:highlight w:val="none"/>
              </w:rPr>
            </w:pPr>
          </w:p>
        </w:tc>
        <w:tc>
          <w:tcPr>
            <w:tcW w:w="4675" w:type="dxa"/>
            <w:noWrap w:val="0"/>
            <w:vAlign w:val="top"/>
          </w:tcPr>
          <w:p w14:paraId="1F74B33D">
            <w:pPr>
              <w:jc w:val="both"/>
              <w:rPr>
                <w:rFonts w:hint="eastAsia" w:ascii="宋体" w:hAnsi="宋体" w:eastAsia="宋体" w:cs="宋体"/>
                <w:color w:val="auto"/>
                <w:highlight w:val="none"/>
              </w:rPr>
            </w:pPr>
          </w:p>
        </w:tc>
        <w:tc>
          <w:tcPr>
            <w:tcW w:w="1700" w:type="dxa"/>
            <w:noWrap w:val="0"/>
            <w:vAlign w:val="top"/>
          </w:tcPr>
          <w:p w14:paraId="35800175">
            <w:pPr>
              <w:jc w:val="both"/>
              <w:rPr>
                <w:rFonts w:hint="eastAsia" w:ascii="宋体" w:hAnsi="宋体" w:eastAsia="宋体" w:cs="宋体"/>
                <w:color w:val="auto"/>
                <w:highlight w:val="none"/>
              </w:rPr>
            </w:pPr>
          </w:p>
        </w:tc>
        <w:tc>
          <w:tcPr>
            <w:tcW w:w="1705" w:type="dxa"/>
            <w:noWrap w:val="0"/>
            <w:vAlign w:val="top"/>
          </w:tcPr>
          <w:p w14:paraId="3B326600">
            <w:pPr>
              <w:jc w:val="both"/>
              <w:rPr>
                <w:rFonts w:hint="eastAsia" w:ascii="宋体" w:hAnsi="宋体" w:eastAsia="宋体" w:cs="宋体"/>
                <w:color w:val="auto"/>
                <w:highlight w:val="none"/>
              </w:rPr>
            </w:pPr>
          </w:p>
        </w:tc>
      </w:tr>
      <w:tr w14:paraId="0EEC4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noWrap w:val="0"/>
            <w:vAlign w:val="top"/>
          </w:tcPr>
          <w:p w14:paraId="1EBF83A9">
            <w:pPr>
              <w:jc w:val="both"/>
              <w:rPr>
                <w:rFonts w:hint="eastAsia" w:ascii="宋体" w:hAnsi="宋体" w:eastAsia="宋体" w:cs="宋体"/>
                <w:color w:val="auto"/>
                <w:highlight w:val="none"/>
              </w:rPr>
            </w:pPr>
          </w:p>
        </w:tc>
        <w:tc>
          <w:tcPr>
            <w:tcW w:w="4675" w:type="dxa"/>
            <w:noWrap w:val="0"/>
            <w:vAlign w:val="top"/>
          </w:tcPr>
          <w:p w14:paraId="49673328">
            <w:pPr>
              <w:jc w:val="both"/>
              <w:rPr>
                <w:rFonts w:hint="eastAsia" w:ascii="宋体" w:hAnsi="宋体" w:eastAsia="宋体" w:cs="宋体"/>
                <w:color w:val="auto"/>
                <w:highlight w:val="none"/>
              </w:rPr>
            </w:pPr>
          </w:p>
        </w:tc>
        <w:tc>
          <w:tcPr>
            <w:tcW w:w="1700" w:type="dxa"/>
            <w:noWrap w:val="0"/>
            <w:vAlign w:val="top"/>
          </w:tcPr>
          <w:p w14:paraId="088DC57E">
            <w:pPr>
              <w:jc w:val="both"/>
              <w:rPr>
                <w:rFonts w:hint="eastAsia" w:ascii="宋体" w:hAnsi="宋体" w:eastAsia="宋体" w:cs="宋体"/>
                <w:color w:val="auto"/>
                <w:highlight w:val="none"/>
              </w:rPr>
            </w:pPr>
          </w:p>
        </w:tc>
        <w:tc>
          <w:tcPr>
            <w:tcW w:w="1705" w:type="dxa"/>
            <w:noWrap w:val="0"/>
            <w:vAlign w:val="top"/>
          </w:tcPr>
          <w:p w14:paraId="24D75ECE">
            <w:pPr>
              <w:jc w:val="both"/>
              <w:rPr>
                <w:rFonts w:hint="eastAsia" w:ascii="宋体" w:hAnsi="宋体" w:eastAsia="宋体" w:cs="宋体"/>
                <w:color w:val="auto"/>
                <w:highlight w:val="none"/>
              </w:rPr>
            </w:pPr>
          </w:p>
        </w:tc>
      </w:tr>
    </w:tbl>
    <w:p w14:paraId="7D386D7D">
      <w:pPr>
        <w:spacing w:before="146" w:line="232" w:lineRule="auto"/>
        <w:ind w:left="538"/>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rPr>
        <w:t>注：本表请按投标人须知前附表3.5.7“二、评审打分资料”内容填写</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其中商务技术要求中的响应材料、检测报告等的清单明细及投标人提供满足需求指标和商务要求其余指标请按照响应材料、检测报告等的清单明细、投标人提供满足需求指标和商务要求其余指标一览表相应填写并在表后逐一放证明材料。</w:t>
      </w:r>
    </w:p>
    <w:p w14:paraId="30D7B82B">
      <w:pPr>
        <w:spacing w:line="255" w:lineRule="auto"/>
        <w:jc w:val="both"/>
        <w:rPr>
          <w:rFonts w:hint="eastAsia" w:ascii="宋体" w:hAnsi="宋体" w:eastAsia="宋体" w:cs="宋体"/>
          <w:color w:val="auto"/>
          <w:highlight w:val="none"/>
        </w:rPr>
      </w:pPr>
    </w:p>
    <w:p w14:paraId="50561B71">
      <w:pPr>
        <w:spacing w:line="255" w:lineRule="auto"/>
        <w:jc w:val="both"/>
        <w:rPr>
          <w:rFonts w:hint="eastAsia" w:ascii="宋体" w:hAnsi="宋体" w:eastAsia="宋体" w:cs="宋体"/>
          <w:color w:val="auto"/>
          <w:highlight w:val="none"/>
        </w:rPr>
      </w:pPr>
    </w:p>
    <w:p w14:paraId="795FE6C4">
      <w:pPr>
        <w:spacing w:line="255" w:lineRule="auto"/>
        <w:jc w:val="both"/>
        <w:rPr>
          <w:rFonts w:hint="eastAsia" w:ascii="宋体" w:hAnsi="宋体" w:eastAsia="宋体" w:cs="宋体"/>
          <w:color w:val="auto"/>
          <w:highlight w:val="none"/>
        </w:rPr>
      </w:pPr>
    </w:p>
    <w:p w14:paraId="0FEA5FBD">
      <w:pPr>
        <w:spacing w:line="255" w:lineRule="auto"/>
        <w:jc w:val="both"/>
        <w:rPr>
          <w:rFonts w:hint="eastAsia" w:ascii="宋体" w:hAnsi="宋体" w:eastAsia="宋体" w:cs="宋体"/>
          <w:color w:val="auto"/>
          <w:highlight w:val="none"/>
        </w:rPr>
      </w:pPr>
    </w:p>
    <w:p w14:paraId="2B6BFCC9">
      <w:pPr>
        <w:spacing w:line="256" w:lineRule="auto"/>
        <w:jc w:val="both"/>
        <w:rPr>
          <w:rFonts w:hint="eastAsia" w:ascii="宋体" w:hAnsi="宋体" w:eastAsia="宋体" w:cs="宋体"/>
          <w:color w:val="auto"/>
          <w:highlight w:val="none"/>
        </w:rPr>
      </w:pPr>
    </w:p>
    <w:p w14:paraId="208D2AED">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4404691A">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2797C082">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58F71FDE">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1BD79BC3">
      <w:pPr>
        <w:pStyle w:val="2"/>
        <w:pageBreakBefore w:val="0"/>
        <w:kinsoku/>
        <w:overflowPunct/>
        <w:topLinePunct w:val="0"/>
        <w:bidi w:val="0"/>
        <w:snapToGrid w:val="0"/>
        <w:spacing w:before="0" w:line="288" w:lineRule="auto"/>
        <w:jc w:val="center"/>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eastAsia="zh-CN"/>
        </w:rPr>
        <w:br w:type="column"/>
      </w:r>
      <w:r>
        <w:rPr>
          <w:rFonts w:hint="eastAsia" w:ascii="宋体" w:hAnsi="宋体" w:eastAsia="宋体" w:cs="Times New Roman"/>
          <w:color w:val="auto"/>
          <w:sz w:val="28"/>
          <w:szCs w:val="28"/>
          <w:highlight w:val="none"/>
          <w:lang w:eastAsia="zh-CN"/>
        </w:rPr>
        <w:t>响应材料、</w:t>
      </w:r>
      <w:r>
        <w:rPr>
          <w:rFonts w:hint="eastAsia" w:ascii="宋体" w:hAnsi="宋体" w:eastAsia="宋体" w:cs="Times New Roman"/>
          <w:color w:val="auto"/>
          <w:sz w:val="28"/>
          <w:szCs w:val="28"/>
          <w:highlight w:val="none"/>
          <w:lang w:val="en-US" w:eastAsia="zh-CN"/>
        </w:rPr>
        <w:t>检测报告等的清单明细</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
        <w:gridCol w:w="5149"/>
        <w:gridCol w:w="1131"/>
        <w:gridCol w:w="1415"/>
      </w:tblGrid>
      <w:tr w14:paraId="2A4E1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77C2CF92">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序号</w:t>
            </w:r>
          </w:p>
        </w:tc>
        <w:tc>
          <w:tcPr>
            <w:tcW w:w="5149" w:type="dxa"/>
            <w:vAlign w:val="center"/>
          </w:tcPr>
          <w:p w14:paraId="13A3CFDF">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招标人要求</w:t>
            </w:r>
          </w:p>
        </w:tc>
        <w:tc>
          <w:tcPr>
            <w:tcW w:w="1131" w:type="dxa"/>
            <w:vAlign w:val="center"/>
          </w:tcPr>
          <w:p w14:paraId="696782D4">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投标是否响应</w:t>
            </w:r>
          </w:p>
        </w:tc>
        <w:tc>
          <w:tcPr>
            <w:tcW w:w="1415" w:type="dxa"/>
            <w:vAlign w:val="center"/>
          </w:tcPr>
          <w:p w14:paraId="0BFE30B3">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具体响应材料所在页码</w:t>
            </w:r>
          </w:p>
        </w:tc>
      </w:tr>
      <w:tr w14:paraId="6F41D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595DC404">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w:t>
            </w:r>
          </w:p>
        </w:tc>
        <w:tc>
          <w:tcPr>
            <w:tcW w:w="5149" w:type="dxa"/>
          </w:tcPr>
          <w:p w14:paraId="71852014">
            <w:pPr>
              <w:pageBreakBefore w:val="0"/>
              <w:widowControl w:val="0"/>
              <w:shd w:val="clear"/>
              <w:kinsoku/>
              <w:wordWrap/>
              <w:overflowPunct/>
              <w:topLinePunct w:val="0"/>
              <w:autoSpaceDE/>
              <w:autoSpaceDN/>
              <w:bidi w:val="0"/>
              <w:snapToGrid w:val="0"/>
              <w:spacing w:beforeAutospacing="0" w:afterAutospacing="0" w:line="300" w:lineRule="auto"/>
              <w:jc w:val="both"/>
              <w:rPr>
                <w:rFonts w:hint="eastAsia" w:ascii="宋体" w:hAnsi="宋体" w:eastAsia="宋体" w:cs="宋体"/>
                <w:b w:val="0"/>
                <w:color w:val="auto"/>
                <w:spacing w:val="0"/>
                <w:kern w:val="2"/>
                <w:sz w:val="21"/>
                <w:szCs w:val="21"/>
                <w:highlight w:val="none"/>
                <w:lang w:val="en-US" w:eastAsia="zh-CN"/>
              </w:rPr>
            </w:pPr>
            <w:r>
              <w:rPr>
                <w:rFonts w:hint="eastAsia" w:ascii="宋体" w:hAnsi="宋体" w:eastAsia="宋体" w:cs="宋体"/>
                <w:color w:val="auto"/>
                <w:spacing w:val="0"/>
                <w:sz w:val="21"/>
                <w:szCs w:val="21"/>
                <w:highlight w:val="none"/>
                <w:lang w:val="en-US" w:eastAsia="zh-CN"/>
              </w:rPr>
              <w:t>6.2.1系统配置</w:t>
            </w:r>
            <w:r>
              <w:rPr>
                <w:rFonts w:hint="eastAsia" w:ascii="宋体" w:hAnsi="宋体" w:eastAsia="宋体" w:cs="宋体"/>
                <w:color w:val="auto"/>
                <w:spacing w:val="0"/>
                <w:sz w:val="21"/>
                <w:szCs w:val="21"/>
                <w:highlight w:val="none"/>
              </w:rPr>
              <w:t>：</w:t>
            </w:r>
            <w:r>
              <w:rPr>
                <w:rFonts w:hint="eastAsia" w:ascii="宋体" w:hAnsi="宋体" w:eastAsia="宋体" w:cs="宋体"/>
                <w:color w:val="auto"/>
                <w:sz w:val="21"/>
                <w:szCs w:val="21"/>
                <w:highlight w:val="none"/>
                <w:lang w:val="zh-CN"/>
              </w:rPr>
              <w:t>具有AI 多参数自适应精准环境控制（核心基础应用）功能，具有AI 负荷预测与冷热源群控节能功能，具有滤网与设备 AI 预测性维护功能，具有AI 异常污染识别与风险预警功能。</w:t>
            </w:r>
            <w:r>
              <w:rPr>
                <w:rFonts w:hint="eastAsia" w:ascii="宋体" w:hAnsi="宋体" w:eastAsia="宋体" w:cs="宋体"/>
                <w:b/>
                <w:bCs/>
                <w:color w:val="auto"/>
                <w:sz w:val="21"/>
                <w:szCs w:val="21"/>
                <w:highlight w:val="none"/>
                <w:lang w:val="zh-CN"/>
              </w:rPr>
              <w:t>投标文件中提供具有CMA认证的第三方检测机构出具的检测报告扫描件或复印件。</w:t>
            </w:r>
          </w:p>
        </w:tc>
        <w:tc>
          <w:tcPr>
            <w:tcW w:w="1131" w:type="dxa"/>
          </w:tcPr>
          <w:p w14:paraId="53397822">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color w:val="auto"/>
                <w:sz w:val="21"/>
                <w:szCs w:val="21"/>
                <w:highlight w:val="none"/>
                <w:vertAlign w:val="baseline"/>
                <w:lang w:eastAsia="zh-CN"/>
              </w:rPr>
            </w:pPr>
          </w:p>
        </w:tc>
        <w:tc>
          <w:tcPr>
            <w:tcW w:w="1415" w:type="dxa"/>
          </w:tcPr>
          <w:p w14:paraId="6480CBA7">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color w:val="auto"/>
                <w:sz w:val="21"/>
                <w:szCs w:val="21"/>
                <w:highlight w:val="none"/>
                <w:vertAlign w:val="baseline"/>
                <w:lang w:eastAsia="zh-CN"/>
              </w:rPr>
            </w:pPr>
          </w:p>
        </w:tc>
      </w:tr>
      <w:tr w14:paraId="043F3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396926A3">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w:t>
            </w:r>
          </w:p>
        </w:tc>
        <w:tc>
          <w:tcPr>
            <w:tcW w:w="5149" w:type="dxa"/>
          </w:tcPr>
          <w:p w14:paraId="2D60C49A">
            <w:pPr>
              <w:pageBreakBefore w:val="0"/>
              <w:widowControl w:val="0"/>
              <w:shd w:val="clear"/>
              <w:kinsoku/>
              <w:wordWrap/>
              <w:overflowPunct/>
              <w:topLinePunct w:val="0"/>
              <w:autoSpaceDE/>
              <w:autoSpaceDN/>
              <w:bidi w:val="0"/>
              <w:snapToGrid w:val="0"/>
              <w:spacing w:beforeAutospacing="0" w:afterAutospacing="0" w:line="300" w:lineRule="auto"/>
              <w:jc w:val="both"/>
              <w:rPr>
                <w:rFonts w:hint="default" w:ascii="宋体" w:hAnsi="宋体" w:eastAsia="宋体" w:cs="宋体"/>
                <w:b w:val="0"/>
                <w:color w:val="auto"/>
                <w:spacing w:val="0"/>
                <w:kern w:val="2"/>
                <w:sz w:val="21"/>
                <w:szCs w:val="21"/>
                <w:highlight w:val="none"/>
                <w:lang w:val="en-US" w:eastAsia="zh-CN"/>
              </w:rPr>
            </w:pPr>
            <w:r>
              <w:rPr>
                <w:rFonts w:hint="eastAsia" w:ascii="宋体" w:hAnsi="宋体" w:eastAsia="宋体" w:cs="宋体"/>
                <w:color w:val="auto"/>
                <w:sz w:val="21"/>
                <w:szCs w:val="21"/>
                <w:highlight w:val="none"/>
                <w:lang w:val="en-US" w:eastAsia="zh-CN"/>
              </w:rPr>
              <w:t>6.3.1气流组织设计：</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en-US" w:eastAsia="zh-CN"/>
              </w:rPr>
              <w:t>送风面风速均匀性：≤10%偏差，气流垂直度：≤150偏角，过滤器检漏效率：≥99.99%（MPPS法），箱体漏风率：≤1%，密封条耐久性（次）：≥10万次。</w:t>
            </w:r>
            <w:r>
              <w:rPr>
                <w:rFonts w:hint="eastAsia" w:ascii="宋体" w:hAnsi="宋体" w:eastAsia="宋体" w:cs="宋体"/>
                <w:b/>
                <w:bCs/>
                <w:color w:val="auto"/>
                <w:sz w:val="21"/>
                <w:szCs w:val="21"/>
                <w:highlight w:val="none"/>
                <w:lang w:val="en-US" w:eastAsia="zh-CN"/>
              </w:rPr>
              <w:t>投标文件中提供具有CMA认证的第三方检测机构出具的检测报告扫描件或复印件。</w:t>
            </w:r>
          </w:p>
        </w:tc>
        <w:tc>
          <w:tcPr>
            <w:tcW w:w="1131" w:type="dxa"/>
          </w:tcPr>
          <w:p w14:paraId="45E67F6A">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color w:val="auto"/>
                <w:sz w:val="21"/>
                <w:szCs w:val="21"/>
                <w:highlight w:val="none"/>
                <w:vertAlign w:val="baseline"/>
                <w:lang w:eastAsia="zh-CN"/>
              </w:rPr>
            </w:pPr>
          </w:p>
        </w:tc>
        <w:tc>
          <w:tcPr>
            <w:tcW w:w="1415" w:type="dxa"/>
          </w:tcPr>
          <w:p w14:paraId="5FFB9AAD">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color w:val="auto"/>
                <w:sz w:val="21"/>
                <w:szCs w:val="21"/>
                <w:highlight w:val="none"/>
                <w:vertAlign w:val="baseline"/>
                <w:lang w:eastAsia="zh-CN"/>
              </w:rPr>
            </w:pPr>
          </w:p>
        </w:tc>
      </w:tr>
      <w:tr w14:paraId="30638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4AAD537C">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3</w:t>
            </w:r>
          </w:p>
        </w:tc>
        <w:tc>
          <w:tcPr>
            <w:tcW w:w="5149" w:type="dxa"/>
          </w:tcPr>
          <w:p w14:paraId="20571B09">
            <w:pPr>
              <w:pageBreakBefore w:val="0"/>
              <w:widowControl w:val="0"/>
              <w:shd w:val="clear"/>
              <w:kinsoku/>
              <w:wordWrap/>
              <w:overflowPunct/>
              <w:topLinePunct w:val="0"/>
              <w:autoSpaceDE/>
              <w:autoSpaceDN/>
              <w:bidi w:val="0"/>
              <w:snapToGrid w:val="0"/>
              <w:spacing w:beforeAutospacing="0" w:afterAutospacing="0" w:line="300" w:lineRule="auto"/>
              <w:jc w:val="both"/>
              <w:rPr>
                <w:rFonts w:hint="default" w:ascii="宋体" w:hAnsi="宋体" w:eastAsia="宋体" w:cs="宋体"/>
                <w:b/>
                <w:bCs/>
                <w:color w:val="auto"/>
                <w:spacing w:val="0"/>
                <w:kern w:val="2"/>
                <w:sz w:val="21"/>
                <w:szCs w:val="21"/>
                <w:highlight w:val="none"/>
                <w:lang w:val="en-US" w:eastAsia="zh-CN"/>
              </w:rPr>
            </w:pPr>
            <w:r>
              <w:rPr>
                <w:rFonts w:hint="eastAsia" w:ascii="宋体" w:hAnsi="宋体" w:eastAsia="宋体" w:cs="宋体"/>
                <w:color w:val="auto"/>
                <w:sz w:val="21"/>
                <w:szCs w:val="21"/>
                <w:highlight w:val="none"/>
                <w:lang w:val="en-US" w:eastAsia="zh-CN"/>
              </w:rPr>
              <w:t>10.5.2</w:t>
            </w:r>
            <w:r>
              <w:rPr>
                <w:rFonts w:hint="eastAsia" w:ascii="宋体" w:hAnsi="宋体" w:eastAsia="宋体" w:cs="宋体"/>
                <w:color w:val="auto"/>
                <w:sz w:val="21"/>
                <w:szCs w:val="21"/>
                <w:highlight w:val="none"/>
                <w:lang w:val="zh-CN" w:eastAsia="zh-CN"/>
              </w:rPr>
              <w:t>气体报警产品耐热耐寒性能、抗冲击性能、外壳防护等级、外壳耐压性能符合 GB3836.1及 GB3836.2 国家标准的检验报告。</w:t>
            </w:r>
            <w:r>
              <w:rPr>
                <w:rFonts w:hint="eastAsia" w:ascii="宋体" w:hAnsi="宋体" w:eastAsia="宋体" w:cs="宋体"/>
                <w:b/>
                <w:bCs/>
                <w:color w:val="auto"/>
                <w:sz w:val="21"/>
                <w:szCs w:val="21"/>
                <w:highlight w:val="none"/>
                <w:lang w:val="en-US" w:eastAsia="zh-CN"/>
              </w:rPr>
              <w:t>投标文件中提供具有CMA认证的第三方检测机构出具的检测报告扫描件或复印件。</w:t>
            </w:r>
          </w:p>
        </w:tc>
        <w:tc>
          <w:tcPr>
            <w:tcW w:w="1131" w:type="dxa"/>
          </w:tcPr>
          <w:p w14:paraId="62520597">
            <w:pPr>
              <w:widowControl w:val="0"/>
              <w:shd w:val="clear"/>
              <w:adjustRightInd/>
              <w:snapToGrid w:val="0"/>
              <w:spacing w:line="288" w:lineRule="auto"/>
              <w:jc w:val="both"/>
              <w:rPr>
                <w:rFonts w:hint="eastAsia" w:ascii="宋体" w:hAnsi="宋体" w:eastAsia="宋体" w:cs="宋体"/>
                <w:b/>
                <w:bCs/>
                <w:color w:val="auto"/>
                <w:sz w:val="21"/>
                <w:szCs w:val="21"/>
                <w:highlight w:val="none"/>
                <w:vertAlign w:val="baseline"/>
                <w:lang w:eastAsia="zh-CN"/>
              </w:rPr>
            </w:pPr>
          </w:p>
        </w:tc>
        <w:tc>
          <w:tcPr>
            <w:tcW w:w="1415" w:type="dxa"/>
          </w:tcPr>
          <w:p w14:paraId="76CB5733">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color w:val="auto"/>
                <w:sz w:val="21"/>
                <w:szCs w:val="21"/>
                <w:highlight w:val="none"/>
                <w:vertAlign w:val="baseline"/>
                <w:lang w:eastAsia="zh-CN"/>
              </w:rPr>
            </w:pPr>
          </w:p>
        </w:tc>
      </w:tr>
      <w:tr w14:paraId="7F5FA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0E7160F2">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4</w:t>
            </w:r>
          </w:p>
        </w:tc>
        <w:tc>
          <w:tcPr>
            <w:tcW w:w="5149" w:type="dxa"/>
          </w:tcPr>
          <w:p w14:paraId="2AED3A3F">
            <w:pPr>
              <w:pageBreakBefore w:val="0"/>
              <w:widowControl w:val="0"/>
              <w:shd w:val="clear"/>
              <w:kinsoku/>
              <w:wordWrap/>
              <w:overflowPunct/>
              <w:topLinePunct w:val="0"/>
              <w:autoSpaceDE/>
              <w:autoSpaceDN/>
              <w:bidi w:val="0"/>
              <w:snapToGrid w:val="0"/>
              <w:spacing w:beforeAutospacing="0" w:afterAutospacing="0" w:line="300" w:lineRule="auto"/>
              <w:jc w:val="both"/>
              <w:rPr>
                <w:rFonts w:hint="default" w:ascii="宋体" w:hAnsi="宋体" w:eastAsia="宋体" w:cs="宋体"/>
                <w:b/>
                <w:bCs/>
                <w:color w:val="auto"/>
                <w:spacing w:val="0"/>
                <w:kern w:val="2"/>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10.8.3</w:t>
            </w:r>
            <w:r>
              <w:rPr>
                <w:rFonts w:hint="eastAsia" w:ascii="宋体" w:hAnsi="宋体" w:eastAsia="宋体" w:cs="宋体"/>
                <w:b w:val="0"/>
                <w:bCs w:val="0"/>
                <w:color w:val="auto"/>
                <w:sz w:val="21"/>
                <w:szCs w:val="21"/>
                <w:highlight w:val="none"/>
                <w:lang w:val="zh-CN" w:eastAsia="zh-CN"/>
              </w:rPr>
              <w:t>气体报警箱要求六种限用物质铅、汞、镉、六价铬、多溴联苯和多溴二苯醚满足国家要求。</w:t>
            </w:r>
            <w:r>
              <w:rPr>
                <w:rFonts w:hint="eastAsia" w:ascii="宋体" w:hAnsi="宋体" w:eastAsia="宋体" w:cs="宋体"/>
                <w:b/>
                <w:bCs/>
                <w:color w:val="auto"/>
                <w:sz w:val="21"/>
                <w:szCs w:val="21"/>
                <w:highlight w:val="none"/>
                <w:lang w:val="en-US" w:eastAsia="zh-CN"/>
              </w:rPr>
              <w:t>投标文件中提供具有CMA认证的第三方检测机构出具的检测报告扫描件或复印件。</w:t>
            </w:r>
          </w:p>
        </w:tc>
        <w:tc>
          <w:tcPr>
            <w:tcW w:w="1131" w:type="dxa"/>
          </w:tcPr>
          <w:p w14:paraId="5F09D581">
            <w:pPr>
              <w:widowControl w:val="0"/>
              <w:shd w:val="clear"/>
              <w:adjustRightInd/>
              <w:snapToGrid w:val="0"/>
              <w:spacing w:line="288" w:lineRule="auto"/>
              <w:jc w:val="both"/>
              <w:rPr>
                <w:rFonts w:hint="eastAsia" w:ascii="宋体" w:hAnsi="宋体" w:eastAsia="宋体" w:cs="宋体"/>
                <w:b/>
                <w:bCs/>
                <w:color w:val="auto"/>
                <w:sz w:val="21"/>
                <w:szCs w:val="21"/>
                <w:highlight w:val="none"/>
                <w:vertAlign w:val="baseline"/>
                <w:lang w:eastAsia="zh-CN"/>
              </w:rPr>
            </w:pPr>
          </w:p>
        </w:tc>
        <w:tc>
          <w:tcPr>
            <w:tcW w:w="1415" w:type="dxa"/>
          </w:tcPr>
          <w:p w14:paraId="76AE3FC2">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color w:val="auto"/>
                <w:sz w:val="21"/>
                <w:szCs w:val="21"/>
                <w:highlight w:val="none"/>
                <w:vertAlign w:val="baseline"/>
                <w:lang w:eastAsia="zh-CN"/>
              </w:rPr>
            </w:pPr>
          </w:p>
        </w:tc>
      </w:tr>
      <w:tr w14:paraId="5CEBA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4256D055">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5</w:t>
            </w:r>
          </w:p>
        </w:tc>
        <w:tc>
          <w:tcPr>
            <w:tcW w:w="5149" w:type="dxa"/>
          </w:tcPr>
          <w:p w14:paraId="070C5B64">
            <w:pPr>
              <w:pageBreakBefore w:val="0"/>
              <w:widowControl w:val="0"/>
              <w:shd w:val="clear"/>
              <w:kinsoku/>
              <w:wordWrap/>
              <w:overflowPunct/>
              <w:topLinePunct w:val="0"/>
              <w:autoSpaceDE/>
              <w:autoSpaceDN/>
              <w:bidi w:val="0"/>
              <w:snapToGrid w:val="0"/>
              <w:spacing w:beforeAutospacing="0" w:afterAutospacing="0" w:line="300" w:lineRule="auto"/>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u w:val="none"/>
                <w:lang w:val="en-US" w:eastAsia="zh-CN"/>
              </w:rPr>
              <w:t>▲</w:t>
            </w:r>
            <w:r>
              <w:rPr>
                <w:rFonts w:hint="eastAsia" w:ascii="宋体" w:hAnsi="宋体" w:eastAsia="宋体" w:cs="宋体"/>
                <w:b/>
                <w:bCs/>
                <w:color w:val="auto"/>
                <w:spacing w:val="0"/>
                <w:kern w:val="2"/>
                <w:sz w:val="21"/>
                <w:szCs w:val="21"/>
                <w:highlight w:val="none"/>
                <w:lang w:val="en-US" w:eastAsia="zh-CN"/>
              </w:rPr>
              <w:t>10.10.2</w:t>
            </w:r>
            <w:r>
              <w:rPr>
                <w:rFonts w:hint="eastAsia" w:ascii="宋体" w:hAnsi="宋体" w:eastAsia="宋体" w:cs="宋体"/>
                <w:b/>
                <w:bCs/>
                <w:color w:val="auto"/>
                <w:kern w:val="2"/>
                <w:sz w:val="21"/>
                <w:szCs w:val="21"/>
                <w:highlight w:val="none"/>
                <w:lang w:val="zh-CN"/>
              </w:rPr>
              <w:t>气体终端技术要求：为保证产品的耐久性，插拔极限次数不少于</w:t>
            </w:r>
            <w:r>
              <w:rPr>
                <w:rFonts w:hint="eastAsia" w:ascii="宋体" w:hAnsi="宋体" w:eastAsia="宋体" w:cs="宋体"/>
                <w:b/>
                <w:bCs/>
                <w:color w:val="auto"/>
                <w:kern w:val="2"/>
                <w:sz w:val="21"/>
                <w:szCs w:val="21"/>
                <w:highlight w:val="none"/>
                <w:lang w:val="en-US" w:eastAsia="zh-CN"/>
              </w:rPr>
              <w:t>5</w:t>
            </w:r>
            <w:r>
              <w:rPr>
                <w:rFonts w:hint="eastAsia" w:ascii="宋体" w:hAnsi="宋体" w:eastAsia="宋体" w:cs="宋体"/>
                <w:b/>
                <w:bCs/>
                <w:color w:val="auto"/>
                <w:kern w:val="2"/>
                <w:sz w:val="21"/>
                <w:szCs w:val="21"/>
                <w:highlight w:val="none"/>
                <w:lang w:val="zh-CN"/>
              </w:rPr>
              <w:t>0000次。</w:t>
            </w:r>
            <w:r>
              <w:rPr>
                <w:rFonts w:hint="eastAsia" w:ascii="宋体" w:hAnsi="宋体" w:eastAsia="宋体" w:cs="宋体"/>
                <w:color w:val="auto"/>
                <w:sz w:val="21"/>
                <w:szCs w:val="21"/>
                <w:highlight w:val="none"/>
                <w:lang w:val="en-US" w:eastAsia="zh-CN"/>
              </w:rPr>
              <w:t>投标文件中</w:t>
            </w:r>
            <w:r>
              <w:rPr>
                <w:rFonts w:hint="eastAsia" w:ascii="宋体" w:hAnsi="宋体" w:eastAsia="宋体" w:cs="宋体"/>
                <w:b/>
                <w:bCs/>
                <w:color w:val="auto"/>
                <w:kern w:val="2"/>
                <w:sz w:val="21"/>
                <w:szCs w:val="21"/>
                <w:highlight w:val="none"/>
                <w:lang w:val="zh-CN"/>
              </w:rPr>
              <w:t>提供具有</w:t>
            </w:r>
            <w:r>
              <w:rPr>
                <w:rFonts w:hint="eastAsia" w:ascii="宋体" w:hAnsi="宋体" w:eastAsia="宋体" w:cs="宋体"/>
                <w:b/>
                <w:bCs/>
                <w:color w:val="auto"/>
                <w:kern w:val="2"/>
                <w:sz w:val="21"/>
                <w:szCs w:val="21"/>
                <w:highlight w:val="none"/>
                <w:lang w:val="en-US"/>
              </w:rPr>
              <w:t>CMA</w:t>
            </w:r>
            <w:r>
              <w:rPr>
                <w:rFonts w:hint="eastAsia" w:ascii="宋体" w:hAnsi="宋体" w:eastAsia="宋体" w:cs="宋体"/>
                <w:b/>
                <w:bCs/>
                <w:color w:val="auto"/>
                <w:kern w:val="2"/>
                <w:sz w:val="21"/>
                <w:szCs w:val="21"/>
                <w:highlight w:val="none"/>
                <w:lang w:val="en-US" w:eastAsia="zh-CN"/>
              </w:rPr>
              <w:t>认证的</w:t>
            </w:r>
            <w:r>
              <w:rPr>
                <w:rFonts w:hint="eastAsia" w:ascii="宋体" w:hAnsi="宋体" w:eastAsia="宋体" w:cs="宋体"/>
                <w:b/>
                <w:bCs/>
                <w:color w:val="auto"/>
                <w:kern w:val="2"/>
                <w:sz w:val="21"/>
                <w:szCs w:val="21"/>
                <w:highlight w:val="none"/>
                <w:lang w:val="zh-CN"/>
              </w:rPr>
              <w:t>第三方检测机构出具的检测报告</w:t>
            </w:r>
            <w:r>
              <w:rPr>
                <w:rFonts w:hint="eastAsia" w:ascii="宋体" w:hAnsi="宋体" w:eastAsia="宋体" w:cs="宋体"/>
                <w:b/>
                <w:bCs/>
                <w:color w:val="auto"/>
                <w:kern w:val="2"/>
                <w:sz w:val="21"/>
                <w:szCs w:val="21"/>
                <w:highlight w:val="none"/>
                <w:lang w:val="en-US" w:eastAsia="zh-CN"/>
              </w:rPr>
              <w:t>扫描件或复印件</w:t>
            </w:r>
            <w:r>
              <w:rPr>
                <w:rFonts w:hint="eastAsia" w:ascii="宋体" w:hAnsi="宋体" w:eastAsia="宋体" w:cs="宋体"/>
                <w:b/>
                <w:bCs/>
                <w:color w:val="auto"/>
                <w:kern w:val="2"/>
                <w:sz w:val="21"/>
                <w:szCs w:val="21"/>
                <w:highlight w:val="none"/>
                <w:lang w:val="zh-CN"/>
              </w:rPr>
              <w:t>。</w:t>
            </w:r>
          </w:p>
        </w:tc>
        <w:tc>
          <w:tcPr>
            <w:tcW w:w="1131" w:type="dxa"/>
          </w:tcPr>
          <w:p w14:paraId="42D91814">
            <w:pPr>
              <w:widowControl w:val="0"/>
              <w:shd w:val="clear"/>
              <w:adjustRightInd/>
              <w:snapToGrid w:val="0"/>
              <w:spacing w:line="288" w:lineRule="auto"/>
              <w:jc w:val="both"/>
              <w:rPr>
                <w:rFonts w:hint="eastAsia" w:ascii="宋体" w:hAnsi="宋体" w:eastAsia="宋体" w:cs="宋体"/>
                <w:b/>
                <w:bCs/>
                <w:color w:val="auto"/>
                <w:sz w:val="21"/>
                <w:szCs w:val="21"/>
                <w:highlight w:val="none"/>
                <w:vertAlign w:val="baseline"/>
                <w:lang w:eastAsia="zh-CN"/>
              </w:rPr>
            </w:pPr>
          </w:p>
        </w:tc>
        <w:tc>
          <w:tcPr>
            <w:tcW w:w="1415" w:type="dxa"/>
          </w:tcPr>
          <w:p w14:paraId="41A9274C">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color w:val="auto"/>
                <w:sz w:val="21"/>
                <w:szCs w:val="21"/>
                <w:highlight w:val="none"/>
                <w:vertAlign w:val="baseline"/>
                <w:lang w:eastAsia="zh-CN"/>
              </w:rPr>
            </w:pPr>
          </w:p>
        </w:tc>
      </w:tr>
      <w:tr w14:paraId="5BD99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18024E75">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6</w:t>
            </w:r>
          </w:p>
        </w:tc>
        <w:tc>
          <w:tcPr>
            <w:tcW w:w="5149" w:type="dxa"/>
          </w:tcPr>
          <w:p w14:paraId="6ACD85C2">
            <w:pPr>
              <w:pageBreakBefore w:val="0"/>
              <w:widowControl w:val="0"/>
              <w:shd w:val="clear"/>
              <w:kinsoku/>
              <w:wordWrap/>
              <w:overflowPunct/>
              <w:topLinePunct w:val="0"/>
              <w:autoSpaceDE/>
              <w:autoSpaceDN/>
              <w:bidi w:val="0"/>
              <w:snapToGrid w:val="0"/>
              <w:spacing w:beforeAutospacing="0" w:afterAutospacing="0" w:line="300" w:lineRule="auto"/>
              <w:ind w:left="0" w:leftChars="0" w:firstLine="420" w:firstLineChars="200"/>
              <w:jc w:val="both"/>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5.2墙体、墙面：</w:t>
            </w:r>
          </w:p>
          <w:p w14:paraId="0A607FC1">
            <w:pPr>
              <w:pageBreakBefore w:val="0"/>
              <w:widowControl w:val="0"/>
              <w:shd w:val="clear"/>
              <w:kinsoku/>
              <w:wordWrap/>
              <w:overflowPunct/>
              <w:topLinePunct w:val="0"/>
              <w:autoSpaceDE/>
              <w:autoSpaceDN/>
              <w:bidi w:val="0"/>
              <w:snapToGrid w:val="0"/>
              <w:spacing w:beforeAutospacing="0" w:afterAutospacing="0" w:line="300" w:lineRule="auto"/>
              <w:ind w:firstLine="420" w:firstLineChars="200"/>
              <w:jc w:val="both"/>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pacing w:val="0"/>
                <w:sz w:val="21"/>
                <w:szCs w:val="21"/>
                <w:highlight w:val="none"/>
              </w:rPr>
              <w:t>耐磨含钛喷涂摩擦系统0.05-0.20，涂层耐磨面积≤6%，厚度损失≤0.03mm；耐霉菌性能≥99%；抗碘伏、碘酒、酒精、双氧水、硼酸、高锰酸钾、84消毒液腐蚀测试表面无变化。</w:t>
            </w:r>
            <w:r>
              <w:rPr>
                <w:rFonts w:hint="eastAsia" w:ascii="宋体" w:hAnsi="宋体" w:eastAsia="宋体" w:cs="宋体"/>
                <w:b/>
                <w:bCs/>
                <w:color w:val="auto"/>
                <w:spacing w:val="0"/>
                <w:sz w:val="21"/>
                <w:szCs w:val="21"/>
                <w:highlight w:val="none"/>
              </w:rPr>
              <w:t>投标文件中提供具有CMA认证的第三方检测机构出具的检测报告扫描件或复印件。</w:t>
            </w:r>
          </w:p>
        </w:tc>
        <w:tc>
          <w:tcPr>
            <w:tcW w:w="1131" w:type="dxa"/>
          </w:tcPr>
          <w:p w14:paraId="0F1C4E67">
            <w:pPr>
              <w:widowControl w:val="0"/>
              <w:shd w:val="clear"/>
              <w:adjustRightInd/>
              <w:snapToGrid w:val="0"/>
              <w:spacing w:line="288" w:lineRule="auto"/>
              <w:jc w:val="both"/>
              <w:rPr>
                <w:rFonts w:hint="eastAsia" w:ascii="宋体" w:hAnsi="宋体" w:eastAsia="宋体" w:cs="宋体"/>
                <w:b/>
                <w:bCs/>
                <w:color w:val="auto"/>
                <w:sz w:val="21"/>
                <w:szCs w:val="21"/>
                <w:highlight w:val="none"/>
                <w:vertAlign w:val="baseline"/>
                <w:lang w:eastAsia="zh-CN"/>
              </w:rPr>
            </w:pPr>
          </w:p>
        </w:tc>
        <w:tc>
          <w:tcPr>
            <w:tcW w:w="1415" w:type="dxa"/>
          </w:tcPr>
          <w:p w14:paraId="68F6CE87">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color w:val="auto"/>
                <w:sz w:val="21"/>
                <w:szCs w:val="21"/>
                <w:highlight w:val="none"/>
                <w:vertAlign w:val="baseline"/>
                <w:lang w:eastAsia="zh-CN"/>
              </w:rPr>
            </w:pPr>
          </w:p>
        </w:tc>
      </w:tr>
      <w:tr w14:paraId="4EEDB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7DF639FF">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7</w:t>
            </w:r>
          </w:p>
        </w:tc>
        <w:tc>
          <w:tcPr>
            <w:tcW w:w="5149" w:type="dxa"/>
          </w:tcPr>
          <w:p w14:paraId="37AA6803">
            <w:pPr>
              <w:keepNext w:val="0"/>
              <w:keepLines w:val="0"/>
              <w:pageBreakBefore w:val="0"/>
              <w:widowControl w:val="0"/>
              <w:shd w:val="clear"/>
              <w:kinsoku/>
              <w:wordWrap/>
              <w:overflowPunct/>
              <w:topLinePunct w:val="0"/>
              <w:autoSpaceDE/>
              <w:autoSpaceDN/>
              <w:bidi w:val="0"/>
              <w:adjustRightInd/>
              <w:snapToGrid w:val="0"/>
              <w:spacing w:beforeAutospacing="0" w:afterAutospacing="0" w:line="288" w:lineRule="auto"/>
              <w:ind w:left="0" w:leftChars="0" w:firstLine="0" w:firstLineChars="0"/>
              <w:jc w:val="both"/>
              <w:textAlignment w:val="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生物安全柜</w:t>
            </w:r>
            <w:r>
              <w:rPr>
                <w:rFonts w:hint="eastAsia" w:ascii="宋体" w:hAnsi="宋体" w:eastAsia="宋体" w:cs="宋体"/>
                <w:color w:val="auto"/>
                <w:spacing w:val="0"/>
                <w:sz w:val="21"/>
                <w:szCs w:val="21"/>
                <w:highlight w:val="none"/>
                <w:lang w:eastAsia="zh-CN"/>
              </w:rPr>
              <w:t>：</w:t>
            </w:r>
          </w:p>
          <w:p w14:paraId="032A96DE">
            <w:pPr>
              <w:keepNext w:val="0"/>
              <w:keepLines w:val="0"/>
              <w:widowControl w:val="0"/>
              <w:shd w:val="clear"/>
              <w:adjustRightInd/>
              <w:snapToGrid w:val="0"/>
              <w:spacing w:before="0" w:after="0" w:line="288" w:lineRule="auto"/>
              <w:jc w:val="both"/>
              <w:rPr>
                <w:rFonts w:hint="eastAsia" w:ascii="宋体" w:hAnsi="宋体" w:eastAsia="宋体" w:cs="宋体"/>
                <w:b w:val="0"/>
                <w:color w:val="auto"/>
                <w:spacing w:val="0"/>
                <w:kern w:val="2"/>
                <w:sz w:val="21"/>
                <w:szCs w:val="21"/>
                <w:highlight w:val="none"/>
                <w:lang w:val="zh-CN"/>
              </w:rPr>
            </w:pPr>
            <w:r>
              <w:rPr>
                <w:rFonts w:hint="eastAsia" w:ascii="宋体" w:hAnsi="宋体" w:eastAsia="宋体" w:cs="宋体"/>
                <w:b/>
                <w:bCs/>
                <w:strike w:val="0"/>
                <w:color w:val="auto"/>
                <w:spacing w:val="0"/>
                <w:sz w:val="21"/>
                <w:szCs w:val="21"/>
                <w:highlight w:val="none"/>
                <w:lang w:val="en-US" w:eastAsia="zh-CN"/>
              </w:rPr>
              <w:t>★17）</w:t>
            </w:r>
            <w:r>
              <w:rPr>
                <w:rFonts w:hint="eastAsia" w:ascii="宋体" w:hAnsi="宋体" w:eastAsia="宋体" w:cs="宋体"/>
                <w:b/>
                <w:bCs/>
                <w:strike w:val="0"/>
                <w:color w:val="auto"/>
                <w:spacing w:val="0"/>
                <w:sz w:val="21"/>
                <w:szCs w:val="21"/>
                <w:highlight w:val="none"/>
              </w:rPr>
              <w:t>生产企业取得医疗器械生产许可证，产品取得医疗器械注册证。</w:t>
            </w:r>
            <w:r>
              <w:rPr>
                <w:rFonts w:hint="eastAsia" w:ascii="宋体" w:hAnsi="宋体" w:eastAsia="宋体" w:cs="宋体"/>
                <w:b/>
                <w:bCs/>
                <w:strike w:val="0"/>
                <w:color w:val="auto"/>
                <w:spacing w:val="0"/>
                <w:sz w:val="21"/>
                <w:szCs w:val="21"/>
                <w:highlight w:val="none"/>
                <w:lang w:eastAsia="zh-CN"/>
              </w:rPr>
              <w:t>投标文件中提供</w:t>
            </w:r>
            <w:r>
              <w:rPr>
                <w:rFonts w:hint="eastAsia" w:ascii="宋体" w:hAnsi="宋体" w:eastAsia="宋体" w:cs="宋体"/>
                <w:b/>
                <w:bCs/>
                <w:strike w:val="0"/>
                <w:color w:val="auto"/>
                <w:spacing w:val="0"/>
                <w:sz w:val="21"/>
                <w:szCs w:val="21"/>
                <w:highlight w:val="none"/>
              </w:rPr>
              <w:t>医疗器械生产许可证</w:t>
            </w:r>
            <w:r>
              <w:rPr>
                <w:rFonts w:hint="eastAsia" w:ascii="宋体" w:hAnsi="宋体" w:eastAsia="宋体" w:cs="宋体"/>
                <w:b/>
                <w:bCs/>
                <w:strike w:val="0"/>
                <w:color w:val="auto"/>
                <w:spacing w:val="0"/>
                <w:sz w:val="21"/>
                <w:szCs w:val="21"/>
                <w:highlight w:val="none"/>
                <w:lang w:eastAsia="zh-CN"/>
              </w:rPr>
              <w:t>和</w:t>
            </w:r>
            <w:r>
              <w:rPr>
                <w:rFonts w:hint="eastAsia" w:ascii="宋体" w:hAnsi="宋体" w:eastAsia="宋体" w:cs="宋体"/>
                <w:b/>
                <w:bCs/>
                <w:strike w:val="0"/>
                <w:color w:val="auto"/>
                <w:spacing w:val="0"/>
                <w:sz w:val="21"/>
                <w:szCs w:val="21"/>
                <w:highlight w:val="none"/>
              </w:rPr>
              <w:t>医疗器械注册证</w:t>
            </w:r>
            <w:r>
              <w:rPr>
                <w:rFonts w:hint="eastAsia" w:ascii="宋体" w:hAnsi="宋体" w:eastAsia="宋体" w:cs="宋体"/>
                <w:b/>
                <w:bCs/>
                <w:strike w:val="0"/>
                <w:color w:val="auto"/>
                <w:spacing w:val="0"/>
                <w:sz w:val="21"/>
                <w:szCs w:val="21"/>
                <w:highlight w:val="none"/>
                <w:lang w:eastAsia="zh-CN"/>
              </w:rPr>
              <w:t>扫描件或复印件。</w:t>
            </w:r>
          </w:p>
        </w:tc>
        <w:tc>
          <w:tcPr>
            <w:tcW w:w="1131" w:type="dxa"/>
          </w:tcPr>
          <w:p w14:paraId="611F8F25">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color w:val="auto"/>
                <w:sz w:val="21"/>
                <w:szCs w:val="21"/>
                <w:highlight w:val="none"/>
                <w:vertAlign w:val="baseline"/>
                <w:lang w:eastAsia="zh-CN"/>
              </w:rPr>
            </w:pPr>
          </w:p>
        </w:tc>
        <w:tc>
          <w:tcPr>
            <w:tcW w:w="1415" w:type="dxa"/>
          </w:tcPr>
          <w:p w14:paraId="32BBC10B">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color w:val="auto"/>
                <w:sz w:val="21"/>
                <w:szCs w:val="21"/>
                <w:highlight w:val="none"/>
                <w:vertAlign w:val="baseline"/>
                <w:lang w:eastAsia="zh-CN"/>
              </w:rPr>
            </w:pPr>
          </w:p>
        </w:tc>
      </w:tr>
      <w:tr w14:paraId="340AA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5DF33A4C">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8</w:t>
            </w:r>
          </w:p>
        </w:tc>
        <w:tc>
          <w:tcPr>
            <w:tcW w:w="5149" w:type="dxa"/>
          </w:tcPr>
          <w:p w14:paraId="2D86BA98">
            <w:pPr>
              <w:keepNext w:val="0"/>
              <w:keepLines w:val="0"/>
              <w:widowControl w:val="0"/>
              <w:snapToGrid w:val="0"/>
              <w:spacing w:line="288" w:lineRule="auto"/>
              <w:ind w:left="0" w:firstLine="0" w:firstLineChars="0"/>
              <w:jc w:val="both"/>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洁净工作台（超净工作台）</w:t>
            </w:r>
          </w:p>
          <w:p w14:paraId="2FAEE84A">
            <w:pPr>
              <w:keepNext w:val="0"/>
              <w:keepLines w:val="0"/>
              <w:widowControl w:val="0"/>
              <w:shd w:val="clear"/>
              <w:adjustRightInd/>
              <w:snapToGrid w:val="0"/>
              <w:spacing w:before="0" w:after="0" w:line="288" w:lineRule="auto"/>
              <w:ind w:firstLine="420" w:firstLineChars="200"/>
              <w:jc w:val="both"/>
              <w:rPr>
                <w:rFonts w:hint="eastAsia" w:ascii="宋体" w:hAnsi="宋体" w:eastAsia="宋体" w:cs="宋体"/>
                <w:b/>
                <w:bCs/>
                <w:strike w:val="0"/>
                <w:color w:val="auto"/>
                <w:spacing w:val="0"/>
                <w:sz w:val="21"/>
                <w:szCs w:val="21"/>
                <w:highlight w:val="none"/>
                <w:lang w:val="en-US" w:eastAsia="zh-CN"/>
              </w:rPr>
            </w:pPr>
            <w:r>
              <w:rPr>
                <w:rFonts w:hint="eastAsia" w:ascii="宋体" w:hAnsi="宋体" w:eastAsia="宋体" w:cs="宋体"/>
                <w:b w:val="0"/>
                <w:bCs w:val="0"/>
                <w:color w:val="auto"/>
                <w:sz w:val="21"/>
                <w:szCs w:val="21"/>
                <w:highlight w:val="none"/>
                <w:u w:val="none"/>
                <w:lang w:val="en-US" w:eastAsia="zh-CN"/>
              </w:rPr>
              <w:t>★</w:t>
            </w:r>
            <w:r>
              <w:rPr>
                <w:rFonts w:hint="eastAsia" w:ascii="宋体" w:hAnsi="宋体" w:eastAsia="宋体" w:cs="宋体"/>
                <w:b/>
                <w:bCs/>
                <w:color w:val="auto"/>
                <w:sz w:val="21"/>
                <w:szCs w:val="21"/>
                <w:highlight w:val="none"/>
                <w:u w:val="none"/>
                <w:lang w:val="en-US" w:eastAsia="zh-CN"/>
              </w:rPr>
              <w:t>1</w:t>
            </w:r>
            <w:r>
              <w:rPr>
                <w:rFonts w:hint="eastAsia" w:ascii="宋体" w:hAnsi="宋体" w:eastAsia="宋体" w:cs="宋体"/>
                <w:b/>
                <w:bCs/>
                <w:strike w:val="0"/>
                <w:color w:val="auto"/>
                <w:spacing w:val="0"/>
                <w:sz w:val="21"/>
                <w:szCs w:val="21"/>
                <w:highlight w:val="none"/>
                <w:lang w:val="en-US" w:eastAsia="zh-CN"/>
              </w:rPr>
              <w:t>）</w:t>
            </w:r>
            <w:r>
              <w:rPr>
                <w:rFonts w:hint="eastAsia" w:ascii="宋体" w:hAnsi="宋体" w:eastAsia="宋体" w:cs="宋体"/>
                <w:b/>
                <w:bCs/>
                <w:strike w:val="0"/>
                <w:color w:val="auto"/>
                <w:spacing w:val="0"/>
                <w:sz w:val="21"/>
                <w:szCs w:val="21"/>
                <w:highlight w:val="none"/>
              </w:rPr>
              <w:t>生产企业取得医疗器械生产许可证，产品取得医疗器械注册证。</w:t>
            </w:r>
            <w:r>
              <w:rPr>
                <w:rFonts w:hint="eastAsia" w:ascii="宋体" w:hAnsi="宋体" w:eastAsia="宋体" w:cs="宋体"/>
                <w:b/>
                <w:bCs/>
                <w:strike w:val="0"/>
                <w:color w:val="auto"/>
                <w:spacing w:val="0"/>
                <w:sz w:val="21"/>
                <w:szCs w:val="21"/>
                <w:highlight w:val="none"/>
                <w:lang w:eastAsia="zh-CN"/>
              </w:rPr>
              <w:t>投标文件中提供</w:t>
            </w:r>
            <w:r>
              <w:rPr>
                <w:rFonts w:hint="eastAsia" w:ascii="宋体" w:hAnsi="宋体" w:eastAsia="宋体" w:cs="宋体"/>
                <w:b/>
                <w:bCs/>
                <w:strike w:val="0"/>
                <w:color w:val="auto"/>
                <w:spacing w:val="0"/>
                <w:sz w:val="21"/>
                <w:szCs w:val="21"/>
                <w:highlight w:val="none"/>
              </w:rPr>
              <w:t>医疗器械生产许可证</w:t>
            </w:r>
            <w:r>
              <w:rPr>
                <w:rFonts w:hint="eastAsia" w:ascii="宋体" w:hAnsi="宋体" w:eastAsia="宋体" w:cs="宋体"/>
                <w:b/>
                <w:bCs/>
                <w:strike w:val="0"/>
                <w:color w:val="auto"/>
                <w:spacing w:val="0"/>
                <w:sz w:val="21"/>
                <w:szCs w:val="21"/>
                <w:highlight w:val="none"/>
                <w:lang w:eastAsia="zh-CN"/>
              </w:rPr>
              <w:t>和</w:t>
            </w:r>
            <w:r>
              <w:rPr>
                <w:rFonts w:hint="eastAsia" w:ascii="宋体" w:hAnsi="宋体" w:eastAsia="宋体" w:cs="宋体"/>
                <w:b/>
                <w:bCs/>
                <w:strike w:val="0"/>
                <w:color w:val="auto"/>
                <w:spacing w:val="0"/>
                <w:sz w:val="21"/>
                <w:szCs w:val="21"/>
                <w:highlight w:val="none"/>
              </w:rPr>
              <w:t>医疗器械注册证</w:t>
            </w:r>
            <w:r>
              <w:rPr>
                <w:rFonts w:hint="eastAsia" w:ascii="宋体" w:hAnsi="宋体" w:eastAsia="宋体" w:cs="宋体"/>
                <w:b/>
                <w:bCs/>
                <w:strike w:val="0"/>
                <w:color w:val="auto"/>
                <w:spacing w:val="0"/>
                <w:sz w:val="21"/>
                <w:szCs w:val="21"/>
                <w:highlight w:val="none"/>
                <w:lang w:eastAsia="zh-CN"/>
              </w:rPr>
              <w:t>扫描件或复印件。</w:t>
            </w:r>
          </w:p>
        </w:tc>
        <w:tc>
          <w:tcPr>
            <w:tcW w:w="1131" w:type="dxa"/>
          </w:tcPr>
          <w:p w14:paraId="42BC330A">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color w:val="auto"/>
                <w:sz w:val="21"/>
                <w:szCs w:val="21"/>
                <w:highlight w:val="none"/>
                <w:vertAlign w:val="baseline"/>
                <w:lang w:eastAsia="zh-CN"/>
              </w:rPr>
            </w:pPr>
          </w:p>
        </w:tc>
        <w:tc>
          <w:tcPr>
            <w:tcW w:w="1415" w:type="dxa"/>
          </w:tcPr>
          <w:p w14:paraId="4B4345CC">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color w:val="auto"/>
                <w:sz w:val="21"/>
                <w:szCs w:val="21"/>
                <w:highlight w:val="none"/>
                <w:vertAlign w:val="baseline"/>
                <w:lang w:eastAsia="zh-CN"/>
              </w:rPr>
            </w:pPr>
          </w:p>
        </w:tc>
      </w:tr>
      <w:tr w14:paraId="0C88B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0AA479C5">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9</w:t>
            </w:r>
          </w:p>
        </w:tc>
        <w:tc>
          <w:tcPr>
            <w:tcW w:w="5149" w:type="dxa"/>
          </w:tcPr>
          <w:p w14:paraId="5AD1CBE3">
            <w:pPr>
              <w:widowControl w:val="0"/>
              <w:shd w:val="clear"/>
              <w:snapToGrid w:val="0"/>
              <w:spacing w:line="288" w:lineRule="auto"/>
              <w:ind w:firstLine="480"/>
              <w:jc w:val="both"/>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7.6</w:t>
            </w:r>
            <w:r>
              <w:rPr>
                <w:rFonts w:hint="eastAsia" w:ascii="宋体" w:hAnsi="宋体" w:eastAsia="宋体" w:cs="宋体"/>
                <w:color w:val="auto"/>
                <w:spacing w:val="0"/>
                <w:sz w:val="21"/>
                <w:szCs w:val="21"/>
                <w:highlight w:val="none"/>
              </w:rPr>
              <w:t>动态离子衍生装置</w:t>
            </w:r>
          </w:p>
          <w:p w14:paraId="7400E187">
            <w:pPr>
              <w:widowControl w:val="0"/>
              <w:shd w:val="clear"/>
              <w:snapToGrid w:val="0"/>
              <w:spacing w:line="288" w:lineRule="auto"/>
              <w:ind w:firstLine="480"/>
              <w:jc w:val="both"/>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7.6.3</w:t>
            </w:r>
            <w:r>
              <w:rPr>
                <w:rFonts w:hint="eastAsia" w:ascii="宋体" w:hAnsi="宋体" w:eastAsia="宋体" w:cs="宋体"/>
                <w:color w:val="auto"/>
                <w:spacing w:val="0"/>
                <w:sz w:val="21"/>
                <w:szCs w:val="21"/>
                <w:highlight w:val="none"/>
              </w:rPr>
              <w:t>参数功能</w:t>
            </w:r>
          </w:p>
          <w:p w14:paraId="1BAA37EB">
            <w:pPr>
              <w:pageBreakBefore w:val="0"/>
              <w:widowControl w:val="0"/>
              <w:shd w:val="clear"/>
              <w:kinsoku/>
              <w:wordWrap/>
              <w:overflowPunct/>
              <w:topLinePunct w:val="0"/>
              <w:autoSpaceDE/>
              <w:autoSpaceDN/>
              <w:bidi w:val="0"/>
              <w:snapToGrid w:val="0"/>
              <w:spacing w:beforeAutospacing="0" w:afterAutospacing="0" w:line="300" w:lineRule="auto"/>
              <w:ind w:left="0" w:leftChars="0" w:firstLine="480"/>
              <w:jc w:val="both"/>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(5)产品工作电压、工作频率、工作电流、冲击耐压试验等性能满足GB/T 3797-2016要求，还应满足电磁兼容要求：电磁骚扰发射、抗扰度，对应 GB/T 17626 要求。</w:t>
            </w:r>
            <w:r>
              <w:rPr>
                <w:rFonts w:hint="eastAsia" w:ascii="宋体" w:hAnsi="宋体" w:eastAsia="宋体" w:cs="宋体"/>
                <w:b/>
                <w:bCs/>
                <w:color w:val="auto"/>
                <w:spacing w:val="0"/>
                <w:sz w:val="21"/>
                <w:szCs w:val="21"/>
                <w:highlight w:val="none"/>
              </w:rPr>
              <w:t>投标文件中提供具有CMA认证的第三方检测机构出具的检测报告扫描件或复印件。</w:t>
            </w:r>
          </w:p>
          <w:p w14:paraId="0E23A92D">
            <w:pPr>
              <w:widowControl w:val="0"/>
              <w:shd w:val="clear"/>
              <w:snapToGrid w:val="0"/>
              <w:spacing w:line="288" w:lineRule="auto"/>
              <w:ind w:firstLine="480"/>
              <w:jc w:val="both"/>
              <w:rPr>
                <w:rFonts w:hint="eastAsia" w:ascii="宋体" w:hAnsi="宋体" w:eastAsia="宋体" w:cs="宋体"/>
                <w:b w:val="0"/>
                <w:color w:val="auto"/>
                <w:spacing w:val="0"/>
                <w:kern w:val="2"/>
                <w:sz w:val="21"/>
                <w:szCs w:val="21"/>
                <w:highlight w:val="none"/>
                <w:lang w:val="zh-CN"/>
              </w:rPr>
            </w:pPr>
            <w:r>
              <w:rPr>
                <w:rFonts w:hint="eastAsia" w:ascii="宋体" w:hAnsi="宋体" w:eastAsia="宋体" w:cs="宋体"/>
                <w:color w:val="auto"/>
                <w:spacing w:val="0"/>
                <w:sz w:val="21"/>
                <w:szCs w:val="21"/>
                <w:highlight w:val="none"/>
              </w:rPr>
              <w:t>(6)产品具备耐高温性能，依据GB/T2423.2进行2H的≥60℃高温试验，产品外观无变化、各项功能指标正常。</w:t>
            </w:r>
            <w:r>
              <w:rPr>
                <w:rFonts w:hint="eastAsia" w:ascii="宋体" w:hAnsi="宋体" w:eastAsia="宋体" w:cs="宋体"/>
                <w:b/>
                <w:bCs/>
                <w:color w:val="auto"/>
                <w:spacing w:val="0"/>
                <w:sz w:val="21"/>
                <w:szCs w:val="21"/>
                <w:highlight w:val="none"/>
              </w:rPr>
              <w:t>投标文件中提供具有CMA认证的第三方检测机构出具的检测报告扫描件或复印件。</w:t>
            </w:r>
          </w:p>
        </w:tc>
        <w:tc>
          <w:tcPr>
            <w:tcW w:w="1131" w:type="dxa"/>
          </w:tcPr>
          <w:p w14:paraId="2BDA3CC7">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color w:val="auto"/>
                <w:sz w:val="21"/>
                <w:szCs w:val="21"/>
                <w:highlight w:val="none"/>
                <w:vertAlign w:val="baseline"/>
                <w:lang w:eastAsia="zh-CN"/>
              </w:rPr>
            </w:pPr>
          </w:p>
        </w:tc>
        <w:tc>
          <w:tcPr>
            <w:tcW w:w="1415" w:type="dxa"/>
          </w:tcPr>
          <w:p w14:paraId="6C4F25E8">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color w:val="auto"/>
                <w:sz w:val="21"/>
                <w:szCs w:val="21"/>
                <w:highlight w:val="none"/>
                <w:vertAlign w:val="baseline"/>
                <w:lang w:eastAsia="zh-CN"/>
              </w:rPr>
            </w:pPr>
          </w:p>
        </w:tc>
      </w:tr>
      <w:tr w14:paraId="2CCD1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shd w:val="clear" w:color="auto" w:fill="auto"/>
            <w:vAlign w:val="center"/>
          </w:tcPr>
          <w:p w14:paraId="6B7700D8">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cs="宋体"/>
                <w:color w:val="auto"/>
                <w:sz w:val="21"/>
                <w:szCs w:val="21"/>
                <w:highlight w:val="none"/>
                <w:vertAlign w:val="baseline"/>
                <w:lang w:val="en-US" w:eastAsia="zh-CN"/>
              </w:rPr>
              <w:t>10</w:t>
            </w:r>
          </w:p>
        </w:tc>
        <w:tc>
          <w:tcPr>
            <w:tcW w:w="5149" w:type="dxa"/>
            <w:shd w:val="clear" w:color="auto" w:fill="auto"/>
            <w:vAlign w:val="top"/>
          </w:tcPr>
          <w:p w14:paraId="02BA4EB7">
            <w:pPr>
              <w:pStyle w:val="18"/>
              <w:widowControl w:val="0"/>
              <w:shd w:val="clear"/>
              <w:tabs>
                <w:tab w:val="right" w:leader="dot" w:pos="9004"/>
              </w:tabs>
              <w:snapToGrid w:val="0"/>
              <w:spacing w:line="288" w:lineRule="auto"/>
              <w:jc w:val="both"/>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b w:val="0"/>
                <w:bCs w:val="0"/>
                <w:i w:val="0"/>
                <w:color w:val="auto"/>
                <w:kern w:val="0"/>
                <w:sz w:val="21"/>
                <w:szCs w:val="21"/>
                <w:highlight w:val="none"/>
                <w:u w:val="none"/>
                <w:lang w:val="en-US" w:eastAsia="zh-CN" w:bidi="ar"/>
              </w:rPr>
              <w:t>二层中心供应室</w:t>
            </w:r>
            <w:r>
              <w:rPr>
                <w:rFonts w:hint="eastAsia" w:ascii="宋体" w:hAnsi="宋体" w:eastAsia="宋体" w:cs="宋体"/>
                <w:i w:val="0"/>
                <w:color w:val="auto"/>
                <w:kern w:val="0"/>
                <w:sz w:val="21"/>
                <w:szCs w:val="21"/>
                <w:highlight w:val="none"/>
                <w:u w:val="none"/>
                <w:lang w:val="en-US" w:eastAsia="zh-CN" w:bidi="ar"/>
              </w:rPr>
              <w:t>新风机组：</w:t>
            </w:r>
          </w:p>
          <w:p w14:paraId="79CE6F1A">
            <w:pPr>
              <w:pStyle w:val="18"/>
              <w:widowControl w:val="0"/>
              <w:shd w:val="clear"/>
              <w:tabs>
                <w:tab w:val="right" w:leader="dot" w:pos="9004"/>
              </w:tabs>
              <w:snapToGrid w:val="0"/>
              <w:spacing w:line="288"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i w:val="0"/>
                <w:color w:val="auto"/>
                <w:kern w:val="0"/>
                <w:sz w:val="21"/>
                <w:szCs w:val="21"/>
                <w:highlight w:val="none"/>
                <w:u w:val="none"/>
                <w:lang w:val="en-US" w:eastAsia="zh-CN" w:bidi="ar"/>
              </w:rPr>
              <w:t>▲2.规格:送风量6150m</w:t>
            </w:r>
            <w:r>
              <w:rPr>
                <w:rFonts w:hint="eastAsia" w:ascii="宋体" w:hAnsi="宋体" w:eastAsia="宋体" w:cs="宋体"/>
                <w:b/>
                <w:bCs/>
                <w:i w:val="0"/>
                <w:color w:val="auto"/>
                <w:kern w:val="0"/>
                <w:sz w:val="21"/>
                <w:szCs w:val="21"/>
                <w:highlight w:val="none"/>
                <w:u w:val="none"/>
                <w:vertAlign w:val="baseline"/>
                <w:lang w:val="en-US" w:eastAsia="zh-CN" w:bidi="ar"/>
              </w:rPr>
              <w:t>3</w:t>
            </w:r>
            <w:r>
              <w:rPr>
                <w:rFonts w:hint="eastAsia" w:ascii="宋体" w:hAnsi="宋体" w:eastAsia="宋体" w:cs="宋体"/>
                <w:b/>
                <w:bCs/>
                <w:i w:val="0"/>
                <w:color w:val="auto"/>
                <w:kern w:val="0"/>
                <w:sz w:val="21"/>
                <w:szCs w:val="21"/>
                <w:highlight w:val="none"/>
                <w:u w:val="none"/>
                <w:lang w:val="en-US" w:eastAsia="zh-CN" w:bidi="ar"/>
              </w:rPr>
              <w:t>/h，新风量6150m</w:t>
            </w:r>
            <w:r>
              <w:rPr>
                <w:rFonts w:hint="eastAsia" w:ascii="宋体" w:hAnsi="宋体" w:eastAsia="宋体" w:cs="宋体"/>
                <w:b/>
                <w:bCs/>
                <w:i w:val="0"/>
                <w:color w:val="auto"/>
                <w:kern w:val="0"/>
                <w:sz w:val="21"/>
                <w:szCs w:val="21"/>
                <w:highlight w:val="none"/>
                <w:u w:val="none"/>
                <w:vertAlign w:val="baseline"/>
                <w:lang w:val="en-US" w:eastAsia="zh-CN" w:bidi="ar"/>
              </w:rPr>
              <w:t>3</w:t>
            </w:r>
            <w:r>
              <w:rPr>
                <w:rFonts w:hint="eastAsia" w:ascii="宋体" w:hAnsi="宋体" w:eastAsia="宋体" w:cs="宋体"/>
                <w:b/>
                <w:bCs/>
                <w:i w:val="0"/>
                <w:color w:val="auto"/>
                <w:kern w:val="0"/>
                <w:sz w:val="21"/>
                <w:szCs w:val="21"/>
                <w:highlight w:val="none"/>
                <w:u w:val="none"/>
                <w:lang w:val="en-US" w:eastAsia="zh-CN" w:bidi="ar"/>
              </w:rPr>
              <w:t>/h，制冷量116KW，制热量70KW，余压650Pa,电机功率4KW，段位组成（顺风方向）：进风段+风机段+均流段+过滤段（初效G4中效F8）+表冷段+加热段+送风段（详细参数详见绍兴市第七人民医院净化工程暖通主材表一）</w:t>
            </w:r>
          </w:p>
        </w:tc>
        <w:tc>
          <w:tcPr>
            <w:tcW w:w="1131" w:type="dxa"/>
          </w:tcPr>
          <w:p w14:paraId="3BE125FB">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color w:val="auto"/>
                <w:sz w:val="21"/>
                <w:szCs w:val="21"/>
                <w:highlight w:val="none"/>
                <w:vertAlign w:val="baseline"/>
                <w:lang w:eastAsia="zh-CN"/>
              </w:rPr>
            </w:pPr>
          </w:p>
        </w:tc>
        <w:tc>
          <w:tcPr>
            <w:tcW w:w="1415" w:type="dxa"/>
          </w:tcPr>
          <w:p w14:paraId="110FB51A">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color w:val="auto"/>
                <w:sz w:val="21"/>
                <w:szCs w:val="21"/>
                <w:highlight w:val="none"/>
                <w:vertAlign w:val="baseline"/>
                <w:lang w:eastAsia="zh-CN"/>
              </w:rPr>
            </w:pPr>
          </w:p>
        </w:tc>
      </w:tr>
      <w:tr w14:paraId="3C779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3A2FBA6C">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default" w:ascii="宋体" w:hAnsi="宋体" w:eastAsia="宋体" w:cs="宋体"/>
                <w:strike w:val="0"/>
                <w:color w:val="auto"/>
                <w:sz w:val="21"/>
                <w:szCs w:val="21"/>
                <w:highlight w:val="none"/>
                <w:vertAlign w:val="baseline"/>
                <w:lang w:val="en-US" w:eastAsia="zh-CN"/>
              </w:rPr>
            </w:pPr>
            <w:r>
              <w:rPr>
                <w:rFonts w:hint="eastAsia" w:ascii="宋体" w:hAnsi="宋体" w:cs="宋体"/>
                <w:strike w:val="0"/>
                <w:color w:val="auto"/>
                <w:sz w:val="21"/>
                <w:szCs w:val="21"/>
                <w:highlight w:val="none"/>
                <w:vertAlign w:val="baseline"/>
                <w:lang w:val="en-US" w:eastAsia="zh-CN"/>
              </w:rPr>
              <w:t>11</w:t>
            </w:r>
          </w:p>
        </w:tc>
        <w:tc>
          <w:tcPr>
            <w:tcW w:w="5149" w:type="dxa"/>
          </w:tcPr>
          <w:p w14:paraId="36A9A349">
            <w:pPr>
              <w:pStyle w:val="4"/>
              <w:widowControl w:val="0"/>
              <w:numPr>
                <w:ilvl w:val="0"/>
                <w:numId w:val="0"/>
              </w:numPr>
              <w:shd w:val="clear"/>
              <w:adjustRightInd w:val="0"/>
              <w:snapToGrid w:val="0"/>
              <w:spacing w:before="0" w:beforeAutospacing="0" w:after="0" w:afterAutospacing="0" w:line="288" w:lineRule="auto"/>
              <w:jc w:val="both"/>
              <w:rPr>
                <w:rFonts w:hint="eastAsia" w:ascii="宋体" w:hAnsi="宋体" w:eastAsia="宋体" w:cs="宋体"/>
                <w:b/>
                <w:bCs/>
                <w:i w:val="0"/>
                <w:strike w:val="0"/>
                <w:color w:val="auto"/>
                <w:kern w:val="0"/>
                <w:sz w:val="21"/>
                <w:szCs w:val="21"/>
                <w:highlight w:val="none"/>
                <w:u w:val="none"/>
                <w:lang w:val="en-US" w:eastAsia="zh-CN" w:bidi="ar"/>
              </w:rPr>
            </w:pPr>
            <w:r>
              <w:rPr>
                <w:rFonts w:hint="eastAsia" w:ascii="宋体" w:hAnsi="宋体" w:eastAsia="宋体" w:cs="宋体"/>
                <w:b/>
                <w:bCs/>
                <w:i w:val="0"/>
                <w:strike w:val="0"/>
                <w:color w:val="auto"/>
                <w:kern w:val="0"/>
                <w:sz w:val="21"/>
                <w:szCs w:val="21"/>
                <w:highlight w:val="none"/>
                <w:u w:val="none"/>
                <w:lang w:val="en-US" w:eastAsia="zh-CN" w:bidi="ar"/>
              </w:rPr>
              <w:t>三层手术部新风机组：</w:t>
            </w:r>
          </w:p>
          <w:p w14:paraId="473B64CA">
            <w:pPr>
              <w:pStyle w:val="4"/>
              <w:widowControl w:val="0"/>
              <w:numPr>
                <w:ilvl w:val="0"/>
                <w:numId w:val="0"/>
              </w:numPr>
              <w:shd w:val="clear"/>
              <w:adjustRightInd w:val="0"/>
              <w:snapToGrid w:val="0"/>
              <w:spacing w:before="0" w:beforeAutospacing="0" w:after="0" w:afterAutospacing="0" w:line="288" w:lineRule="auto"/>
              <w:jc w:val="both"/>
              <w:rPr>
                <w:rFonts w:hint="eastAsia" w:ascii="宋体" w:hAnsi="宋体" w:eastAsia="宋体" w:cs="宋体"/>
                <w:b/>
                <w:bCs/>
                <w:i w:val="0"/>
                <w:strike/>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2.规格:送风量5660m3/h，新风量5660m3/h，制冷量106KW，制热量64KW，余压650Pa,电机功率5.5KW，段位组成（顺风方向）：进风段+风机段+均流段+过滤段（初效G4中效F8亚高效H10）+表冷段+深度除湿段+加热段+送风段（详细参数详见绍兴市第七人民医院净化工程暖通主材表一）</w:t>
            </w:r>
          </w:p>
        </w:tc>
        <w:tc>
          <w:tcPr>
            <w:tcW w:w="1131" w:type="dxa"/>
          </w:tcPr>
          <w:p w14:paraId="30455C62">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strike/>
                <w:color w:val="auto"/>
                <w:sz w:val="21"/>
                <w:szCs w:val="21"/>
                <w:highlight w:val="none"/>
                <w:vertAlign w:val="baseline"/>
                <w:lang w:eastAsia="zh-CN"/>
              </w:rPr>
            </w:pPr>
          </w:p>
        </w:tc>
        <w:tc>
          <w:tcPr>
            <w:tcW w:w="1415" w:type="dxa"/>
          </w:tcPr>
          <w:p w14:paraId="29804260">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strike/>
                <w:color w:val="auto"/>
                <w:sz w:val="21"/>
                <w:szCs w:val="21"/>
                <w:highlight w:val="none"/>
                <w:vertAlign w:val="baseline"/>
                <w:lang w:eastAsia="zh-CN"/>
              </w:rPr>
            </w:pPr>
          </w:p>
        </w:tc>
      </w:tr>
      <w:tr w14:paraId="44069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76CB0233">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default" w:ascii="宋体" w:hAnsi="宋体" w:eastAsia="宋体" w:cs="宋体"/>
                <w:strike w:val="0"/>
                <w:color w:val="auto"/>
                <w:sz w:val="21"/>
                <w:szCs w:val="21"/>
                <w:highlight w:val="none"/>
                <w:vertAlign w:val="baseline"/>
                <w:lang w:val="en-US" w:eastAsia="zh-CN"/>
              </w:rPr>
            </w:pPr>
            <w:r>
              <w:rPr>
                <w:rFonts w:hint="eastAsia" w:ascii="宋体" w:hAnsi="宋体" w:cs="宋体"/>
                <w:strike w:val="0"/>
                <w:color w:val="auto"/>
                <w:sz w:val="21"/>
                <w:szCs w:val="21"/>
                <w:highlight w:val="none"/>
                <w:vertAlign w:val="baseline"/>
                <w:lang w:val="en-US" w:eastAsia="zh-CN"/>
              </w:rPr>
              <w:t>12</w:t>
            </w:r>
          </w:p>
        </w:tc>
        <w:tc>
          <w:tcPr>
            <w:tcW w:w="5149" w:type="dxa"/>
          </w:tcPr>
          <w:p w14:paraId="2C5BD547">
            <w:pPr>
              <w:pStyle w:val="4"/>
              <w:widowControl w:val="0"/>
              <w:numPr>
                <w:ilvl w:val="0"/>
                <w:numId w:val="0"/>
              </w:numPr>
              <w:shd w:val="clear"/>
              <w:adjustRightInd w:val="0"/>
              <w:snapToGrid w:val="0"/>
              <w:spacing w:before="0" w:beforeAutospacing="0" w:after="0" w:afterAutospacing="0" w:line="288" w:lineRule="auto"/>
              <w:jc w:val="both"/>
              <w:rPr>
                <w:rFonts w:hint="eastAsia" w:ascii="宋体" w:hAnsi="宋体" w:eastAsia="宋体" w:cs="宋体"/>
                <w:b/>
                <w:bCs/>
                <w:i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四层静脉配置中心</w:t>
            </w:r>
          </w:p>
          <w:p w14:paraId="25BF97D1">
            <w:pPr>
              <w:pStyle w:val="4"/>
              <w:widowControl w:val="0"/>
              <w:numPr>
                <w:ilvl w:val="0"/>
                <w:numId w:val="0"/>
              </w:numPr>
              <w:snapToGrid w:val="0"/>
              <w:spacing w:beforeAutospacing="0" w:afterAutospacing="0" w:line="288" w:lineRule="auto"/>
              <w:jc w:val="both"/>
              <w:rPr>
                <w:rFonts w:hint="eastAsia" w:ascii="宋体" w:hAnsi="宋体" w:eastAsia="宋体" w:cs="宋体"/>
                <w:b w:val="0"/>
                <w:bCs w:val="0"/>
                <w:i w:val="0"/>
                <w:color w:val="auto"/>
                <w:kern w:val="0"/>
                <w:sz w:val="21"/>
                <w:szCs w:val="21"/>
                <w:highlight w:val="none"/>
                <w:u w:val="none"/>
                <w:lang w:val="en-US" w:eastAsia="zh-CN" w:bidi="ar"/>
              </w:rPr>
            </w:pPr>
            <w:r>
              <w:rPr>
                <w:rFonts w:hint="eastAsia" w:ascii="宋体" w:hAnsi="宋体" w:eastAsia="宋体" w:cs="宋体"/>
                <w:b w:val="0"/>
                <w:bCs w:val="0"/>
                <w:i w:val="0"/>
                <w:color w:val="auto"/>
                <w:kern w:val="0"/>
                <w:sz w:val="21"/>
                <w:szCs w:val="21"/>
                <w:highlight w:val="none"/>
                <w:u w:val="none"/>
                <w:lang w:val="en-US" w:eastAsia="zh-CN" w:bidi="ar"/>
              </w:rPr>
              <w:t>循环机组：</w:t>
            </w:r>
          </w:p>
          <w:p w14:paraId="3B5E6D31">
            <w:pPr>
              <w:pStyle w:val="4"/>
              <w:widowControl w:val="0"/>
              <w:numPr>
                <w:ilvl w:val="0"/>
                <w:numId w:val="0"/>
              </w:numPr>
              <w:snapToGrid w:val="0"/>
              <w:spacing w:beforeAutospacing="0" w:afterAutospacing="0" w:line="288" w:lineRule="auto"/>
              <w:jc w:val="both"/>
              <w:rPr>
                <w:rFonts w:hint="eastAsia" w:ascii="宋体" w:hAnsi="宋体" w:eastAsia="宋体" w:cs="宋体"/>
                <w:b/>
                <w:bCs/>
                <w:i w:val="0"/>
                <w:color w:val="auto"/>
                <w:kern w:val="0"/>
                <w:sz w:val="21"/>
                <w:szCs w:val="21"/>
                <w:highlight w:val="none"/>
                <w:u w:val="none"/>
                <w:lang w:val="en-US" w:eastAsia="zh-CN" w:bidi="ar"/>
              </w:rPr>
            </w:pPr>
            <w:r>
              <w:rPr>
                <w:rFonts w:hint="eastAsia" w:ascii="宋体" w:hAnsi="宋体" w:eastAsia="宋体" w:cs="宋体"/>
                <w:b/>
                <w:bCs/>
                <w:color w:val="auto"/>
                <w:spacing w:val="0"/>
                <w:sz w:val="21"/>
                <w:szCs w:val="21"/>
                <w:highlight w:val="none"/>
                <w:u w:val="none"/>
                <w:lang w:val="en-US" w:eastAsia="zh-CN" w:bidi="ar"/>
              </w:rPr>
              <w:t>★2.</w:t>
            </w:r>
            <w:r>
              <w:rPr>
                <w:rFonts w:hint="eastAsia" w:ascii="宋体" w:hAnsi="宋体" w:eastAsia="宋体" w:cs="宋体"/>
                <w:b/>
                <w:bCs/>
                <w:i w:val="0"/>
                <w:color w:val="auto"/>
                <w:kern w:val="0"/>
                <w:sz w:val="21"/>
                <w:szCs w:val="21"/>
                <w:highlight w:val="none"/>
                <w:u w:val="none"/>
                <w:lang w:val="en-US" w:eastAsia="zh-CN" w:bidi="ar"/>
              </w:rPr>
              <w:t>规格:送风量2480m³/h，新风量1620m³/h，制冷量34KW，制热量21KW，余压650Pa,电机功率3.0KW，段位组成（顺风方向）：混合段+风机段+均流段+过滤段（初效G4中效F8）+表冷段+加热段+加湿段+送风段（详细参数详见绍兴市第七人民医院净化工程暖通主材表一）</w:t>
            </w:r>
          </w:p>
          <w:p w14:paraId="4F67676E">
            <w:pPr>
              <w:pStyle w:val="4"/>
              <w:widowControl w:val="0"/>
              <w:numPr>
                <w:ilvl w:val="0"/>
                <w:numId w:val="0"/>
              </w:numPr>
              <w:snapToGrid w:val="0"/>
              <w:spacing w:beforeAutospacing="0" w:afterAutospacing="0" w:line="288" w:lineRule="auto"/>
              <w:jc w:val="both"/>
              <w:rPr>
                <w:rFonts w:hint="eastAsia" w:ascii="宋体" w:hAnsi="宋体" w:eastAsia="宋体" w:cs="宋体"/>
                <w:b/>
                <w:bCs/>
                <w:i w:val="0"/>
                <w:color w:val="auto"/>
                <w:kern w:val="0"/>
                <w:sz w:val="21"/>
                <w:szCs w:val="21"/>
                <w:highlight w:val="none"/>
                <w:u w:val="none"/>
                <w:lang w:val="en-US" w:eastAsia="zh-CN" w:bidi="ar"/>
              </w:rPr>
            </w:pPr>
            <w:r>
              <w:rPr>
                <w:rFonts w:hint="eastAsia" w:ascii="宋体" w:hAnsi="宋体" w:eastAsia="宋体" w:cs="宋体"/>
                <w:b/>
                <w:bCs/>
                <w:color w:val="auto"/>
                <w:spacing w:val="0"/>
                <w:sz w:val="21"/>
                <w:szCs w:val="21"/>
                <w:highlight w:val="none"/>
                <w:u w:val="none"/>
                <w:lang w:val="en-US" w:eastAsia="zh-CN" w:bidi="ar"/>
              </w:rPr>
              <w:t>★2.</w:t>
            </w:r>
            <w:r>
              <w:rPr>
                <w:rFonts w:hint="eastAsia" w:ascii="宋体" w:hAnsi="宋体" w:eastAsia="宋体" w:cs="宋体"/>
                <w:b/>
                <w:bCs/>
                <w:i w:val="0"/>
                <w:color w:val="auto"/>
                <w:kern w:val="0"/>
                <w:sz w:val="21"/>
                <w:szCs w:val="21"/>
                <w:highlight w:val="none"/>
                <w:u w:val="none"/>
                <w:lang w:val="en-US" w:eastAsia="zh-CN" w:bidi="ar"/>
              </w:rPr>
              <w:t>规格:送风量5370m³/h，新风量5370m³/h，制冷量102KW，制热量62KW，余压650Pa,电机功率5.5KW，段位组成（顺风方向）：进风段+风机段+均流段+过滤段（初效G4中效F8）+表冷段+加热段+加湿段+送风段（详细参数详见绍兴市第七人民医院净化工程暖通主材表一）</w:t>
            </w:r>
          </w:p>
          <w:p w14:paraId="7A14DB22">
            <w:pPr>
              <w:pStyle w:val="4"/>
              <w:widowControl w:val="0"/>
              <w:numPr>
                <w:ilvl w:val="0"/>
                <w:numId w:val="0"/>
              </w:numPr>
              <w:snapToGrid w:val="0"/>
              <w:spacing w:beforeAutospacing="0" w:afterAutospacing="0" w:line="288" w:lineRule="auto"/>
              <w:jc w:val="both"/>
              <w:rPr>
                <w:rFonts w:hint="eastAsia" w:ascii="宋体" w:hAnsi="宋体" w:eastAsia="宋体" w:cs="宋体"/>
                <w:b w:val="0"/>
                <w:bCs w:val="0"/>
                <w:i w:val="0"/>
                <w:color w:val="auto"/>
                <w:kern w:val="0"/>
                <w:sz w:val="21"/>
                <w:szCs w:val="21"/>
                <w:highlight w:val="none"/>
                <w:u w:val="none"/>
                <w:lang w:val="en-US" w:eastAsia="zh-CN" w:bidi="ar"/>
              </w:rPr>
            </w:pPr>
            <w:r>
              <w:rPr>
                <w:rFonts w:hint="eastAsia" w:ascii="宋体" w:hAnsi="宋体" w:eastAsia="宋体" w:cs="宋体"/>
                <w:b w:val="0"/>
                <w:bCs w:val="0"/>
                <w:i w:val="0"/>
                <w:color w:val="auto"/>
                <w:kern w:val="0"/>
                <w:sz w:val="21"/>
                <w:szCs w:val="21"/>
                <w:highlight w:val="none"/>
                <w:u w:val="none"/>
                <w:lang w:val="en-US" w:eastAsia="zh-CN" w:bidi="ar"/>
              </w:rPr>
              <w:t>新风机组：</w:t>
            </w:r>
          </w:p>
          <w:p w14:paraId="7F6DAD78">
            <w:pPr>
              <w:pStyle w:val="4"/>
              <w:widowControl w:val="0"/>
              <w:numPr>
                <w:ilvl w:val="0"/>
                <w:numId w:val="0"/>
              </w:numPr>
              <w:snapToGrid w:val="0"/>
              <w:spacing w:beforeAutospacing="0" w:afterAutospacing="0" w:line="288"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i w:val="0"/>
                <w:color w:val="auto"/>
                <w:kern w:val="0"/>
                <w:sz w:val="21"/>
                <w:szCs w:val="21"/>
                <w:highlight w:val="none"/>
                <w:u w:val="none"/>
                <w:lang w:val="en-US" w:eastAsia="zh-CN" w:bidi="ar"/>
              </w:rPr>
              <w:t>▲</w:t>
            </w:r>
            <w:r>
              <w:rPr>
                <w:rFonts w:hint="eastAsia" w:ascii="宋体" w:hAnsi="宋体" w:eastAsia="宋体" w:cs="宋体"/>
                <w:b/>
                <w:bCs/>
                <w:color w:val="auto"/>
                <w:spacing w:val="0"/>
                <w:sz w:val="21"/>
                <w:szCs w:val="21"/>
                <w:highlight w:val="none"/>
                <w:u w:val="none"/>
                <w:lang w:val="en-US" w:eastAsia="zh-CN" w:bidi="ar"/>
              </w:rPr>
              <w:t>2.</w:t>
            </w:r>
            <w:r>
              <w:rPr>
                <w:rFonts w:hint="eastAsia" w:ascii="宋体" w:hAnsi="宋体" w:eastAsia="宋体" w:cs="宋体"/>
                <w:b/>
                <w:bCs/>
                <w:i w:val="0"/>
                <w:color w:val="auto"/>
                <w:kern w:val="0"/>
                <w:sz w:val="21"/>
                <w:szCs w:val="21"/>
                <w:highlight w:val="none"/>
                <w:u w:val="none"/>
                <w:lang w:val="en-US" w:eastAsia="zh-CN" w:bidi="ar"/>
              </w:rPr>
              <w:t>规格:送风量2730m³/h，新风量2730m³/h，制冷量52KW，制热量32KW，余压450Pa,电机功率3.0W，段位组成（顺风方向）：进风段+风机段+均流段+过滤段（初效G4中效F8）+表冷段+加热段+送风段（详细参数详见绍兴市第七人民医院净化工程暖通主材表一）</w:t>
            </w:r>
          </w:p>
        </w:tc>
        <w:tc>
          <w:tcPr>
            <w:tcW w:w="1131" w:type="dxa"/>
          </w:tcPr>
          <w:p w14:paraId="51DE0C66">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strike/>
                <w:color w:val="auto"/>
                <w:sz w:val="21"/>
                <w:szCs w:val="21"/>
                <w:highlight w:val="none"/>
                <w:vertAlign w:val="baseline"/>
                <w:lang w:eastAsia="zh-CN"/>
              </w:rPr>
            </w:pPr>
          </w:p>
        </w:tc>
        <w:tc>
          <w:tcPr>
            <w:tcW w:w="1415" w:type="dxa"/>
          </w:tcPr>
          <w:p w14:paraId="6BCE8D57">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strike/>
                <w:color w:val="auto"/>
                <w:sz w:val="21"/>
                <w:szCs w:val="21"/>
                <w:highlight w:val="none"/>
                <w:vertAlign w:val="baseline"/>
                <w:lang w:eastAsia="zh-CN"/>
              </w:rPr>
            </w:pPr>
          </w:p>
        </w:tc>
      </w:tr>
      <w:tr w14:paraId="36834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40F471EE">
            <w:pPr>
              <w:pStyle w:val="18"/>
              <w:pageBreakBefore w:val="0"/>
              <w:widowControl w:val="0"/>
              <w:shd w:val="clear"/>
              <w:tabs>
                <w:tab w:val="right" w:leader="dot" w:pos="9004"/>
              </w:tabs>
              <w:wordWrap/>
              <w:overflowPunct/>
              <w:topLinePunct w:val="0"/>
              <w:bidi w:val="0"/>
              <w:snapToGrid w:val="0"/>
              <w:spacing w:before="0" w:after="0" w:line="288" w:lineRule="auto"/>
              <w:jc w:val="center"/>
              <w:rPr>
                <w:rFonts w:hint="default" w:ascii="宋体" w:hAnsi="宋体" w:eastAsia="宋体" w:cs="宋体"/>
                <w:strike w:val="0"/>
                <w:color w:val="auto"/>
                <w:sz w:val="21"/>
                <w:szCs w:val="21"/>
                <w:highlight w:val="none"/>
                <w:vertAlign w:val="baseline"/>
                <w:lang w:val="en-US" w:eastAsia="zh-CN"/>
              </w:rPr>
            </w:pPr>
            <w:r>
              <w:rPr>
                <w:rFonts w:hint="eastAsia" w:ascii="宋体" w:hAnsi="宋体" w:cs="宋体"/>
                <w:strike w:val="0"/>
                <w:color w:val="auto"/>
                <w:sz w:val="21"/>
                <w:szCs w:val="21"/>
                <w:highlight w:val="none"/>
                <w:vertAlign w:val="baseline"/>
                <w:lang w:val="en-US" w:eastAsia="zh-CN"/>
              </w:rPr>
              <w:t>13</w:t>
            </w:r>
          </w:p>
        </w:tc>
        <w:tc>
          <w:tcPr>
            <w:tcW w:w="5149" w:type="dxa"/>
          </w:tcPr>
          <w:p w14:paraId="4A01E266">
            <w:pPr>
              <w:pStyle w:val="18"/>
              <w:widowControl w:val="0"/>
              <w:numPr>
                <w:ilvl w:val="0"/>
                <w:numId w:val="0"/>
              </w:numPr>
              <w:shd w:val="clear"/>
              <w:tabs>
                <w:tab w:val="right" w:leader="dot" w:pos="9004"/>
              </w:tabs>
              <w:adjustRightInd w:val="0"/>
              <w:snapToGrid w:val="0"/>
              <w:spacing w:before="0" w:beforeAutospacing="0" w:after="0" w:afterAutospacing="0" w:line="288" w:lineRule="auto"/>
              <w:jc w:val="both"/>
              <w:rPr>
                <w:rFonts w:hint="eastAsia" w:ascii="宋体" w:hAnsi="宋体" w:eastAsia="宋体" w:cs="宋体"/>
                <w:b/>
                <w:bCs/>
                <w:i w:val="0"/>
                <w:strike w:val="0"/>
                <w:color w:val="auto"/>
                <w:kern w:val="0"/>
                <w:sz w:val="21"/>
                <w:szCs w:val="21"/>
                <w:highlight w:val="none"/>
                <w:u w:val="none"/>
                <w:lang w:val="en-US" w:eastAsia="zh-CN" w:bidi="ar"/>
              </w:rPr>
            </w:pPr>
            <w:r>
              <w:rPr>
                <w:rFonts w:hint="eastAsia" w:ascii="宋体" w:hAnsi="宋体" w:eastAsia="宋体" w:cs="宋体"/>
                <w:b/>
                <w:bCs/>
                <w:i w:val="0"/>
                <w:strike w:val="0"/>
                <w:color w:val="auto"/>
                <w:kern w:val="0"/>
                <w:sz w:val="21"/>
                <w:szCs w:val="21"/>
                <w:highlight w:val="none"/>
                <w:u w:val="none"/>
                <w:lang w:val="en-US" w:eastAsia="zh-CN" w:bidi="ar"/>
              </w:rPr>
              <w:t>2.2暖通工程“关键设备部分”：</w:t>
            </w:r>
          </w:p>
          <w:p w14:paraId="6620D08B">
            <w:pPr>
              <w:pStyle w:val="18"/>
              <w:widowControl w:val="0"/>
              <w:shd w:val="clear"/>
              <w:tabs>
                <w:tab w:val="right" w:leader="dot" w:pos="9004"/>
              </w:tabs>
              <w:snapToGrid w:val="0"/>
              <w:spacing w:line="288" w:lineRule="auto"/>
              <w:jc w:val="both"/>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新风预处理机组：</w:t>
            </w:r>
          </w:p>
          <w:p w14:paraId="2D440B2C">
            <w:pPr>
              <w:pStyle w:val="18"/>
              <w:widowControl w:val="0"/>
              <w:shd w:val="clear"/>
              <w:tabs>
                <w:tab w:val="right" w:leader="dot" w:pos="9004"/>
              </w:tabs>
              <w:snapToGrid w:val="0"/>
              <w:spacing w:line="288" w:lineRule="auto"/>
              <w:jc w:val="both"/>
              <w:rPr>
                <w:rFonts w:hint="eastAsia" w:ascii="宋体" w:hAnsi="宋体" w:eastAsia="宋体" w:cs="宋体"/>
                <w:b/>
                <w:bCs/>
                <w:i w:val="0"/>
                <w:strike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①</w:t>
            </w:r>
            <w:r>
              <w:rPr>
                <w:rFonts w:hint="eastAsia" w:ascii="宋体" w:hAnsi="宋体" w:eastAsia="宋体" w:cs="宋体"/>
                <w:b/>
                <w:bCs/>
                <w:i w:val="0"/>
                <w:iCs w:val="0"/>
                <w:color w:val="auto"/>
                <w:kern w:val="0"/>
                <w:sz w:val="21"/>
                <w:szCs w:val="21"/>
                <w:highlight w:val="none"/>
                <w:u w:val="none"/>
                <w:lang w:val="en-US" w:eastAsia="zh-CN" w:bidi="ar"/>
              </w:rPr>
              <w:t>▲1.规格：新风机组（不区分吊装方式）新风量：2000m³/h，制冷量：20kw，制热量：23kw，机外余压：500Pa，风机功率：1.1KW【功能段】：进风段、初中效过滤段、表冷段、风机段；</w:t>
            </w:r>
          </w:p>
          <w:p w14:paraId="263C1404">
            <w:pPr>
              <w:pStyle w:val="18"/>
              <w:widowControl w:val="0"/>
              <w:shd w:val="clear"/>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②▲1.规格：新风机组（不区分吊装方式）新风量：2500m³/h，制冷量：25kw，制热量：29kw，机外余压：500Pa，风机功率：1.1KW【功能段】：进风段、初中效过滤段、表冷段、风机段;</w:t>
            </w:r>
          </w:p>
          <w:p w14:paraId="58423325">
            <w:pPr>
              <w:pStyle w:val="18"/>
              <w:widowControl w:val="0"/>
              <w:shd w:val="clear"/>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③</w:t>
            </w:r>
            <w:r>
              <w:rPr>
                <w:rFonts w:hint="eastAsia" w:ascii="宋体" w:hAnsi="宋体" w:eastAsia="宋体" w:cs="宋体"/>
                <w:b/>
                <w:bCs/>
                <w:i w:val="0"/>
                <w:iCs w:val="0"/>
                <w:color w:val="auto"/>
                <w:kern w:val="0"/>
                <w:sz w:val="21"/>
                <w:szCs w:val="21"/>
                <w:highlight w:val="none"/>
                <w:u w:val="none"/>
                <w:lang w:val="en-US" w:eastAsia="zh-CN" w:bidi="ar"/>
              </w:rPr>
              <w:t>▲1.规格：新风机组（不区分吊装方式）新风量：14000m³/h，制冷量：140kw，制热量：160kw，机外余压：750Pa，【功能段】：进风段、初中效过滤段、表冷段、风机段；</w:t>
            </w:r>
          </w:p>
          <w:p w14:paraId="62E5DCEB">
            <w:pPr>
              <w:pStyle w:val="18"/>
              <w:widowControl w:val="0"/>
              <w:shd w:val="clear"/>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④</w:t>
            </w:r>
            <w:r>
              <w:rPr>
                <w:rFonts w:hint="eastAsia" w:ascii="宋体" w:hAnsi="宋体" w:eastAsia="宋体" w:cs="宋体"/>
                <w:b/>
                <w:bCs/>
                <w:i w:val="0"/>
                <w:iCs w:val="0"/>
                <w:color w:val="auto"/>
                <w:kern w:val="0"/>
                <w:sz w:val="21"/>
                <w:szCs w:val="21"/>
                <w:highlight w:val="none"/>
                <w:u w:val="none"/>
                <w:lang w:val="en-US" w:eastAsia="zh-CN" w:bidi="ar"/>
              </w:rPr>
              <w:t>▲1.规格：新风机组（不区分吊装方式）新风量：2400m³/h，制冷量：31kw，制热量：27kw，风机功率:1.5kw，机外余压：500Pa，【功能段】：进风段、初中效过滤段、表冷段、电加热段、电加湿段、风机段；</w:t>
            </w:r>
          </w:p>
          <w:p w14:paraId="758070B1">
            <w:pPr>
              <w:pStyle w:val="18"/>
              <w:widowControl w:val="0"/>
              <w:shd w:val="clear"/>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全新风空调机组：</w:t>
            </w:r>
            <w:r>
              <w:rPr>
                <w:rFonts w:hint="eastAsia" w:ascii="宋体" w:hAnsi="宋体" w:eastAsia="宋体" w:cs="宋体"/>
                <w:b/>
                <w:bCs/>
                <w:i w:val="0"/>
                <w:iCs w:val="0"/>
                <w:color w:val="auto"/>
                <w:kern w:val="0"/>
                <w:sz w:val="21"/>
                <w:szCs w:val="21"/>
                <w:highlight w:val="none"/>
                <w:u w:val="none"/>
                <w:lang w:val="en-US" w:eastAsia="zh-CN" w:bidi="ar"/>
              </w:rPr>
              <w:t>▲1.规格：新风机组（不区分吊装方式）新风量：7000m³/h，制冷量：109kw，制热量：80kw，电加热:14kw，加湿量:33kg/h，机外余压：1100Pa，【功能段】：进风段、初中效过滤段、表冷段、电加热段、电加湿段、风机段。</w:t>
            </w:r>
          </w:p>
          <w:p w14:paraId="08C1EC4E">
            <w:pPr>
              <w:pStyle w:val="18"/>
              <w:widowControl w:val="0"/>
              <w:tabs>
                <w:tab w:val="right" w:leader="dot" w:pos="9004"/>
              </w:tabs>
              <w:snapToGrid w:val="0"/>
              <w:spacing w:line="288" w:lineRule="auto"/>
              <w:jc w:val="both"/>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多联机（分体空调和多联机空调内、外机）</w:t>
            </w:r>
          </w:p>
          <w:p w14:paraId="03D52188">
            <w:pPr>
              <w:pStyle w:val="18"/>
              <w:widowControl w:val="0"/>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分体空调：</w:t>
            </w:r>
            <w:r>
              <w:rPr>
                <w:rFonts w:hint="eastAsia" w:ascii="宋体" w:hAnsi="宋体" w:eastAsia="宋体" w:cs="宋体"/>
                <w:b/>
                <w:bCs/>
                <w:i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2.参 数:制冷/KW：5.1  功率/KW:1.41；</w:t>
            </w:r>
          </w:p>
          <w:p w14:paraId="3AF03F9F">
            <w:pPr>
              <w:pStyle w:val="18"/>
              <w:widowControl w:val="0"/>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多联机空调外机</w:t>
            </w:r>
            <w:r>
              <w:rPr>
                <w:rFonts w:hint="eastAsia" w:ascii="宋体" w:hAnsi="宋体" w:eastAsia="宋体" w:cs="宋体"/>
                <w:b/>
                <w:bCs/>
                <w:i w:val="0"/>
                <w:iCs w:val="0"/>
                <w:color w:val="auto"/>
                <w:kern w:val="0"/>
                <w:sz w:val="21"/>
                <w:szCs w:val="21"/>
                <w:highlight w:val="none"/>
                <w:u w:val="none"/>
                <w:lang w:val="en-US" w:eastAsia="zh-CN" w:bidi="ar"/>
              </w:rPr>
              <w:t>：</w:t>
            </w:r>
          </w:p>
          <w:p w14:paraId="540EB2D8">
            <w:pPr>
              <w:pStyle w:val="18"/>
              <w:widowControl w:val="0"/>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2.参 数:制冷/KW：10;制热量/KW:12；</w:t>
            </w:r>
          </w:p>
          <w:p w14:paraId="4EA5D332">
            <w:pPr>
              <w:pStyle w:val="18"/>
              <w:widowControl w:val="0"/>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2.参 数:制冷/KW：16;制热量/KW:18；</w:t>
            </w:r>
          </w:p>
          <w:p w14:paraId="298BC29B">
            <w:pPr>
              <w:pStyle w:val="18"/>
              <w:widowControl w:val="0"/>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2.参 数:制冷/KW：28；制热量/KW: 31.5；</w:t>
            </w:r>
          </w:p>
          <w:p w14:paraId="4E1BB5E7">
            <w:pPr>
              <w:pStyle w:val="18"/>
              <w:widowControl w:val="0"/>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2.参 数:制冷/KW：40；制热量/KW: 45；</w:t>
            </w:r>
          </w:p>
          <w:p w14:paraId="0C5855A8">
            <w:pPr>
              <w:pStyle w:val="18"/>
              <w:widowControl w:val="0"/>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2.参 数:制冷/KW：85；制热量/KW: 95；</w:t>
            </w:r>
          </w:p>
          <w:p w14:paraId="4A3DC543">
            <w:pPr>
              <w:pStyle w:val="18"/>
              <w:widowControl w:val="0"/>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2.参 数:制冷/KW：117；制热量/KW: 130；</w:t>
            </w:r>
          </w:p>
          <w:p w14:paraId="101AA91D">
            <w:pPr>
              <w:pStyle w:val="18"/>
              <w:widowControl w:val="0"/>
              <w:tabs>
                <w:tab w:val="right" w:leader="dot" w:pos="9004"/>
              </w:tabs>
              <w:snapToGrid w:val="0"/>
              <w:spacing w:line="288" w:lineRule="auto"/>
              <w:jc w:val="both"/>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多联机空调内机：</w:t>
            </w:r>
          </w:p>
          <w:p w14:paraId="2B185E0F">
            <w:pPr>
              <w:pStyle w:val="18"/>
              <w:widowControl w:val="0"/>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2.参 数:制冷/KW：2.8；制热量/KW:3.2；</w:t>
            </w:r>
          </w:p>
          <w:p w14:paraId="75F40FC9">
            <w:pPr>
              <w:pStyle w:val="18"/>
              <w:widowControl w:val="0"/>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2.参 数:制冷/KW：3.6；制热量/KW:4；</w:t>
            </w:r>
          </w:p>
          <w:p w14:paraId="20140AF7">
            <w:pPr>
              <w:pStyle w:val="18"/>
              <w:widowControl w:val="0"/>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2.参 数:制冷/KW：4.5；制热量/KW:5；</w:t>
            </w:r>
          </w:p>
          <w:p w14:paraId="787D7F4F">
            <w:pPr>
              <w:pStyle w:val="18"/>
              <w:widowControl w:val="0"/>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2.参 数:制冷/KW：5.6；制热量/KW:6.3；</w:t>
            </w:r>
          </w:p>
          <w:p w14:paraId="4399EF0F">
            <w:pPr>
              <w:pStyle w:val="18"/>
              <w:widowControl w:val="0"/>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2.参 数:制冷/KW：6.3；制热量/KW:7.1；</w:t>
            </w:r>
          </w:p>
          <w:p w14:paraId="54CD314D">
            <w:pPr>
              <w:pStyle w:val="18"/>
              <w:widowControl w:val="0"/>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2.参 数:制冷/KW：7.1；制热量/KW:8；</w:t>
            </w:r>
          </w:p>
          <w:p w14:paraId="1882004C">
            <w:pPr>
              <w:pStyle w:val="18"/>
              <w:widowControl w:val="0"/>
              <w:tabs>
                <w:tab w:val="right" w:leader="dot" w:pos="9004"/>
              </w:tabs>
              <w:snapToGrid w:val="0"/>
              <w:spacing w:line="288"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2.参 数:制冷/KW：9；制热量/KW:10；</w:t>
            </w:r>
          </w:p>
          <w:p w14:paraId="4E0B957A">
            <w:pPr>
              <w:pStyle w:val="18"/>
              <w:widowControl w:val="0"/>
              <w:tabs>
                <w:tab w:val="right" w:leader="dot" w:pos="9004"/>
              </w:tabs>
              <w:snapToGrid w:val="0"/>
              <w:spacing w:line="288"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i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2.参 数:制冷/KW：4.5；制热量/KW:5；</w:t>
            </w:r>
          </w:p>
        </w:tc>
        <w:tc>
          <w:tcPr>
            <w:tcW w:w="1131" w:type="dxa"/>
          </w:tcPr>
          <w:p w14:paraId="55B97389">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strike/>
                <w:color w:val="auto"/>
                <w:sz w:val="21"/>
                <w:szCs w:val="21"/>
                <w:highlight w:val="none"/>
                <w:vertAlign w:val="baseline"/>
                <w:lang w:eastAsia="zh-CN"/>
              </w:rPr>
            </w:pPr>
          </w:p>
        </w:tc>
        <w:tc>
          <w:tcPr>
            <w:tcW w:w="1415" w:type="dxa"/>
          </w:tcPr>
          <w:p w14:paraId="2F93080B">
            <w:pPr>
              <w:pStyle w:val="18"/>
              <w:pageBreakBefore w:val="0"/>
              <w:widowControl w:val="0"/>
              <w:shd w:val="clear"/>
              <w:tabs>
                <w:tab w:val="right" w:leader="dot" w:pos="9004"/>
              </w:tabs>
              <w:wordWrap/>
              <w:overflowPunct/>
              <w:topLinePunct w:val="0"/>
              <w:bidi w:val="0"/>
              <w:snapToGrid w:val="0"/>
              <w:spacing w:before="0" w:after="0" w:line="288" w:lineRule="auto"/>
              <w:jc w:val="both"/>
              <w:rPr>
                <w:rFonts w:hint="eastAsia" w:ascii="宋体" w:hAnsi="宋体" w:eastAsia="宋体" w:cs="宋体"/>
                <w:strike/>
                <w:color w:val="auto"/>
                <w:sz w:val="21"/>
                <w:szCs w:val="21"/>
                <w:highlight w:val="none"/>
                <w:vertAlign w:val="baseline"/>
                <w:lang w:eastAsia="zh-CN"/>
              </w:rPr>
            </w:pPr>
          </w:p>
        </w:tc>
      </w:tr>
      <w:tr w14:paraId="34E35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094620E3">
            <w:pPr>
              <w:pStyle w:val="18"/>
              <w:pageBreakBefore w:val="0"/>
              <w:widowControl w:val="0"/>
              <w:shd w:val="clear"/>
              <w:tabs>
                <w:tab w:val="right" w:leader="dot" w:pos="9004"/>
              </w:tabs>
              <w:wordWrap/>
              <w:overflowPunct/>
              <w:topLinePunct w:val="0"/>
              <w:bidi w:val="0"/>
              <w:snapToGrid w:val="0"/>
              <w:spacing w:before="0" w:after="0" w:line="312"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14</w:t>
            </w:r>
          </w:p>
        </w:tc>
        <w:tc>
          <w:tcPr>
            <w:tcW w:w="5149" w:type="dxa"/>
          </w:tcPr>
          <w:p w14:paraId="208E0C03">
            <w:pPr>
              <w:pStyle w:val="4"/>
              <w:widowControl w:val="0"/>
              <w:numPr>
                <w:ilvl w:val="0"/>
                <w:numId w:val="0"/>
              </w:numPr>
              <w:shd w:val="clear"/>
              <w:spacing w:beforeAutospacing="0" w:afterAutospacing="0"/>
              <w:jc w:val="both"/>
              <w:rPr>
                <w:rFonts w:hint="eastAsia" w:ascii="宋体" w:hAnsi="宋体" w:eastAsia="宋体" w:cs="宋体"/>
                <w:b w:val="0"/>
                <w:bCs w:val="0"/>
                <w:i w:val="0"/>
                <w:color w:val="auto"/>
                <w:kern w:val="0"/>
                <w:sz w:val="21"/>
                <w:szCs w:val="21"/>
                <w:highlight w:val="none"/>
                <w:u w:val="none"/>
                <w:lang w:val="en-US" w:eastAsia="zh-CN" w:bidi="ar"/>
              </w:rPr>
            </w:pPr>
            <w:r>
              <w:rPr>
                <w:rFonts w:hint="eastAsia" w:ascii="宋体" w:hAnsi="宋体" w:eastAsia="宋体" w:cs="宋体"/>
                <w:b w:val="0"/>
                <w:bCs w:val="0"/>
                <w:i w:val="0"/>
                <w:color w:val="auto"/>
                <w:kern w:val="0"/>
                <w:sz w:val="21"/>
                <w:szCs w:val="21"/>
                <w:highlight w:val="none"/>
                <w:u w:val="none"/>
                <w:lang w:val="en-US" w:eastAsia="zh-CN" w:bidi="ar"/>
              </w:rPr>
              <w:t>四管制风冷螺杆一体机组：</w:t>
            </w:r>
          </w:p>
          <w:p w14:paraId="3403F1DC">
            <w:pPr>
              <w:pStyle w:val="4"/>
              <w:widowControl w:val="0"/>
              <w:numPr>
                <w:ilvl w:val="0"/>
                <w:numId w:val="0"/>
              </w:numPr>
              <w:shd w:val="clear"/>
              <w:adjustRightInd w:val="0"/>
              <w:snapToGrid w:val="0"/>
              <w:spacing w:before="0" w:beforeAutospacing="0" w:after="0" w:afterAutospacing="0" w:line="312" w:lineRule="auto"/>
              <w:jc w:val="both"/>
              <w:rPr>
                <w:rFonts w:hint="eastAsia" w:ascii="宋体" w:hAnsi="宋体" w:eastAsia="宋体" w:cs="宋体"/>
                <w:b/>
                <w:bCs/>
                <w:color w:val="auto"/>
                <w:sz w:val="21"/>
                <w:szCs w:val="21"/>
                <w:highlight w:val="none"/>
                <w:u w:val="none"/>
                <w:lang w:bidi="ar"/>
              </w:rPr>
            </w:pPr>
            <w:r>
              <w:rPr>
                <w:rFonts w:hint="eastAsia" w:ascii="宋体" w:hAnsi="宋体" w:eastAsia="宋体" w:cs="宋体"/>
                <w:b/>
                <w:bCs/>
                <w:i w:val="0"/>
                <w:color w:val="auto"/>
                <w:kern w:val="0"/>
                <w:sz w:val="21"/>
                <w:szCs w:val="21"/>
                <w:highlight w:val="none"/>
                <w:u w:val="none"/>
                <w:lang w:val="en-US" w:eastAsia="zh-CN" w:bidi="ar"/>
              </w:rPr>
              <w:t>★2、主要技术参数：制冷量：≥428KW,进出水温度：12℃/7℃，制热量：≥447KW,进出水温度：40℃/45℃，媒介：R134a,，配套启动柜（详细参数详见绍兴市第七人民医院净化工程暖通主材表一）</w:t>
            </w:r>
          </w:p>
        </w:tc>
        <w:tc>
          <w:tcPr>
            <w:tcW w:w="1131" w:type="dxa"/>
          </w:tcPr>
          <w:p w14:paraId="55340870">
            <w:pPr>
              <w:pStyle w:val="18"/>
              <w:pageBreakBefore w:val="0"/>
              <w:widowControl w:val="0"/>
              <w:shd w:val="clear"/>
              <w:tabs>
                <w:tab w:val="right" w:leader="dot" w:pos="9004"/>
              </w:tabs>
              <w:wordWrap/>
              <w:overflowPunct/>
              <w:topLinePunct w:val="0"/>
              <w:bidi w:val="0"/>
              <w:snapToGrid w:val="0"/>
              <w:spacing w:before="0" w:after="0" w:line="312" w:lineRule="auto"/>
              <w:jc w:val="both"/>
              <w:rPr>
                <w:rFonts w:hint="eastAsia" w:ascii="宋体" w:hAnsi="宋体" w:eastAsia="宋体" w:cs="宋体"/>
                <w:color w:val="auto"/>
                <w:sz w:val="21"/>
                <w:szCs w:val="21"/>
                <w:highlight w:val="none"/>
                <w:vertAlign w:val="baseline"/>
                <w:lang w:eastAsia="zh-CN"/>
              </w:rPr>
            </w:pPr>
          </w:p>
        </w:tc>
        <w:tc>
          <w:tcPr>
            <w:tcW w:w="1415" w:type="dxa"/>
          </w:tcPr>
          <w:p w14:paraId="7B7B11F7">
            <w:pPr>
              <w:pStyle w:val="18"/>
              <w:pageBreakBefore w:val="0"/>
              <w:widowControl w:val="0"/>
              <w:shd w:val="clear"/>
              <w:tabs>
                <w:tab w:val="right" w:leader="dot" w:pos="9004"/>
              </w:tabs>
              <w:wordWrap/>
              <w:overflowPunct/>
              <w:topLinePunct w:val="0"/>
              <w:bidi w:val="0"/>
              <w:snapToGrid w:val="0"/>
              <w:spacing w:before="0" w:after="0" w:line="312" w:lineRule="auto"/>
              <w:jc w:val="both"/>
              <w:rPr>
                <w:rFonts w:hint="eastAsia" w:ascii="宋体" w:hAnsi="宋体" w:eastAsia="宋体" w:cs="宋体"/>
                <w:color w:val="auto"/>
                <w:sz w:val="21"/>
                <w:szCs w:val="21"/>
                <w:highlight w:val="none"/>
                <w:vertAlign w:val="baseline"/>
                <w:lang w:eastAsia="zh-CN"/>
              </w:rPr>
            </w:pPr>
          </w:p>
        </w:tc>
      </w:tr>
      <w:tr w14:paraId="39662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7C7AFD87">
            <w:pPr>
              <w:pStyle w:val="18"/>
              <w:pageBreakBefore w:val="0"/>
              <w:widowControl w:val="0"/>
              <w:shd w:val="clear"/>
              <w:tabs>
                <w:tab w:val="right" w:leader="dot" w:pos="9004"/>
              </w:tabs>
              <w:wordWrap/>
              <w:overflowPunct/>
              <w:topLinePunct w:val="0"/>
              <w:bidi w:val="0"/>
              <w:snapToGrid w:val="0"/>
              <w:spacing w:before="0" w:after="0" w:line="312"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15</w:t>
            </w:r>
          </w:p>
        </w:tc>
        <w:tc>
          <w:tcPr>
            <w:tcW w:w="5149" w:type="dxa"/>
          </w:tcPr>
          <w:p w14:paraId="44F1FF7A">
            <w:pPr>
              <w:pStyle w:val="4"/>
              <w:widowControl w:val="0"/>
              <w:numPr>
                <w:ilvl w:val="0"/>
                <w:numId w:val="0"/>
              </w:numPr>
              <w:shd w:val="clear"/>
              <w:adjustRightInd w:val="0"/>
              <w:snapToGrid w:val="0"/>
              <w:spacing w:before="0" w:beforeAutospacing="0" w:after="0" w:afterAutospacing="0" w:line="312" w:lineRule="auto"/>
              <w:jc w:val="both"/>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冷库制冷机组：</w:t>
            </w:r>
          </w:p>
          <w:p w14:paraId="3A1811BD">
            <w:pPr>
              <w:pStyle w:val="4"/>
              <w:widowControl w:val="0"/>
              <w:numPr>
                <w:ilvl w:val="0"/>
                <w:numId w:val="0"/>
              </w:numPr>
              <w:shd w:val="clear"/>
              <w:adjustRightInd w:val="0"/>
              <w:snapToGrid w:val="0"/>
              <w:spacing w:before="0" w:beforeAutospacing="0" w:after="0" w:afterAutospacing="0" w:line="312"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①★</w:t>
            </w:r>
            <w:r>
              <w:rPr>
                <w:rFonts w:hint="eastAsia" w:ascii="宋体" w:hAnsi="宋体" w:eastAsia="宋体" w:cs="宋体"/>
                <w:b/>
                <w:bCs/>
                <w:i w:val="0"/>
                <w:iCs w:val="0"/>
                <w:color w:val="auto"/>
                <w:kern w:val="0"/>
                <w:sz w:val="21"/>
                <w:szCs w:val="21"/>
                <w:highlight w:val="none"/>
                <w:u w:val="none"/>
                <w:lang w:val="en-US" w:eastAsia="zh-CN" w:bidi="ar"/>
              </w:rPr>
              <w:t>1.主要技术参数：核心制冷量：6.6KW；蒸发温度：-5℃；风机功率：180W</w:t>
            </w:r>
          </w:p>
          <w:p w14:paraId="07117FA0">
            <w:pPr>
              <w:pStyle w:val="4"/>
              <w:widowControl w:val="0"/>
              <w:numPr>
                <w:ilvl w:val="0"/>
                <w:numId w:val="0"/>
              </w:numPr>
              <w:shd w:val="clear"/>
              <w:adjustRightInd w:val="0"/>
              <w:snapToGrid w:val="0"/>
              <w:spacing w:before="0" w:beforeAutospacing="0" w:after="0" w:afterAutospacing="0" w:line="312" w:lineRule="auto"/>
              <w:jc w:val="both"/>
              <w:rPr>
                <w:rFonts w:hint="eastAsia" w:ascii="宋体" w:hAnsi="宋体" w:eastAsia="宋体" w:cs="宋体"/>
                <w:b/>
                <w:bCs/>
                <w:i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②★</w:t>
            </w:r>
            <w:r>
              <w:rPr>
                <w:rFonts w:hint="eastAsia" w:ascii="宋体" w:hAnsi="宋体" w:eastAsia="宋体" w:cs="宋体"/>
                <w:b/>
                <w:bCs/>
                <w:i w:val="0"/>
                <w:iCs w:val="0"/>
                <w:color w:val="auto"/>
                <w:kern w:val="0"/>
                <w:sz w:val="21"/>
                <w:szCs w:val="21"/>
                <w:highlight w:val="none"/>
                <w:u w:val="none"/>
                <w:lang w:val="en-US" w:eastAsia="zh-CN" w:bidi="ar"/>
              </w:rPr>
              <w:t>1.主要技术参数：制冷量：8.95KW；蒸发温度：-5℃；风机功率：280W</w:t>
            </w:r>
          </w:p>
        </w:tc>
        <w:tc>
          <w:tcPr>
            <w:tcW w:w="1131" w:type="dxa"/>
          </w:tcPr>
          <w:p w14:paraId="702DB05F">
            <w:pPr>
              <w:pStyle w:val="18"/>
              <w:pageBreakBefore w:val="0"/>
              <w:widowControl w:val="0"/>
              <w:shd w:val="clear"/>
              <w:tabs>
                <w:tab w:val="right" w:leader="dot" w:pos="9004"/>
              </w:tabs>
              <w:wordWrap/>
              <w:overflowPunct/>
              <w:topLinePunct w:val="0"/>
              <w:bidi w:val="0"/>
              <w:snapToGrid w:val="0"/>
              <w:spacing w:before="0" w:after="0" w:line="312" w:lineRule="auto"/>
              <w:jc w:val="both"/>
              <w:rPr>
                <w:rFonts w:hint="eastAsia" w:ascii="宋体" w:hAnsi="宋体" w:eastAsia="宋体" w:cs="宋体"/>
                <w:color w:val="auto"/>
                <w:sz w:val="21"/>
                <w:szCs w:val="21"/>
                <w:highlight w:val="none"/>
                <w:vertAlign w:val="baseline"/>
                <w:lang w:eastAsia="zh-CN"/>
              </w:rPr>
            </w:pPr>
          </w:p>
        </w:tc>
        <w:tc>
          <w:tcPr>
            <w:tcW w:w="1415" w:type="dxa"/>
          </w:tcPr>
          <w:p w14:paraId="367C885B">
            <w:pPr>
              <w:pStyle w:val="18"/>
              <w:pageBreakBefore w:val="0"/>
              <w:widowControl w:val="0"/>
              <w:shd w:val="clear"/>
              <w:tabs>
                <w:tab w:val="right" w:leader="dot" w:pos="9004"/>
              </w:tabs>
              <w:wordWrap/>
              <w:overflowPunct/>
              <w:topLinePunct w:val="0"/>
              <w:bidi w:val="0"/>
              <w:snapToGrid w:val="0"/>
              <w:spacing w:before="0" w:after="0" w:line="312" w:lineRule="auto"/>
              <w:jc w:val="both"/>
              <w:rPr>
                <w:rFonts w:hint="eastAsia" w:ascii="宋体" w:hAnsi="宋体" w:eastAsia="宋体" w:cs="宋体"/>
                <w:color w:val="auto"/>
                <w:sz w:val="21"/>
                <w:szCs w:val="21"/>
                <w:highlight w:val="none"/>
                <w:vertAlign w:val="baseline"/>
                <w:lang w:eastAsia="zh-CN"/>
              </w:rPr>
            </w:pPr>
          </w:p>
        </w:tc>
      </w:tr>
      <w:tr w14:paraId="40289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50C37D0E">
            <w:pPr>
              <w:pStyle w:val="18"/>
              <w:pageBreakBefore w:val="0"/>
              <w:widowControl w:val="0"/>
              <w:shd w:val="clear"/>
              <w:tabs>
                <w:tab w:val="right" w:leader="dot" w:pos="9004"/>
              </w:tabs>
              <w:wordWrap/>
              <w:overflowPunct/>
              <w:topLinePunct w:val="0"/>
              <w:bidi w:val="0"/>
              <w:snapToGrid w:val="0"/>
              <w:spacing w:before="0" w:after="0" w:line="312"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16</w:t>
            </w:r>
          </w:p>
        </w:tc>
        <w:tc>
          <w:tcPr>
            <w:tcW w:w="5149" w:type="dxa"/>
          </w:tcPr>
          <w:p w14:paraId="564B9677">
            <w:pPr>
              <w:pStyle w:val="4"/>
              <w:widowControl w:val="0"/>
              <w:numPr>
                <w:ilvl w:val="0"/>
                <w:numId w:val="0"/>
              </w:numPr>
              <w:shd w:val="clear"/>
              <w:adjustRightInd w:val="0"/>
              <w:snapToGrid w:val="0"/>
              <w:spacing w:before="0" w:beforeAutospacing="0" w:after="0" w:afterAutospacing="0" w:line="312" w:lineRule="auto"/>
              <w:jc w:val="both"/>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风冷热泵机组：</w:t>
            </w:r>
          </w:p>
          <w:p w14:paraId="3C24C0B7">
            <w:pPr>
              <w:pStyle w:val="4"/>
              <w:widowControl w:val="0"/>
              <w:numPr>
                <w:ilvl w:val="0"/>
                <w:numId w:val="0"/>
              </w:numPr>
              <w:shd w:val="clear"/>
              <w:adjustRightInd w:val="0"/>
              <w:snapToGrid w:val="0"/>
              <w:spacing w:before="0" w:beforeAutospacing="0" w:after="0" w:afterAutospacing="0" w:line="312" w:lineRule="auto"/>
              <w:jc w:val="both"/>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①★</w:t>
            </w:r>
            <w:r>
              <w:rPr>
                <w:rFonts w:hint="eastAsia" w:ascii="宋体" w:hAnsi="宋体" w:eastAsia="宋体" w:cs="宋体"/>
                <w:b/>
                <w:bCs/>
                <w:i w:val="0"/>
                <w:iCs w:val="0"/>
                <w:color w:val="auto"/>
                <w:kern w:val="0"/>
                <w:sz w:val="21"/>
                <w:szCs w:val="21"/>
                <w:highlight w:val="none"/>
                <w:u w:val="none"/>
                <w:lang w:val="en-US" w:eastAsia="zh-CN" w:bidi="ar"/>
              </w:rPr>
              <w:t>1.主要技术参数：制冷量：65kw,制热量：65kw,电源：380V/50Hz，功率：20kw</w:t>
            </w:r>
          </w:p>
          <w:p w14:paraId="02939C62">
            <w:pPr>
              <w:pStyle w:val="4"/>
              <w:widowControl w:val="0"/>
              <w:numPr>
                <w:ilvl w:val="0"/>
                <w:numId w:val="0"/>
              </w:numPr>
              <w:shd w:val="clear"/>
              <w:adjustRightInd w:val="0"/>
              <w:snapToGrid w:val="0"/>
              <w:spacing w:before="0" w:beforeAutospacing="0" w:after="0" w:afterAutospacing="0" w:line="312" w:lineRule="auto"/>
              <w:jc w:val="both"/>
              <w:rPr>
                <w:rFonts w:hint="eastAsia" w:ascii="宋体" w:hAnsi="宋体" w:eastAsia="宋体" w:cs="宋体"/>
                <w:b/>
                <w:bCs/>
                <w:i w:val="0"/>
                <w:color w:val="auto"/>
                <w:kern w:val="0"/>
                <w:sz w:val="21"/>
                <w:szCs w:val="21"/>
                <w:highlight w:val="none"/>
                <w:u w:val="none"/>
                <w:lang w:val="en-US" w:eastAsia="zh-CN" w:bidi="ar"/>
              </w:rPr>
            </w:pPr>
            <w:r>
              <w:rPr>
                <w:rFonts w:hint="eastAsia" w:ascii="宋体" w:hAnsi="宋体" w:eastAsia="宋体" w:cs="宋体"/>
                <w:b/>
                <w:bCs/>
                <w:i w:val="0"/>
                <w:color w:val="auto"/>
                <w:kern w:val="0"/>
                <w:sz w:val="21"/>
                <w:szCs w:val="21"/>
                <w:highlight w:val="none"/>
                <w:u w:val="none"/>
                <w:lang w:val="en-US" w:eastAsia="zh-CN" w:bidi="ar"/>
              </w:rPr>
              <w:t>②★</w:t>
            </w:r>
            <w:r>
              <w:rPr>
                <w:rFonts w:hint="eastAsia" w:ascii="宋体" w:hAnsi="宋体" w:eastAsia="宋体" w:cs="宋体"/>
                <w:b/>
                <w:bCs/>
                <w:i w:val="0"/>
                <w:iCs w:val="0"/>
                <w:color w:val="auto"/>
                <w:kern w:val="0"/>
                <w:sz w:val="21"/>
                <w:szCs w:val="21"/>
                <w:highlight w:val="none"/>
                <w:u w:val="none"/>
                <w:lang w:val="en-US" w:eastAsia="zh-CN" w:bidi="ar"/>
              </w:rPr>
              <w:t>1.主要技术参数：制冷量：130kw,制热量：130kw,电源：380V/50Hz，功率：43kw</w:t>
            </w:r>
          </w:p>
        </w:tc>
        <w:tc>
          <w:tcPr>
            <w:tcW w:w="1131" w:type="dxa"/>
          </w:tcPr>
          <w:p w14:paraId="5A77A159">
            <w:pPr>
              <w:pStyle w:val="18"/>
              <w:pageBreakBefore w:val="0"/>
              <w:widowControl w:val="0"/>
              <w:shd w:val="clear"/>
              <w:tabs>
                <w:tab w:val="right" w:leader="dot" w:pos="9004"/>
              </w:tabs>
              <w:wordWrap/>
              <w:overflowPunct/>
              <w:topLinePunct w:val="0"/>
              <w:bidi w:val="0"/>
              <w:snapToGrid w:val="0"/>
              <w:spacing w:before="0" w:after="0" w:line="312" w:lineRule="auto"/>
              <w:jc w:val="both"/>
              <w:rPr>
                <w:rFonts w:hint="eastAsia" w:ascii="宋体" w:hAnsi="宋体" w:eastAsia="宋体" w:cs="宋体"/>
                <w:color w:val="auto"/>
                <w:sz w:val="21"/>
                <w:szCs w:val="21"/>
                <w:highlight w:val="none"/>
                <w:vertAlign w:val="baseline"/>
                <w:lang w:eastAsia="zh-CN"/>
              </w:rPr>
            </w:pPr>
          </w:p>
        </w:tc>
        <w:tc>
          <w:tcPr>
            <w:tcW w:w="1415" w:type="dxa"/>
          </w:tcPr>
          <w:p w14:paraId="64BB7053">
            <w:pPr>
              <w:pStyle w:val="18"/>
              <w:pageBreakBefore w:val="0"/>
              <w:widowControl w:val="0"/>
              <w:shd w:val="clear"/>
              <w:tabs>
                <w:tab w:val="right" w:leader="dot" w:pos="9004"/>
              </w:tabs>
              <w:wordWrap/>
              <w:overflowPunct/>
              <w:topLinePunct w:val="0"/>
              <w:bidi w:val="0"/>
              <w:snapToGrid w:val="0"/>
              <w:spacing w:before="0" w:after="0" w:line="312" w:lineRule="auto"/>
              <w:jc w:val="both"/>
              <w:rPr>
                <w:rFonts w:hint="eastAsia" w:ascii="宋体" w:hAnsi="宋体" w:eastAsia="宋体" w:cs="宋体"/>
                <w:color w:val="auto"/>
                <w:sz w:val="21"/>
                <w:szCs w:val="21"/>
                <w:highlight w:val="none"/>
                <w:vertAlign w:val="baseline"/>
                <w:lang w:eastAsia="zh-CN"/>
              </w:rPr>
            </w:pPr>
          </w:p>
        </w:tc>
      </w:tr>
    </w:tbl>
    <w:p w14:paraId="7303E9AB">
      <w:pPr>
        <w:spacing w:line="328" w:lineRule="auto"/>
        <w:jc w:val="both"/>
        <w:rPr>
          <w:rFonts w:hint="eastAsia" w:ascii="宋体" w:hAnsi="宋体" w:eastAsia="宋体" w:cs="宋体"/>
          <w:color w:val="auto"/>
          <w:highlight w:val="none"/>
        </w:rPr>
      </w:pPr>
    </w:p>
    <w:p w14:paraId="757F13CB">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5D4998AB">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b w:val="0"/>
          <w:bCs w:val="0"/>
          <w:color w:val="auto"/>
          <w:kern w:val="0"/>
          <w:sz w:val="23"/>
          <w:szCs w:val="23"/>
          <w:highlight w:val="none"/>
          <w:u w:val="single"/>
        </w:rPr>
        <w:t xml:space="preserve">   </w:t>
      </w:r>
      <w:r>
        <w:rPr>
          <w:rFonts w:hint="eastAsia" w:ascii="宋体" w:hAnsi="宋体" w:eastAsia="宋体" w:cs="宋体"/>
          <w:b w:val="0"/>
          <w:bCs w:val="0"/>
          <w:color w:val="auto"/>
          <w:kern w:val="0"/>
          <w:sz w:val="23"/>
          <w:szCs w:val="23"/>
          <w:highlight w:val="none"/>
        </w:rPr>
        <w:t>年</w:t>
      </w:r>
      <w:r>
        <w:rPr>
          <w:rFonts w:hint="eastAsia" w:ascii="宋体" w:hAnsi="宋体" w:eastAsia="宋体" w:cs="宋体"/>
          <w:b w:val="0"/>
          <w:bCs w:val="0"/>
          <w:color w:val="auto"/>
          <w:kern w:val="0"/>
          <w:sz w:val="23"/>
          <w:szCs w:val="23"/>
          <w:highlight w:val="none"/>
          <w:u w:val="single"/>
        </w:rPr>
        <w:t xml:space="preserve">   </w:t>
      </w:r>
      <w:r>
        <w:rPr>
          <w:rFonts w:hint="eastAsia" w:ascii="宋体" w:hAnsi="宋体" w:eastAsia="宋体" w:cs="宋体"/>
          <w:b w:val="0"/>
          <w:bCs w:val="0"/>
          <w:color w:val="auto"/>
          <w:kern w:val="0"/>
          <w:sz w:val="23"/>
          <w:szCs w:val="23"/>
          <w:highlight w:val="none"/>
        </w:rPr>
        <w:t>月</w:t>
      </w:r>
      <w:r>
        <w:rPr>
          <w:rFonts w:hint="eastAsia" w:ascii="宋体" w:hAnsi="宋体" w:eastAsia="宋体" w:cs="宋体"/>
          <w:b w:val="0"/>
          <w:bCs w:val="0"/>
          <w:color w:val="auto"/>
          <w:kern w:val="0"/>
          <w:sz w:val="23"/>
          <w:szCs w:val="23"/>
          <w:highlight w:val="none"/>
          <w:u w:val="single"/>
        </w:rPr>
        <w:t xml:space="preserve">   </w:t>
      </w:r>
      <w:r>
        <w:rPr>
          <w:rFonts w:hint="eastAsia" w:ascii="宋体" w:hAnsi="宋体" w:eastAsia="宋体" w:cs="宋体"/>
          <w:color w:val="auto"/>
          <w:sz w:val="23"/>
          <w:szCs w:val="23"/>
          <w:highlight w:val="none"/>
        </w:rPr>
        <w:t>日</w:t>
      </w:r>
    </w:p>
    <w:p w14:paraId="28B87404">
      <w:pPr>
        <w:jc w:val="both"/>
        <w:rPr>
          <w:rFonts w:hint="eastAsia" w:ascii="宋体" w:hAnsi="宋体" w:eastAsia="宋体" w:cs="宋体"/>
          <w:color w:val="auto"/>
          <w:highlight w:val="none"/>
        </w:rPr>
        <w:sectPr>
          <w:footerReference r:id="rId21" w:type="default"/>
          <w:pgSz w:w="11907" w:h="16840"/>
          <w:pgMar w:top="1418" w:right="1559" w:bottom="1418" w:left="1474" w:header="0" w:footer="723" w:gutter="0"/>
          <w:cols w:space="720" w:num="1"/>
        </w:sectPr>
      </w:pPr>
    </w:p>
    <w:p w14:paraId="2B947952">
      <w:pPr>
        <w:spacing w:line="328" w:lineRule="auto"/>
        <w:jc w:val="both"/>
        <w:rPr>
          <w:rFonts w:hint="eastAsia" w:ascii="宋体" w:hAnsi="宋体" w:eastAsia="宋体" w:cs="宋体"/>
          <w:color w:val="auto"/>
          <w:highlight w:val="none"/>
        </w:rPr>
      </w:pPr>
    </w:p>
    <w:p w14:paraId="6A7DEBEF">
      <w:pPr>
        <w:pStyle w:val="2"/>
        <w:pageBreakBefore w:val="0"/>
        <w:kinsoku/>
        <w:overflowPunct/>
        <w:topLinePunct w:val="0"/>
        <w:bidi w:val="0"/>
        <w:snapToGrid w:val="0"/>
        <w:spacing w:before="0" w:line="288" w:lineRule="auto"/>
        <w:jc w:val="center"/>
        <w:rPr>
          <w:rFonts w:hint="eastAsia" w:ascii="宋体" w:hAnsi="宋体" w:eastAsia="宋体" w:cs="Times New Roman"/>
          <w:color w:val="auto"/>
          <w:sz w:val="28"/>
          <w:szCs w:val="28"/>
          <w:highlight w:val="none"/>
          <w:lang w:eastAsia="zh-CN"/>
        </w:rPr>
      </w:pPr>
      <w:bookmarkStart w:id="94" w:name="_bookmark20"/>
      <w:bookmarkEnd w:id="94"/>
      <w:r>
        <w:rPr>
          <w:rFonts w:hint="eastAsia" w:ascii="宋体" w:hAnsi="宋体" w:eastAsia="宋体" w:cs="Times New Roman"/>
          <w:color w:val="auto"/>
          <w:sz w:val="28"/>
          <w:szCs w:val="28"/>
          <w:highlight w:val="none"/>
          <w:lang w:eastAsia="zh-CN"/>
        </w:rPr>
        <w:t>投标人提供</w:t>
      </w:r>
      <w:r>
        <w:rPr>
          <w:rFonts w:hint="eastAsia" w:ascii="宋体" w:hAnsi="宋体" w:eastAsia="宋体" w:cs="Times New Roman"/>
          <w:color w:val="auto"/>
          <w:sz w:val="28"/>
          <w:szCs w:val="28"/>
          <w:highlight w:val="none"/>
          <w:lang w:val="en-US" w:eastAsia="zh-CN"/>
        </w:rPr>
        <w:t>满足需求指标和商务要求其余指标</w:t>
      </w:r>
      <w:r>
        <w:rPr>
          <w:rFonts w:hint="eastAsia" w:ascii="宋体" w:hAnsi="宋体" w:eastAsia="宋体" w:cs="Times New Roman"/>
          <w:color w:val="auto"/>
          <w:sz w:val="28"/>
          <w:szCs w:val="28"/>
          <w:highlight w:val="none"/>
          <w:lang w:eastAsia="zh-CN"/>
        </w:rPr>
        <w:t>一览表</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
        <w:gridCol w:w="5153"/>
        <w:gridCol w:w="1132"/>
        <w:gridCol w:w="1416"/>
      </w:tblGrid>
      <w:tr w14:paraId="22509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1D6EDEE1">
            <w:pPr>
              <w:pStyle w:val="18"/>
              <w:widowControl w:val="0"/>
              <w:jc w:val="center"/>
              <w:rPr>
                <w:rFonts w:hint="default" w:eastAsia="宋体"/>
                <w:color w:val="auto"/>
                <w:sz w:val="21"/>
                <w:szCs w:val="21"/>
                <w:highlight w:val="none"/>
                <w:vertAlign w:val="baseline"/>
                <w:lang w:eastAsia="zh-CN"/>
              </w:rPr>
            </w:pPr>
            <w:r>
              <w:rPr>
                <w:rFonts w:hint="eastAsia"/>
                <w:color w:val="auto"/>
                <w:sz w:val="21"/>
                <w:szCs w:val="21"/>
                <w:highlight w:val="none"/>
                <w:vertAlign w:val="baseline"/>
                <w:lang w:eastAsia="zh-CN"/>
              </w:rPr>
              <w:t>序号</w:t>
            </w:r>
          </w:p>
        </w:tc>
        <w:tc>
          <w:tcPr>
            <w:tcW w:w="5153" w:type="dxa"/>
            <w:noWrap w:val="0"/>
            <w:vAlign w:val="center"/>
          </w:tcPr>
          <w:p w14:paraId="45EB8B96">
            <w:pPr>
              <w:pStyle w:val="18"/>
              <w:widowControl w:val="0"/>
              <w:jc w:val="center"/>
              <w:rPr>
                <w:rFonts w:hint="default" w:eastAsia="宋体"/>
                <w:color w:val="auto"/>
                <w:sz w:val="21"/>
                <w:szCs w:val="21"/>
                <w:highlight w:val="none"/>
                <w:vertAlign w:val="baseline"/>
                <w:lang w:eastAsia="zh-CN"/>
              </w:rPr>
            </w:pPr>
            <w:r>
              <w:rPr>
                <w:rFonts w:hint="eastAsia"/>
                <w:color w:val="auto"/>
                <w:sz w:val="21"/>
                <w:szCs w:val="21"/>
                <w:highlight w:val="none"/>
                <w:vertAlign w:val="baseline"/>
                <w:lang w:eastAsia="zh-CN"/>
              </w:rPr>
              <w:t>招标人要求</w:t>
            </w:r>
          </w:p>
        </w:tc>
        <w:tc>
          <w:tcPr>
            <w:tcW w:w="1132" w:type="dxa"/>
            <w:noWrap w:val="0"/>
            <w:vAlign w:val="center"/>
          </w:tcPr>
          <w:p w14:paraId="12E1E621">
            <w:pPr>
              <w:pStyle w:val="18"/>
              <w:widowControl w:val="0"/>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正偏离/负偏离</w:t>
            </w:r>
          </w:p>
        </w:tc>
        <w:tc>
          <w:tcPr>
            <w:tcW w:w="1416" w:type="dxa"/>
            <w:noWrap w:val="0"/>
            <w:vAlign w:val="center"/>
          </w:tcPr>
          <w:p w14:paraId="470140EC">
            <w:pPr>
              <w:pStyle w:val="18"/>
              <w:widowControl w:val="0"/>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正负偏离指标详细情况</w:t>
            </w:r>
          </w:p>
        </w:tc>
      </w:tr>
      <w:tr w14:paraId="4E35F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2E637B06">
            <w:pPr>
              <w:pStyle w:val="18"/>
              <w:widowControl w:val="0"/>
              <w:jc w:val="center"/>
              <w:rPr>
                <w:rFonts w:hint="default" w:eastAsia="宋体"/>
                <w:color w:val="auto"/>
                <w:sz w:val="21"/>
                <w:szCs w:val="21"/>
                <w:highlight w:val="none"/>
                <w:vertAlign w:val="baseline"/>
                <w:lang w:val="en-US" w:eastAsia="zh-CN"/>
              </w:rPr>
            </w:pPr>
          </w:p>
        </w:tc>
        <w:tc>
          <w:tcPr>
            <w:tcW w:w="5153" w:type="dxa"/>
            <w:noWrap w:val="0"/>
            <w:vAlign w:val="top"/>
          </w:tcPr>
          <w:p w14:paraId="1600847E">
            <w:pPr>
              <w:pageBreakBefore w:val="0"/>
              <w:widowControl w:val="0"/>
              <w:kinsoku/>
              <w:overflowPunct/>
              <w:topLinePunct w:val="0"/>
              <w:bidi w:val="0"/>
              <w:snapToGrid w:val="0"/>
              <w:spacing w:line="288" w:lineRule="auto"/>
              <w:jc w:val="both"/>
              <w:rPr>
                <w:rFonts w:hint="default" w:ascii="宋体" w:hAnsi="宋体" w:eastAsia="宋体" w:cs="Times New Roman"/>
                <w:color w:val="auto"/>
                <w:szCs w:val="21"/>
                <w:highlight w:val="none"/>
                <w:lang w:val="en-US" w:eastAsia="zh-CN"/>
              </w:rPr>
            </w:pPr>
          </w:p>
        </w:tc>
        <w:tc>
          <w:tcPr>
            <w:tcW w:w="1132" w:type="dxa"/>
            <w:noWrap w:val="0"/>
            <w:vAlign w:val="top"/>
          </w:tcPr>
          <w:p w14:paraId="390359CE">
            <w:pPr>
              <w:pStyle w:val="18"/>
              <w:widowControl w:val="0"/>
              <w:jc w:val="both"/>
              <w:rPr>
                <w:rFonts w:hint="default" w:eastAsia="宋体"/>
                <w:color w:val="auto"/>
                <w:sz w:val="21"/>
                <w:szCs w:val="21"/>
                <w:highlight w:val="none"/>
                <w:vertAlign w:val="baseline"/>
                <w:lang w:eastAsia="zh-CN"/>
              </w:rPr>
            </w:pPr>
          </w:p>
        </w:tc>
        <w:tc>
          <w:tcPr>
            <w:tcW w:w="1416" w:type="dxa"/>
            <w:noWrap w:val="0"/>
            <w:vAlign w:val="top"/>
          </w:tcPr>
          <w:p w14:paraId="6DDA6453">
            <w:pPr>
              <w:pStyle w:val="18"/>
              <w:widowControl w:val="0"/>
              <w:jc w:val="both"/>
              <w:rPr>
                <w:rFonts w:hint="default" w:eastAsia="宋体"/>
                <w:color w:val="auto"/>
                <w:sz w:val="21"/>
                <w:szCs w:val="21"/>
                <w:highlight w:val="none"/>
                <w:vertAlign w:val="baseline"/>
                <w:lang w:eastAsia="zh-CN"/>
              </w:rPr>
            </w:pPr>
          </w:p>
        </w:tc>
      </w:tr>
      <w:tr w14:paraId="2DBF2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568922B1">
            <w:pPr>
              <w:pStyle w:val="18"/>
              <w:widowControl w:val="0"/>
              <w:jc w:val="center"/>
              <w:rPr>
                <w:rFonts w:hint="default" w:eastAsia="宋体"/>
                <w:color w:val="auto"/>
                <w:sz w:val="21"/>
                <w:szCs w:val="21"/>
                <w:highlight w:val="none"/>
                <w:vertAlign w:val="baseline"/>
                <w:lang w:val="en-US" w:eastAsia="zh-CN"/>
              </w:rPr>
            </w:pPr>
          </w:p>
        </w:tc>
        <w:tc>
          <w:tcPr>
            <w:tcW w:w="5153" w:type="dxa"/>
            <w:noWrap w:val="0"/>
            <w:vAlign w:val="top"/>
          </w:tcPr>
          <w:p w14:paraId="1AFCC6A3">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p>
        </w:tc>
        <w:tc>
          <w:tcPr>
            <w:tcW w:w="1132" w:type="dxa"/>
            <w:noWrap w:val="0"/>
            <w:vAlign w:val="top"/>
          </w:tcPr>
          <w:p w14:paraId="66A39177">
            <w:pPr>
              <w:pStyle w:val="18"/>
              <w:widowControl w:val="0"/>
              <w:jc w:val="both"/>
              <w:rPr>
                <w:rFonts w:hint="default" w:eastAsia="宋体"/>
                <w:color w:val="auto"/>
                <w:sz w:val="21"/>
                <w:szCs w:val="21"/>
                <w:highlight w:val="none"/>
                <w:vertAlign w:val="baseline"/>
                <w:lang w:eastAsia="zh-CN"/>
              </w:rPr>
            </w:pPr>
          </w:p>
        </w:tc>
        <w:tc>
          <w:tcPr>
            <w:tcW w:w="1416" w:type="dxa"/>
            <w:noWrap w:val="0"/>
            <w:vAlign w:val="top"/>
          </w:tcPr>
          <w:p w14:paraId="5132AD79">
            <w:pPr>
              <w:pStyle w:val="18"/>
              <w:widowControl w:val="0"/>
              <w:jc w:val="both"/>
              <w:rPr>
                <w:rFonts w:hint="default" w:eastAsia="宋体"/>
                <w:color w:val="auto"/>
                <w:sz w:val="21"/>
                <w:szCs w:val="21"/>
                <w:highlight w:val="none"/>
                <w:vertAlign w:val="baseline"/>
                <w:lang w:eastAsia="zh-CN"/>
              </w:rPr>
            </w:pPr>
          </w:p>
        </w:tc>
      </w:tr>
      <w:tr w14:paraId="18521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65289031">
            <w:pPr>
              <w:pStyle w:val="18"/>
              <w:widowControl w:val="0"/>
              <w:jc w:val="center"/>
              <w:rPr>
                <w:rFonts w:hint="default" w:eastAsia="宋体"/>
                <w:color w:val="auto"/>
                <w:sz w:val="21"/>
                <w:szCs w:val="21"/>
                <w:highlight w:val="none"/>
                <w:vertAlign w:val="baseline"/>
                <w:lang w:val="en-US" w:eastAsia="zh-CN"/>
              </w:rPr>
            </w:pPr>
          </w:p>
        </w:tc>
        <w:tc>
          <w:tcPr>
            <w:tcW w:w="5153" w:type="dxa"/>
            <w:noWrap w:val="0"/>
            <w:vAlign w:val="top"/>
          </w:tcPr>
          <w:p w14:paraId="2D9C562B">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p>
        </w:tc>
        <w:tc>
          <w:tcPr>
            <w:tcW w:w="1132" w:type="dxa"/>
            <w:noWrap w:val="0"/>
            <w:vAlign w:val="top"/>
          </w:tcPr>
          <w:p w14:paraId="2EC39A73">
            <w:pPr>
              <w:pStyle w:val="18"/>
              <w:widowControl w:val="0"/>
              <w:jc w:val="both"/>
              <w:rPr>
                <w:rFonts w:hint="default" w:eastAsia="宋体"/>
                <w:color w:val="auto"/>
                <w:sz w:val="21"/>
                <w:szCs w:val="21"/>
                <w:highlight w:val="none"/>
                <w:vertAlign w:val="baseline"/>
                <w:lang w:eastAsia="zh-CN"/>
              </w:rPr>
            </w:pPr>
          </w:p>
        </w:tc>
        <w:tc>
          <w:tcPr>
            <w:tcW w:w="1416" w:type="dxa"/>
            <w:noWrap w:val="0"/>
            <w:vAlign w:val="top"/>
          </w:tcPr>
          <w:p w14:paraId="51AC4E68">
            <w:pPr>
              <w:pStyle w:val="18"/>
              <w:widowControl w:val="0"/>
              <w:jc w:val="both"/>
              <w:rPr>
                <w:rFonts w:hint="default" w:eastAsia="宋体"/>
                <w:color w:val="auto"/>
                <w:sz w:val="21"/>
                <w:szCs w:val="21"/>
                <w:highlight w:val="none"/>
                <w:vertAlign w:val="baseline"/>
                <w:lang w:eastAsia="zh-CN"/>
              </w:rPr>
            </w:pPr>
          </w:p>
        </w:tc>
      </w:tr>
      <w:tr w14:paraId="12C81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0470D001">
            <w:pPr>
              <w:pStyle w:val="18"/>
              <w:widowControl w:val="0"/>
              <w:jc w:val="center"/>
              <w:rPr>
                <w:rFonts w:hint="default" w:eastAsia="宋体"/>
                <w:color w:val="auto"/>
                <w:sz w:val="21"/>
                <w:szCs w:val="21"/>
                <w:highlight w:val="none"/>
                <w:vertAlign w:val="baseline"/>
                <w:lang w:val="en-US" w:eastAsia="zh-CN"/>
              </w:rPr>
            </w:pPr>
          </w:p>
        </w:tc>
        <w:tc>
          <w:tcPr>
            <w:tcW w:w="5153" w:type="dxa"/>
            <w:noWrap w:val="0"/>
            <w:vAlign w:val="top"/>
          </w:tcPr>
          <w:p w14:paraId="0C77537D">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p>
        </w:tc>
        <w:tc>
          <w:tcPr>
            <w:tcW w:w="1132" w:type="dxa"/>
            <w:noWrap w:val="0"/>
            <w:vAlign w:val="top"/>
          </w:tcPr>
          <w:p w14:paraId="2332C7B0">
            <w:pPr>
              <w:pStyle w:val="18"/>
              <w:widowControl w:val="0"/>
              <w:jc w:val="both"/>
              <w:rPr>
                <w:rFonts w:hint="default" w:eastAsia="宋体"/>
                <w:color w:val="auto"/>
                <w:sz w:val="21"/>
                <w:szCs w:val="21"/>
                <w:highlight w:val="none"/>
                <w:vertAlign w:val="baseline"/>
                <w:lang w:eastAsia="zh-CN"/>
              </w:rPr>
            </w:pPr>
          </w:p>
        </w:tc>
        <w:tc>
          <w:tcPr>
            <w:tcW w:w="1416" w:type="dxa"/>
            <w:noWrap w:val="0"/>
            <w:vAlign w:val="top"/>
          </w:tcPr>
          <w:p w14:paraId="0F9CD98C">
            <w:pPr>
              <w:pStyle w:val="18"/>
              <w:widowControl w:val="0"/>
              <w:jc w:val="both"/>
              <w:rPr>
                <w:rFonts w:hint="default" w:eastAsia="宋体"/>
                <w:color w:val="auto"/>
                <w:sz w:val="21"/>
                <w:szCs w:val="21"/>
                <w:highlight w:val="none"/>
                <w:vertAlign w:val="baseline"/>
                <w:lang w:eastAsia="zh-CN"/>
              </w:rPr>
            </w:pPr>
          </w:p>
        </w:tc>
      </w:tr>
    </w:tbl>
    <w:p w14:paraId="6459512F">
      <w:pPr>
        <w:spacing w:before="91" w:line="221" w:lineRule="auto"/>
        <w:jc w:val="both"/>
        <w:outlineLvl w:val="1"/>
        <w:rPr>
          <w:rFonts w:hint="eastAsia"/>
          <w:b/>
          <w:bCs/>
          <w:color w:val="auto"/>
          <w:highlight w:val="none"/>
          <w:lang w:val="en-US" w:eastAsia="zh-CN"/>
        </w:rPr>
      </w:pPr>
    </w:p>
    <w:p w14:paraId="7E163482">
      <w:pPr>
        <w:spacing w:before="231" w:line="229" w:lineRule="auto"/>
        <w:ind w:firstLine="462" w:firstLineChars="200"/>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lang w:val="en-US" w:eastAsia="zh-CN"/>
        </w:rPr>
        <w:t>注：</w:t>
      </w:r>
      <w:r>
        <w:rPr>
          <w:rFonts w:hint="default" w:ascii="宋体" w:hAnsi="宋体" w:eastAsia="宋体" w:cs="宋体"/>
          <w:b/>
          <w:bCs/>
          <w:color w:val="auto"/>
          <w:sz w:val="23"/>
          <w:szCs w:val="23"/>
          <w:highlight w:val="none"/>
          <w:lang w:val="en-US" w:eastAsia="zh-CN"/>
        </w:rPr>
        <w:t>投标人须对招标文件所列的商务及技术要求进行</w:t>
      </w:r>
      <w:r>
        <w:rPr>
          <w:rFonts w:hint="eastAsia" w:ascii="宋体" w:hAnsi="宋体" w:eastAsia="宋体" w:cs="宋体"/>
          <w:b/>
          <w:bCs/>
          <w:color w:val="auto"/>
          <w:sz w:val="23"/>
          <w:szCs w:val="23"/>
          <w:highlight w:val="none"/>
          <w:lang w:val="en-US" w:eastAsia="zh-CN"/>
        </w:rPr>
        <w:t>逐一审查</w:t>
      </w:r>
      <w:r>
        <w:rPr>
          <w:rFonts w:hint="default" w:ascii="宋体" w:hAnsi="宋体" w:eastAsia="宋体" w:cs="宋体"/>
          <w:b/>
          <w:bCs/>
          <w:color w:val="auto"/>
          <w:sz w:val="23"/>
          <w:szCs w:val="23"/>
          <w:highlight w:val="none"/>
          <w:lang w:val="en-US" w:eastAsia="zh-CN"/>
        </w:rPr>
        <w:t>。凡对招标文件要求存在正偏离或负偏离的，均须在上述表格中逐一列明。未列明偏离的，将被视为完全响应并满足招标文件的各项要求。投标人因未尽</w:t>
      </w:r>
      <w:r>
        <w:rPr>
          <w:rFonts w:hint="eastAsia" w:ascii="宋体" w:hAnsi="宋体" w:eastAsia="宋体" w:cs="宋体"/>
          <w:b/>
          <w:bCs/>
          <w:color w:val="auto"/>
          <w:sz w:val="23"/>
          <w:szCs w:val="23"/>
          <w:highlight w:val="none"/>
          <w:lang w:val="en-US" w:eastAsia="zh-CN"/>
        </w:rPr>
        <w:t>审查</w:t>
      </w:r>
      <w:r>
        <w:rPr>
          <w:rFonts w:hint="default" w:ascii="宋体" w:hAnsi="宋体" w:eastAsia="宋体" w:cs="宋体"/>
          <w:b/>
          <w:bCs/>
          <w:color w:val="auto"/>
          <w:sz w:val="23"/>
          <w:szCs w:val="23"/>
          <w:highlight w:val="none"/>
          <w:lang w:val="en-US" w:eastAsia="zh-CN"/>
        </w:rPr>
        <w:t>义务，或因所报价格及方案缺陷，导致中标后无法按约供货及安装的，招标人有权单方解除合同，且投标人须承担相应的违约责任及由此造成的一切损失。</w:t>
      </w:r>
    </w:p>
    <w:p w14:paraId="2910E6E6">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E4052EB">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D0033F6">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BBB0C93">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83D15A2">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07E58609">
      <w:pPr>
        <w:spacing w:before="91" w:line="221" w:lineRule="auto"/>
        <w:ind w:left="578"/>
        <w:jc w:val="both"/>
        <w:outlineLvl w:val="1"/>
        <w:rPr>
          <w:rFonts w:hint="eastAsia" w:ascii="宋体" w:hAnsi="宋体" w:eastAsia="宋体" w:cs="宋体"/>
          <w:color w:val="auto"/>
          <w:sz w:val="28"/>
          <w:szCs w:val="28"/>
          <w:highlight w:val="none"/>
        </w:rPr>
      </w:pPr>
    </w:p>
    <w:p w14:paraId="769504B1">
      <w:pPr>
        <w:spacing w:before="91" w:line="221" w:lineRule="auto"/>
        <w:ind w:left="578"/>
        <w:jc w:val="both"/>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column"/>
      </w:r>
      <w:r>
        <w:rPr>
          <w:rFonts w:hint="eastAsia" w:ascii="宋体" w:hAnsi="宋体" w:eastAsia="宋体" w:cs="宋体"/>
          <w:color w:val="auto"/>
          <w:sz w:val="28"/>
          <w:szCs w:val="28"/>
          <w:highlight w:val="none"/>
        </w:rPr>
        <w:t>格式七：投标人基本情况</w:t>
      </w:r>
    </w:p>
    <w:p w14:paraId="49E2928D">
      <w:pPr>
        <w:spacing w:line="360" w:lineRule="auto"/>
        <w:jc w:val="center"/>
        <w:outlineLvl w:val="0"/>
        <w:rPr>
          <w:rFonts w:hint="eastAsia" w:ascii="宋体" w:hAnsi="宋体" w:eastAsia="宋体" w:cs="宋体"/>
          <w:b/>
          <w:bCs/>
          <w:color w:val="auto"/>
          <w:highlight w:val="none"/>
        </w:rPr>
      </w:pPr>
      <w:r>
        <w:rPr>
          <w:rFonts w:hint="eastAsia" w:ascii="宋体" w:hAnsi="宋体" w:eastAsia="宋体" w:cs="宋体"/>
          <w:b/>
          <w:bCs/>
          <w:color w:val="auto"/>
          <w:highlight w:val="none"/>
        </w:rPr>
        <w:t>投标人基本情况</w:t>
      </w:r>
    </w:p>
    <w:p w14:paraId="6AE36312">
      <w:pPr>
        <w:spacing w:line="360" w:lineRule="auto"/>
        <w:ind w:firstLine="316" w:firstLineChars="150"/>
        <w:jc w:val="center"/>
        <w:rPr>
          <w:rFonts w:hint="eastAsia" w:ascii="宋体" w:hAnsi="宋体" w:eastAsia="宋体" w:cs="宋体"/>
          <w:b/>
          <w:bCs/>
          <w:color w:val="auto"/>
          <w:highlight w:val="none"/>
        </w:rPr>
      </w:pPr>
    </w:p>
    <w:tbl>
      <w:tblPr>
        <w:tblStyle w:val="27"/>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14:paraId="57783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F7517B4">
            <w:pPr>
              <w:rPr>
                <w:rFonts w:hint="eastAsia" w:ascii="宋体" w:hAnsi="宋体" w:eastAsia="宋体" w:cs="宋体"/>
                <w:color w:val="auto"/>
                <w:highlight w:val="none"/>
              </w:rPr>
            </w:pPr>
            <w:r>
              <w:rPr>
                <w:rFonts w:hint="eastAsia" w:ascii="宋体" w:hAnsi="宋体" w:eastAsia="宋体" w:cs="宋体"/>
                <w:color w:val="auto"/>
                <w:highlight w:val="none"/>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14:paraId="4E3DC522">
            <w:pPr>
              <w:rPr>
                <w:rFonts w:hint="eastAsia" w:ascii="宋体" w:hAnsi="宋体" w:eastAsia="宋体" w:cs="宋体"/>
                <w:color w:val="auto"/>
                <w:highlight w:val="none"/>
              </w:rPr>
            </w:pPr>
          </w:p>
        </w:tc>
      </w:tr>
      <w:tr w14:paraId="257CF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0945E9E">
            <w:pPr>
              <w:rPr>
                <w:rFonts w:hint="eastAsia" w:ascii="宋体" w:hAnsi="宋体" w:eastAsia="宋体" w:cs="宋体"/>
                <w:color w:val="auto"/>
                <w:highlight w:val="none"/>
              </w:rPr>
            </w:pPr>
            <w:r>
              <w:rPr>
                <w:rFonts w:hint="eastAsia" w:ascii="宋体" w:hAnsi="宋体" w:eastAsia="宋体" w:cs="宋体"/>
                <w:color w:val="auto"/>
                <w:highlight w:val="none"/>
              </w:rPr>
              <w:t>注册地址</w:t>
            </w:r>
          </w:p>
        </w:tc>
        <w:tc>
          <w:tcPr>
            <w:tcW w:w="3402" w:type="dxa"/>
            <w:gridSpan w:val="3"/>
            <w:tcBorders>
              <w:top w:val="single" w:color="auto" w:sz="4" w:space="0"/>
              <w:left w:val="nil"/>
              <w:bottom w:val="single" w:color="auto" w:sz="4" w:space="0"/>
              <w:right w:val="single" w:color="auto" w:sz="4" w:space="0"/>
            </w:tcBorders>
            <w:noWrap/>
            <w:vAlign w:val="center"/>
          </w:tcPr>
          <w:p w14:paraId="3B421255">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7E655596">
            <w:pP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2552" w:type="dxa"/>
            <w:gridSpan w:val="3"/>
            <w:tcBorders>
              <w:top w:val="single" w:color="auto" w:sz="4" w:space="0"/>
              <w:left w:val="nil"/>
              <w:bottom w:val="single" w:color="auto" w:sz="4" w:space="0"/>
              <w:right w:val="single" w:color="auto" w:sz="4" w:space="0"/>
            </w:tcBorders>
            <w:noWrap/>
            <w:vAlign w:val="center"/>
          </w:tcPr>
          <w:p w14:paraId="21C12D63">
            <w:pPr>
              <w:rPr>
                <w:rFonts w:hint="eastAsia" w:ascii="宋体" w:hAnsi="宋体" w:eastAsia="宋体" w:cs="宋体"/>
                <w:color w:val="auto"/>
                <w:highlight w:val="none"/>
              </w:rPr>
            </w:pPr>
          </w:p>
        </w:tc>
      </w:tr>
      <w:tr w14:paraId="32D0C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14:paraId="1633F789">
            <w:pPr>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993" w:type="dxa"/>
            <w:tcBorders>
              <w:top w:val="single" w:color="auto" w:sz="4" w:space="0"/>
              <w:left w:val="nil"/>
              <w:bottom w:val="single" w:color="auto" w:sz="4" w:space="0"/>
              <w:right w:val="single" w:color="auto" w:sz="4" w:space="0"/>
            </w:tcBorders>
            <w:noWrap/>
            <w:vAlign w:val="center"/>
          </w:tcPr>
          <w:p w14:paraId="18DD9B0C">
            <w:pP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2409" w:type="dxa"/>
            <w:gridSpan w:val="2"/>
            <w:tcBorders>
              <w:top w:val="single" w:color="auto" w:sz="4" w:space="0"/>
              <w:left w:val="nil"/>
              <w:bottom w:val="single" w:color="auto" w:sz="4" w:space="0"/>
              <w:right w:val="single" w:color="auto" w:sz="4" w:space="0"/>
            </w:tcBorders>
            <w:noWrap/>
            <w:vAlign w:val="center"/>
          </w:tcPr>
          <w:p w14:paraId="51EF262E">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3E97B7AB">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2552" w:type="dxa"/>
            <w:gridSpan w:val="3"/>
            <w:tcBorders>
              <w:top w:val="single" w:color="auto" w:sz="4" w:space="0"/>
              <w:left w:val="nil"/>
              <w:bottom w:val="single" w:color="auto" w:sz="4" w:space="0"/>
              <w:right w:val="single" w:color="auto" w:sz="4" w:space="0"/>
            </w:tcBorders>
            <w:noWrap/>
            <w:vAlign w:val="center"/>
          </w:tcPr>
          <w:p w14:paraId="78696EC0">
            <w:pPr>
              <w:rPr>
                <w:rFonts w:hint="eastAsia" w:ascii="宋体" w:hAnsi="宋体" w:eastAsia="宋体" w:cs="宋体"/>
                <w:color w:val="auto"/>
                <w:highlight w:val="none"/>
              </w:rPr>
            </w:pPr>
          </w:p>
        </w:tc>
      </w:tr>
      <w:tr w14:paraId="1C4A3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noWrap w:val="0"/>
            <w:vAlign w:val="center"/>
          </w:tcPr>
          <w:p w14:paraId="0D948C0B">
            <w:pPr>
              <w:autoSpaceDE/>
              <w:autoSpaceDN/>
              <w:adjustRightInd/>
              <w:rPr>
                <w:rFonts w:hint="eastAsia" w:ascii="宋体" w:hAnsi="宋体" w:eastAsia="宋体" w:cs="宋体"/>
                <w:color w:val="auto"/>
                <w:highlight w:val="none"/>
              </w:rPr>
            </w:pPr>
          </w:p>
        </w:tc>
        <w:tc>
          <w:tcPr>
            <w:tcW w:w="993" w:type="dxa"/>
            <w:tcBorders>
              <w:top w:val="single" w:color="auto" w:sz="4" w:space="0"/>
              <w:left w:val="nil"/>
              <w:bottom w:val="single" w:color="auto" w:sz="4" w:space="0"/>
              <w:right w:val="single" w:color="auto" w:sz="4" w:space="0"/>
            </w:tcBorders>
            <w:noWrap/>
            <w:vAlign w:val="center"/>
          </w:tcPr>
          <w:p w14:paraId="131DBD11">
            <w:pPr>
              <w:rPr>
                <w:rFonts w:hint="eastAsia" w:ascii="宋体" w:hAnsi="宋体" w:eastAsia="宋体" w:cs="宋体"/>
                <w:color w:val="auto"/>
                <w:highlight w:val="none"/>
              </w:rPr>
            </w:pPr>
            <w:r>
              <w:rPr>
                <w:rFonts w:hint="eastAsia" w:ascii="宋体" w:hAnsi="宋体" w:eastAsia="宋体" w:cs="宋体"/>
                <w:color w:val="auto"/>
                <w:highlight w:val="none"/>
              </w:rPr>
              <w:t>传真</w:t>
            </w:r>
          </w:p>
        </w:tc>
        <w:tc>
          <w:tcPr>
            <w:tcW w:w="2409" w:type="dxa"/>
            <w:gridSpan w:val="2"/>
            <w:tcBorders>
              <w:top w:val="single" w:color="auto" w:sz="4" w:space="0"/>
              <w:left w:val="nil"/>
              <w:bottom w:val="single" w:color="auto" w:sz="4" w:space="0"/>
              <w:right w:val="single" w:color="auto" w:sz="4" w:space="0"/>
            </w:tcBorders>
            <w:noWrap/>
            <w:vAlign w:val="center"/>
          </w:tcPr>
          <w:p w14:paraId="1162B0CE">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30641B42">
            <w:pPr>
              <w:rPr>
                <w:rFonts w:hint="eastAsia" w:ascii="宋体" w:hAnsi="宋体" w:eastAsia="宋体" w:cs="宋体"/>
                <w:color w:val="auto"/>
                <w:highlight w:val="none"/>
              </w:rPr>
            </w:pPr>
            <w:r>
              <w:rPr>
                <w:rFonts w:hint="eastAsia" w:ascii="宋体" w:hAnsi="宋体" w:eastAsia="宋体" w:cs="宋体"/>
                <w:color w:val="auto"/>
                <w:highlight w:val="none"/>
              </w:rPr>
              <w:t>网址</w:t>
            </w:r>
          </w:p>
        </w:tc>
        <w:tc>
          <w:tcPr>
            <w:tcW w:w="2552" w:type="dxa"/>
            <w:gridSpan w:val="3"/>
            <w:tcBorders>
              <w:top w:val="single" w:color="auto" w:sz="4" w:space="0"/>
              <w:left w:val="nil"/>
              <w:bottom w:val="single" w:color="auto" w:sz="4" w:space="0"/>
              <w:right w:val="single" w:color="auto" w:sz="4" w:space="0"/>
            </w:tcBorders>
            <w:noWrap/>
            <w:vAlign w:val="center"/>
          </w:tcPr>
          <w:p w14:paraId="24A3E7D0">
            <w:pPr>
              <w:rPr>
                <w:rFonts w:hint="eastAsia" w:ascii="宋体" w:hAnsi="宋体" w:eastAsia="宋体" w:cs="宋体"/>
                <w:color w:val="auto"/>
                <w:highlight w:val="none"/>
              </w:rPr>
            </w:pPr>
          </w:p>
        </w:tc>
      </w:tr>
      <w:tr w14:paraId="4D905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7324676">
            <w:pPr>
              <w:rPr>
                <w:rFonts w:hint="eastAsia" w:ascii="宋体" w:hAnsi="宋体" w:eastAsia="宋体" w:cs="宋体"/>
                <w:color w:val="auto"/>
                <w:highlight w:val="none"/>
              </w:rPr>
            </w:pPr>
            <w:r>
              <w:rPr>
                <w:rFonts w:hint="eastAsia" w:ascii="宋体" w:hAnsi="宋体" w:eastAsia="宋体" w:cs="宋体"/>
                <w:color w:val="auto"/>
                <w:highlight w:val="none"/>
              </w:rPr>
              <w:t>组织结构</w:t>
            </w:r>
          </w:p>
        </w:tc>
        <w:tc>
          <w:tcPr>
            <w:tcW w:w="7343" w:type="dxa"/>
            <w:gridSpan w:val="7"/>
            <w:tcBorders>
              <w:top w:val="single" w:color="auto" w:sz="4" w:space="0"/>
              <w:left w:val="nil"/>
              <w:bottom w:val="single" w:color="auto" w:sz="4" w:space="0"/>
              <w:right w:val="single" w:color="auto" w:sz="4" w:space="0"/>
            </w:tcBorders>
            <w:noWrap/>
            <w:vAlign w:val="center"/>
          </w:tcPr>
          <w:p w14:paraId="5CA3CBBC">
            <w:pPr>
              <w:rPr>
                <w:rFonts w:hint="eastAsia" w:ascii="宋体" w:hAnsi="宋体" w:eastAsia="宋体" w:cs="宋体"/>
                <w:color w:val="auto"/>
                <w:highlight w:val="none"/>
              </w:rPr>
            </w:pPr>
          </w:p>
        </w:tc>
      </w:tr>
      <w:tr w14:paraId="423B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97D3255">
            <w:pP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993" w:type="dxa"/>
            <w:tcBorders>
              <w:top w:val="single" w:color="auto" w:sz="4" w:space="0"/>
              <w:left w:val="nil"/>
              <w:bottom w:val="single" w:color="auto" w:sz="4" w:space="0"/>
              <w:right w:val="single" w:color="auto" w:sz="4" w:space="0"/>
            </w:tcBorders>
            <w:noWrap/>
            <w:vAlign w:val="center"/>
          </w:tcPr>
          <w:p w14:paraId="0EEE5473">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5F730BB7">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750BA34C">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4494DE83">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43F4DAF2">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11EAF3F8">
            <w:pPr>
              <w:rPr>
                <w:rFonts w:hint="eastAsia" w:ascii="宋体" w:hAnsi="宋体" w:eastAsia="宋体" w:cs="宋体"/>
                <w:color w:val="auto"/>
                <w:highlight w:val="none"/>
              </w:rPr>
            </w:pPr>
          </w:p>
        </w:tc>
      </w:tr>
      <w:tr w14:paraId="19B31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5831D6D2">
            <w:pPr>
              <w:rPr>
                <w:rFonts w:hint="eastAsia" w:ascii="宋体" w:hAnsi="宋体" w:eastAsia="宋体" w:cs="宋体"/>
                <w:color w:val="auto"/>
                <w:highlight w:val="none"/>
              </w:rPr>
            </w:pPr>
            <w:r>
              <w:rPr>
                <w:rFonts w:hint="eastAsia" w:ascii="宋体" w:hAnsi="宋体" w:eastAsia="宋体" w:cs="宋体"/>
                <w:color w:val="auto"/>
                <w:highlight w:val="none"/>
              </w:rPr>
              <w:t>技术负责人</w:t>
            </w:r>
          </w:p>
        </w:tc>
        <w:tc>
          <w:tcPr>
            <w:tcW w:w="993" w:type="dxa"/>
            <w:tcBorders>
              <w:top w:val="single" w:color="auto" w:sz="4" w:space="0"/>
              <w:left w:val="nil"/>
              <w:bottom w:val="single" w:color="auto" w:sz="4" w:space="0"/>
              <w:right w:val="single" w:color="auto" w:sz="4" w:space="0"/>
            </w:tcBorders>
            <w:noWrap/>
            <w:vAlign w:val="center"/>
          </w:tcPr>
          <w:p w14:paraId="1700843D">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38C9E6AE">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7743A796">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0C65E8B6">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4AEC549D">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71A2911C">
            <w:pPr>
              <w:rPr>
                <w:rFonts w:hint="eastAsia" w:ascii="宋体" w:hAnsi="宋体" w:eastAsia="宋体" w:cs="宋体"/>
                <w:color w:val="auto"/>
                <w:highlight w:val="none"/>
              </w:rPr>
            </w:pPr>
          </w:p>
        </w:tc>
      </w:tr>
      <w:tr w14:paraId="4B617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55AEC4C">
            <w:pPr>
              <w:rPr>
                <w:rFonts w:hint="eastAsia" w:ascii="宋体" w:hAnsi="宋体" w:eastAsia="宋体" w:cs="宋体"/>
                <w:color w:val="auto"/>
                <w:highlight w:val="none"/>
              </w:rPr>
            </w:pPr>
            <w:r>
              <w:rPr>
                <w:rFonts w:hint="eastAsia" w:ascii="宋体" w:hAnsi="宋体" w:eastAsia="宋体" w:cs="宋体"/>
                <w:color w:val="auto"/>
                <w:highlight w:val="none"/>
              </w:rPr>
              <w:t>成立时间</w:t>
            </w:r>
          </w:p>
        </w:tc>
        <w:tc>
          <w:tcPr>
            <w:tcW w:w="2127" w:type="dxa"/>
            <w:gridSpan w:val="2"/>
            <w:tcBorders>
              <w:top w:val="single" w:color="auto" w:sz="4" w:space="0"/>
              <w:left w:val="nil"/>
              <w:bottom w:val="single" w:color="auto" w:sz="4" w:space="0"/>
              <w:right w:val="single" w:color="auto" w:sz="4" w:space="0"/>
            </w:tcBorders>
            <w:noWrap/>
            <w:vAlign w:val="center"/>
          </w:tcPr>
          <w:p w14:paraId="3E28A8A3">
            <w:pPr>
              <w:rPr>
                <w:rFonts w:hint="eastAsia" w:ascii="宋体" w:hAnsi="宋体" w:eastAsia="宋体" w:cs="宋体"/>
                <w:color w:val="auto"/>
                <w:highlight w:val="none"/>
              </w:rPr>
            </w:pPr>
          </w:p>
        </w:tc>
        <w:tc>
          <w:tcPr>
            <w:tcW w:w="5216" w:type="dxa"/>
            <w:gridSpan w:val="5"/>
            <w:tcBorders>
              <w:top w:val="single" w:color="auto" w:sz="4" w:space="0"/>
              <w:left w:val="nil"/>
              <w:bottom w:val="single" w:color="auto" w:sz="4" w:space="0"/>
              <w:right w:val="single" w:color="auto" w:sz="4" w:space="0"/>
            </w:tcBorders>
            <w:noWrap/>
            <w:vAlign w:val="center"/>
          </w:tcPr>
          <w:p w14:paraId="2769A81D">
            <w:pPr>
              <w:rPr>
                <w:rFonts w:hint="eastAsia" w:ascii="宋体" w:hAnsi="宋体" w:eastAsia="宋体" w:cs="宋体"/>
                <w:color w:val="auto"/>
                <w:highlight w:val="none"/>
              </w:rPr>
            </w:pPr>
            <w:r>
              <w:rPr>
                <w:rFonts w:hint="eastAsia" w:ascii="宋体" w:hAnsi="宋体" w:eastAsia="宋体" w:cs="宋体"/>
                <w:color w:val="auto"/>
                <w:highlight w:val="none"/>
              </w:rPr>
              <w:t>员工总人数：</w:t>
            </w:r>
          </w:p>
        </w:tc>
      </w:tr>
      <w:tr w14:paraId="634AF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E424959">
            <w:pPr>
              <w:rPr>
                <w:rFonts w:hint="eastAsia" w:ascii="宋体" w:hAnsi="宋体" w:eastAsia="宋体" w:cs="宋体"/>
                <w:color w:val="auto"/>
                <w:highlight w:val="none"/>
              </w:rPr>
            </w:pPr>
            <w:r>
              <w:rPr>
                <w:rFonts w:hint="eastAsia" w:ascii="宋体" w:hAnsi="宋体" w:eastAsia="宋体" w:cs="宋体"/>
                <w:color w:val="auto"/>
                <w:highlight w:val="none"/>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14:paraId="5E6D91F4">
            <w:pPr>
              <w:rPr>
                <w:rFonts w:hint="eastAsia" w:ascii="宋体" w:hAnsi="宋体" w:eastAsia="宋体" w:cs="宋体"/>
                <w:color w:val="auto"/>
                <w:highlight w:val="none"/>
              </w:rPr>
            </w:pPr>
          </w:p>
        </w:tc>
        <w:tc>
          <w:tcPr>
            <w:tcW w:w="1275" w:type="dxa"/>
            <w:vMerge w:val="restart"/>
            <w:tcBorders>
              <w:top w:val="nil"/>
              <w:left w:val="nil"/>
              <w:bottom w:val="single" w:color="auto" w:sz="4" w:space="0"/>
              <w:right w:val="single" w:color="auto" w:sz="4" w:space="0"/>
            </w:tcBorders>
            <w:noWrap/>
            <w:vAlign w:val="center"/>
          </w:tcPr>
          <w:p w14:paraId="2475826A">
            <w:pPr>
              <w:rPr>
                <w:rFonts w:hint="eastAsia" w:ascii="宋体" w:hAnsi="宋体" w:eastAsia="宋体" w:cs="宋体"/>
                <w:color w:val="auto"/>
                <w:highlight w:val="none"/>
              </w:rPr>
            </w:pPr>
            <w:r>
              <w:rPr>
                <w:rFonts w:hint="eastAsia" w:ascii="宋体" w:hAnsi="宋体" w:eastAsia="宋体" w:cs="宋体"/>
                <w:color w:val="auto"/>
                <w:highlight w:val="none"/>
              </w:rPr>
              <w:t>其中</w:t>
            </w:r>
          </w:p>
        </w:tc>
        <w:tc>
          <w:tcPr>
            <w:tcW w:w="1562" w:type="dxa"/>
            <w:gridSpan w:val="2"/>
            <w:tcBorders>
              <w:top w:val="single" w:color="auto" w:sz="4" w:space="0"/>
              <w:left w:val="nil"/>
              <w:bottom w:val="single" w:color="auto" w:sz="4" w:space="0"/>
              <w:right w:val="single" w:color="auto" w:sz="4" w:space="0"/>
            </w:tcBorders>
            <w:noWrap/>
            <w:vAlign w:val="center"/>
          </w:tcPr>
          <w:p w14:paraId="35B33724">
            <w:pPr>
              <w:rPr>
                <w:rFonts w:hint="eastAsia" w:ascii="宋体" w:hAnsi="宋体" w:eastAsia="宋体" w:cs="宋体"/>
                <w:color w:val="auto"/>
                <w:highlight w:val="none"/>
              </w:rPr>
            </w:pPr>
            <w:r>
              <w:rPr>
                <w:rFonts w:hint="eastAsia" w:ascii="宋体" w:hAnsi="宋体" w:eastAsia="宋体" w:cs="宋体"/>
                <w:color w:val="auto"/>
                <w:highlight w:val="none"/>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14:paraId="426A8201">
            <w:pPr>
              <w:rPr>
                <w:rFonts w:hint="eastAsia" w:ascii="宋体" w:hAnsi="宋体" w:eastAsia="宋体" w:cs="宋体"/>
                <w:color w:val="auto"/>
                <w:highlight w:val="none"/>
              </w:rPr>
            </w:pPr>
          </w:p>
        </w:tc>
      </w:tr>
      <w:tr w14:paraId="7966A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4765C46">
            <w:pPr>
              <w:rPr>
                <w:rFonts w:hint="eastAsia" w:ascii="宋体" w:hAnsi="宋体" w:eastAsia="宋体" w:cs="宋体"/>
                <w:color w:val="auto"/>
                <w:highlight w:val="none"/>
              </w:rPr>
            </w:pPr>
            <w:r>
              <w:rPr>
                <w:rFonts w:hint="eastAsia" w:ascii="宋体" w:hAnsi="宋体" w:eastAsia="宋体" w:cs="宋体"/>
                <w:color w:val="auto"/>
                <w:highlight w:val="none"/>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14:paraId="3C10DBB2">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271160AA">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23409CF1">
            <w:pPr>
              <w:rPr>
                <w:rFonts w:hint="eastAsia" w:ascii="宋体" w:hAnsi="宋体" w:eastAsia="宋体" w:cs="宋体"/>
                <w:color w:val="auto"/>
                <w:highlight w:val="none"/>
              </w:rPr>
            </w:pPr>
            <w:r>
              <w:rPr>
                <w:rFonts w:hint="eastAsia" w:ascii="宋体" w:hAnsi="宋体" w:eastAsia="宋体" w:cs="宋体"/>
                <w:color w:val="auto"/>
                <w:highlight w:val="none"/>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15664546">
            <w:pPr>
              <w:rPr>
                <w:rFonts w:hint="eastAsia" w:ascii="宋体" w:hAnsi="宋体" w:eastAsia="宋体" w:cs="宋体"/>
                <w:color w:val="auto"/>
                <w:highlight w:val="none"/>
              </w:rPr>
            </w:pPr>
          </w:p>
        </w:tc>
      </w:tr>
      <w:tr w14:paraId="678F5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CD28133">
            <w:pPr>
              <w:rPr>
                <w:rFonts w:hint="eastAsia" w:ascii="宋体" w:hAnsi="宋体" w:eastAsia="宋体" w:cs="宋体"/>
                <w:color w:val="auto"/>
                <w:highlight w:val="none"/>
              </w:rPr>
            </w:pPr>
            <w:r>
              <w:rPr>
                <w:rFonts w:hint="eastAsia" w:ascii="宋体" w:hAnsi="宋体" w:eastAsia="宋体" w:cs="宋体"/>
                <w:color w:val="auto"/>
                <w:highlight w:val="none"/>
              </w:rPr>
              <w:t>注册资金</w:t>
            </w:r>
          </w:p>
        </w:tc>
        <w:tc>
          <w:tcPr>
            <w:tcW w:w="2127" w:type="dxa"/>
            <w:gridSpan w:val="2"/>
            <w:tcBorders>
              <w:top w:val="single" w:color="auto" w:sz="4" w:space="0"/>
              <w:left w:val="nil"/>
              <w:bottom w:val="single" w:color="auto" w:sz="4" w:space="0"/>
              <w:right w:val="single" w:color="auto" w:sz="4" w:space="0"/>
            </w:tcBorders>
            <w:noWrap/>
            <w:vAlign w:val="center"/>
          </w:tcPr>
          <w:p w14:paraId="02010523">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20F8D882">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59731C36">
            <w:pPr>
              <w:rPr>
                <w:rFonts w:hint="eastAsia" w:ascii="宋体" w:hAnsi="宋体" w:eastAsia="宋体" w:cs="宋体"/>
                <w:color w:val="auto"/>
                <w:highlight w:val="none"/>
              </w:rPr>
            </w:pPr>
            <w:r>
              <w:rPr>
                <w:rFonts w:hint="eastAsia" w:ascii="宋体" w:hAnsi="宋体" w:eastAsia="宋体" w:cs="宋体"/>
                <w:color w:val="auto"/>
                <w:highlight w:val="none"/>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2ACF6AEC">
            <w:pPr>
              <w:rPr>
                <w:rFonts w:hint="eastAsia" w:ascii="宋体" w:hAnsi="宋体" w:eastAsia="宋体" w:cs="宋体"/>
                <w:color w:val="auto"/>
                <w:highlight w:val="none"/>
              </w:rPr>
            </w:pPr>
          </w:p>
        </w:tc>
      </w:tr>
      <w:tr w14:paraId="1C12E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C98F607">
            <w:pP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2127" w:type="dxa"/>
            <w:gridSpan w:val="2"/>
            <w:tcBorders>
              <w:top w:val="single" w:color="auto" w:sz="4" w:space="0"/>
              <w:left w:val="nil"/>
              <w:bottom w:val="single" w:color="auto" w:sz="4" w:space="0"/>
              <w:right w:val="single" w:color="auto" w:sz="4" w:space="0"/>
            </w:tcBorders>
            <w:noWrap/>
            <w:vAlign w:val="center"/>
          </w:tcPr>
          <w:p w14:paraId="12BD563C">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7FAAABDE">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30757300">
            <w:pPr>
              <w:rPr>
                <w:rFonts w:hint="eastAsia" w:ascii="宋体" w:hAnsi="宋体" w:eastAsia="宋体" w:cs="宋体"/>
                <w:color w:val="auto"/>
                <w:highlight w:val="none"/>
              </w:rPr>
            </w:pPr>
            <w:r>
              <w:rPr>
                <w:rFonts w:hint="eastAsia" w:ascii="宋体" w:hAnsi="宋体" w:eastAsia="宋体" w:cs="宋体"/>
                <w:color w:val="auto"/>
                <w:highlight w:val="none"/>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1FC12A54">
            <w:pPr>
              <w:rPr>
                <w:rFonts w:hint="eastAsia" w:ascii="宋体" w:hAnsi="宋体" w:eastAsia="宋体" w:cs="宋体"/>
                <w:color w:val="auto"/>
                <w:highlight w:val="none"/>
              </w:rPr>
            </w:pPr>
          </w:p>
        </w:tc>
      </w:tr>
      <w:tr w14:paraId="44151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B4C17B6">
            <w:pPr>
              <w:rPr>
                <w:rFonts w:hint="eastAsia" w:ascii="宋体" w:hAnsi="宋体" w:eastAsia="宋体" w:cs="宋体"/>
                <w:color w:val="auto"/>
                <w:highlight w:val="none"/>
              </w:rPr>
            </w:pPr>
            <w:r>
              <w:rPr>
                <w:rFonts w:hint="eastAsia" w:ascii="宋体" w:hAnsi="宋体" w:eastAsia="宋体" w:cs="宋体"/>
                <w:color w:val="auto"/>
                <w:highlight w:val="none"/>
              </w:rPr>
              <w:t>账号</w:t>
            </w:r>
          </w:p>
        </w:tc>
        <w:tc>
          <w:tcPr>
            <w:tcW w:w="2127" w:type="dxa"/>
            <w:gridSpan w:val="2"/>
            <w:tcBorders>
              <w:top w:val="single" w:color="auto" w:sz="4" w:space="0"/>
              <w:left w:val="nil"/>
              <w:bottom w:val="single" w:color="auto" w:sz="4" w:space="0"/>
              <w:right w:val="single" w:color="auto" w:sz="4" w:space="0"/>
            </w:tcBorders>
            <w:noWrap/>
            <w:vAlign w:val="center"/>
          </w:tcPr>
          <w:p w14:paraId="10721448">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025B6EAB">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754237E8">
            <w:pPr>
              <w:rPr>
                <w:rFonts w:hint="eastAsia" w:ascii="宋体" w:hAnsi="宋体" w:eastAsia="宋体" w:cs="宋体"/>
                <w:color w:val="auto"/>
                <w:highlight w:val="none"/>
              </w:rPr>
            </w:pPr>
            <w:r>
              <w:rPr>
                <w:rFonts w:hint="eastAsia" w:ascii="宋体" w:hAnsi="宋体" w:eastAsia="宋体" w:cs="宋体"/>
                <w:color w:val="auto"/>
                <w:highlight w:val="none"/>
              </w:rPr>
              <w:t>技工</w:t>
            </w:r>
          </w:p>
        </w:tc>
        <w:tc>
          <w:tcPr>
            <w:tcW w:w="2379" w:type="dxa"/>
            <w:gridSpan w:val="2"/>
            <w:tcBorders>
              <w:top w:val="single" w:color="auto" w:sz="4" w:space="0"/>
              <w:left w:val="nil"/>
              <w:bottom w:val="single" w:color="auto" w:sz="4" w:space="0"/>
              <w:right w:val="single" w:color="auto" w:sz="4" w:space="0"/>
            </w:tcBorders>
            <w:noWrap/>
            <w:vAlign w:val="center"/>
          </w:tcPr>
          <w:p w14:paraId="496D71C1">
            <w:pPr>
              <w:rPr>
                <w:rFonts w:hint="eastAsia" w:ascii="宋体" w:hAnsi="宋体" w:eastAsia="宋体" w:cs="宋体"/>
                <w:color w:val="auto"/>
                <w:highlight w:val="none"/>
              </w:rPr>
            </w:pPr>
          </w:p>
        </w:tc>
      </w:tr>
      <w:tr w14:paraId="225A4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4613A7B">
            <w:pPr>
              <w:rPr>
                <w:rFonts w:hint="eastAsia" w:ascii="宋体" w:hAnsi="宋体" w:eastAsia="宋体" w:cs="宋体"/>
                <w:color w:val="auto"/>
                <w:highlight w:val="none"/>
              </w:rPr>
            </w:pPr>
            <w:r>
              <w:rPr>
                <w:rFonts w:hint="eastAsia" w:ascii="宋体" w:hAnsi="宋体" w:eastAsia="宋体" w:cs="宋体"/>
                <w:color w:val="auto"/>
                <w:highlight w:val="none"/>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14:paraId="27803B00">
            <w:pPr>
              <w:ind w:firstLine="420" w:firstLineChars="200"/>
              <w:rPr>
                <w:rFonts w:hint="eastAsia" w:ascii="宋体" w:hAnsi="宋体" w:eastAsia="宋体" w:cs="宋体"/>
                <w:color w:val="auto"/>
                <w:highlight w:val="none"/>
              </w:rPr>
            </w:pPr>
          </w:p>
        </w:tc>
      </w:tr>
    </w:tbl>
    <w:p w14:paraId="7FD51E04">
      <w:pPr>
        <w:rPr>
          <w:rFonts w:hint="eastAsia" w:ascii="宋体" w:hAnsi="宋体" w:eastAsia="宋体" w:cs="宋体"/>
          <w:color w:val="auto"/>
          <w:highlight w:val="none"/>
        </w:rPr>
      </w:pPr>
    </w:p>
    <w:p w14:paraId="5EC4AF08">
      <w:pPr>
        <w:rPr>
          <w:rFonts w:hint="eastAsia" w:ascii="宋体" w:hAnsi="宋体" w:eastAsia="宋体" w:cs="宋体"/>
          <w:color w:val="auto"/>
          <w:highlight w:val="none"/>
        </w:rPr>
      </w:pPr>
      <w:r>
        <w:rPr>
          <w:rFonts w:hint="eastAsia" w:ascii="宋体" w:hAnsi="宋体" w:eastAsia="宋体" w:cs="宋体"/>
          <w:color w:val="auto"/>
          <w:highlight w:val="none"/>
        </w:rPr>
        <w:t>附营业执照、资质证书等相关资格审查资料。</w:t>
      </w:r>
    </w:p>
    <w:p w14:paraId="759F554D">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952A8BA">
      <w:pPr>
        <w:rPr>
          <w:rFonts w:hint="eastAsia" w:ascii="宋体" w:hAnsi="宋体" w:eastAsia="宋体" w:cs="宋体"/>
          <w:color w:val="auto"/>
          <w:highlight w:val="none"/>
        </w:rPr>
      </w:pPr>
    </w:p>
    <w:p w14:paraId="56B6F331">
      <w:pPr>
        <w:pStyle w:val="18"/>
        <w:rPr>
          <w:rFonts w:hint="eastAsia" w:ascii="宋体" w:hAnsi="宋体" w:eastAsia="宋体" w:cs="宋体"/>
          <w:color w:val="auto"/>
          <w:highlight w:val="none"/>
        </w:rPr>
      </w:pPr>
    </w:p>
    <w:p w14:paraId="00D786D5">
      <w:pPr>
        <w:rPr>
          <w:rFonts w:hint="eastAsia" w:ascii="宋体" w:hAnsi="宋体" w:eastAsia="宋体" w:cs="宋体"/>
          <w:color w:val="auto"/>
          <w:highlight w:val="none"/>
        </w:rPr>
      </w:pPr>
    </w:p>
    <w:p w14:paraId="380C7D4A">
      <w:pPr>
        <w:pStyle w:val="18"/>
        <w:rPr>
          <w:rFonts w:hint="eastAsia" w:ascii="宋体" w:hAnsi="宋体" w:eastAsia="宋体" w:cs="宋体"/>
          <w:color w:val="auto"/>
          <w:highlight w:val="none"/>
        </w:rPr>
      </w:pPr>
    </w:p>
    <w:p w14:paraId="78AE5D78">
      <w:pPr>
        <w:rPr>
          <w:rFonts w:hint="eastAsia" w:ascii="宋体" w:hAnsi="宋体" w:eastAsia="宋体" w:cs="宋体"/>
          <w:color w:val="auto"/>
          <w:highlight w:val="none"/>
        </w:rPr>
      </w:pPr>
    </w:p>
    <w:p w14:paraId="1C09BABA">
      <w:pPr>
        <w:pStyle w:val="18"/>
        <w:rPr>
          <w:rFonts w:hint="eastAsia" w:ascii="宋体" w:hAnsi="宋体" w:eastAsia="宋体" w:cs="宋体"/>
          <w:color w:val="auto"/>
          <w:highlight w:val="none"/>
        </w:rPr>
      </w:pPr>
    </w:p>
    <w:p w14:paraId="698BD090">
      <w:pPr>
        <w:rPr>
          <w:rFonts w:hint="eastAsia" w:ascii="宋体" w:hAnsi="宋体" w:eastAsia="宋体" w:cs="宋体"/>
          <w:color w:val="auto"/>
          <w:highlight w:val="none"/>
        </w:rPr>
      </w:pPr>
    </w:p>
    <w:p w14:paraId="57CBF3C5">
      <w:pPr>
        <w:widowControl w:val="0"/>
        <w:outlineLvl w:val="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sz w:val="28"/>
          <w:szCs w:val="28"/>
          <w:highlight w:val="none"/>
        </w:rPr>
        <w:t>格式八：中小企业声明函</w:t>
      </w:r>
    </w:p>
    <w:p w14:paraId="0388AC8A">
      <w:pPr>
        <w:widowControl w:val="0"/>
        <w:jc w:val="center"/>
        <w:rPr>
          <w:rFonts w:hint="eastAsia" w:ascii="宋体" w:hAnsi="宋体" w:eastAsia="宋体" w:cs="宋体"/>
          <w:b/>
          <w:strike/>
          <w:dstrike w:val="0"/>
          <w:color w:val="auto"/>
          <w:kern w:val="2"/>
          <w:sz w:val="32"/>
          <w:szCs w:val="24"/>
          <w:highlight w:val="none"/>
          <w:lang w:bidi="ar"/>
        </w:rPr>
      </w:pPr>
    </w:p>
    <w:p w14:paraId="39E25547">
      <w:pPr>
        <w:widowControl w:val="0"/>
        <w:jc w:val="center"/>
        <w:outlineLvl w:val="0"/>
        <w:rPr>
          <w:rFonts w:hint="eastAsia" w:ascii="宋体" w:hAnsi="宋体" w:eastAsia="宋体" w:cs="宋体"/>
          <w:b/>
          <w:strike/>
          <w:dstrike w:val="0"/>
          <w:color w:val="auto"/>
          <w:kern w:val="2"/>
          <w:sz w:val="32"/>
          <w:szCs w:val="24"/>
          <w:highlight w:val="none"/>
          <w:lang w:bidi="ar"/>
        </w:rPr>
      </w:pPr>
      <w:r>
        <w:rPr>
          <w:rFonts w:hint="eastAsia" w:ascii="宋体" w:hAnsi="宋体" w:eastAsia="宋体" w:cs="宋体"/>
          <w:b/>
          <w:strike/>
          <w:dstrike w:val="0"/>
          <w:color w:val="auto"/>
          <w:kern w:val="2"/>
          <w:sz w:val="32"/>
          <w:szCs w:val="24"/>
          <w:highlight w:val="none"/>
          <w:lang w:bidi="ar"/>
        </w:rPr>
        <w:t>中小企业声明函（货物）</w:t>
      </w:r>
    </w:p>
    <w:p w14:paraId="585CEC7A">
      <w:pPr>
        <w:pStyle w:val="18"/>
        <w:rPr>
          <w:rFonts w:hint="eastAsia" w:ascii="宋体" w:hAnsi="宋体" w:eastAsia="宋体" w:cs="宋体"/>
          <w:strike/>
          <w:dstrike w:val="0"/>
          <w:color w:val="auto"/>
          <w:highlight w:val="none"/>
        </w:rPr>
      </w:pPr>
    </w:p>
    <w:p w14:paraId="3AF381F2">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本公司（联合体）郑重声明，根据《政府采购促进中小企业发展管理办法》 （财库﹝2020﹞46号）的规定，本公司（联合体）参加</w:t>
      </w:r>
      <w:r>
        <w:rPr>
          <w:rFonts w:hint="eastAsia" w:ascii="宋体" w:hAnsi="宋体" w:eastAsia="宋体" w:cs="宋体"/>
          <w:strike/>
          <w:dstrike w:val="0"/>
          <w:color w:val="auto"/>
          <w:kern w:val="2"/>
          <w:sz w:val="28"/>
          <w:szCs w:val="28"/>
          <w:highlight w:val="none"/>
          <w:u w:val="single"/>
          <w:lang w:bidi="ar"/>
        </w:rPr>
        <w:t xml:space="preserve"> （单位名称） </w:t>
      </w:r>
      <w:r>
        <w:rPr>
          <w:rFonts w:hint="eastAsia" w:ascii="宋体" w:hAnsi="宋体" w:eastAsia="宋体" w:cs="宋体"/>
          <w:strike/>
          <w:dstrike w:val="0"/>
          <w:color w:val="auto"/>
          <w:kern w:val="2"/>
          <w:sz w:val="28"/>
          <w:szCs w:val="28"/>
          <w:highlight w:val="none"/>
          <w:lang w:bidi="ar"/>
        </w:rPr>
        <w:t>的（</w:t>
      </w:r>
      <w:r>
        <w:rPr>
          <w:rFonts w:hint="eastAsia" w:ascii="宋体" w:hAnsi="宋体" w:eastAsia="宋体" w:cs="宋体"/>
          <w:strike/>
          <w:dstrike w:val="0"/>
          <w:color w:val="auto"/>
          <w:kern w:val="2"/>
          <w:sz w:val="28"/>
          <w:szCs w:val="28"/>
          <w:highlight w:val="none"/>
          <w:u w:val="single"/>
          <w:lang w:bidi="ar"/>
        </w:rPr>
        <w:t>项目名称</w:t>
      </w:r>
      <w:r>
        <w:rPr>
          <w:rFonts w:hint="eastAsia" w:ascii="宋体" w:hAnsi="宋体" w:eastAsia="宋体" w:cs="宋体"/>
          <w:strike/>
          <w:dstrike w:val="0"/>
          <w:color w:val="auto"/>
          <w:kern w:val="2"/>
          <w:sz w:val="28"/>
          <w:szCs w:val="28"/>
          <w:highlight w:val="none"/>
          <w:lang w:bidi="ar"/>
        </w:rPr>
        <w:t>）采购活动，提供的货物全部由符合政策要求的中小企业制造。相关企业（含联合体中的中小企业、签订分包意向协议的中小企业）的具体情况如下：</w:t>
      </w:r>
    </w:p>
    <w:p w14:paraId="5E33F743">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1.</w:t>
      </w:r>
      <w:r>
        <w:rPr>
          <w:rFonts w:hint="eastAsia" w:ascii="宋体" w:hAnsi="宋体" w:eastAsia="宋体" w:cs="宋体"/>
          <w:strike/>
          <w:dstrike w:val="0"/>
          <w:color w:val="auto"/>
          <w:kern w:val="2"/>
          <w:sz w:val="28"/>
          <w:szCs w:val="28"/>
          <w:highlight w:val="none"/>
          <w:u w:val="single"/>
          <w:lang w:bidi="ar"/>
        </w:rPr>
        <w:t>（标的名称）</w:t>
      </w:r>
      <w:r>
        <w:rPr>
          <w:rFonts w:hint="eastAsia" w:ascii="宋体" w:hAnsi="宋体" w:eastAsia="宋体" w:cs="宋体"/>
          <w:strike/>
          <w:dstrike w:val="0"/>
          <w:color w:val="auto"/>
          <w:kern w:val="2"/>
          <w:sz w:val="28"/>
          <w:szCs w:val="28"/>
          <w:highlight w:val="none"/>
          <w:lang w:bidi="ar"/>
        </w:rPr>
        <w:t>，属于</w:t>
      </w:r>
      <w:r>
        <w:rPr>
          <w:rFonts w:hint="eastAsia" w:ascii="宋体" w:hAnsi="宋体" w:eastAsia="宋体" w:cs="宋体"/>
          <w:strike/>
          <w:dstrike w:val="0"/>
          <w:color w:val="auto"/>
          <w:sz w:val="28"/>
          <w:szCs w:val="28"/>
          <w:highlight w:val="none"/>
          <w:u w:val="single"/>
        </w:rPr>
        <w:t>（采购文件中明确的所属行业）</w:t>
      </w:r>
      <w:r>
        <w:rPr>
          <w:rFonts w:hint="eastAsia" w:ascii="宋体" w:hAnsi="宋体" w:eastAsia="宋体" w:cs="宋体"/>
          <w:strike/>
          <w:dstrike w:val="0"/>
          <w:color w:val="auto"/>
          <w:sz w:val="28"/>
          <w:szCs w:val="28"/>
          <w:highlight w:val="none"/>
        </w:rPr>
        <w:t>行业；制造商为</w:t>
      </w:r>
      <w:r>
        <w:rPr>
          <w:rFonts w:hint="eastAsia" w:ascii="宋体" w:hAnsi="宋体" w:eastAsia="宋体" w:cs="宋体"/>
          <w:strike/>
          <w:dstrike w:val="0"/>
          <w:color w:val="auto"/>
          <w:sz w:val="28"/>
          <w:szCs w:val="28"/>
          <w:highlight w:val="none"/>
          <w:u w:val="single"/>
        </w:rPr>
        <w:t>（企业名称）</w:t>
      </w:r>
      <w:r>
        <w:rPr>
          <w:rFonts w:hint="eastAsia" w:ascii="宋体" w:hAnsi="宋体" w:eastAsia="宋体" w:cs="宋体"/>
          <w:strike/>
          <w:dstrike w:val="0"/>
          <w:color w:val="auto"/>
          <w:sz w:val="28"/>
          <w:szCs w:val="28"/>
          <w:highlight w:val="none"/>
        </w:rPr>
        <w:t>，从业人员</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人，营业收入为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万元，资产总额为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万元，属于</w:t>
      </w:r>
      <w:r>
        <w:rPr>
          <w:rFonts w:hint="eastAsia" w:ascii="宋体" w:hAnsi="宋体" w:eastAsia="宋体" w:cs="宋体"/>
          <w:strike/>
          <w:dstrike w:val="0"/>
          <w:color w:val="auto"/>
          <w:sz w:val="28"/>
          <w:szCs w:val="28"/>
          <w:highlight w:val="none"/>
          <w:u w:val="single"/>
        </w:rPr>
        <w:t>（中型企业、小型企业、微型企业）</w:t>
      </w:r>
      <w:r>
        <w:rPr>
          <w:rFonts w:hint="eastAsia" w:ascii="宋体" w:hAnsi="宋体" w:eastAsia="宋体" w:cs="宋体"/>
          <w:strike/>
          <w:dstrike w:val="0"/>
          <w:color w:val="auto"/>
          <w:sz w:val="28"/>
          <w:szCs w:val="28"/>
          <w:highlight w:val="none"/>
        </w:rPr>
        <w:t xml:space="preserve"> ；</w:t>
      </w:r>
    </w:p>
    <w:p w14:paraId="49E9D727">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2.</w:t>
      </w:r>
      <w:r>
        <w:rPr>
          <w:rFonts w:hint="eastAsia" w:ascii="宋体" w:hAnsi="宋体" w:eastAsia="宋体" w:cs="宋体"/>
          <w:strike/>
          <w:dstrike w:val="0"/>
          <w:color w:val="auto"/>
          <w:kern w:val="2"/>
          <w:sz w:val="28"/>
          <w:szCs w:val="28"/>
          <w:highlight w:val="none"/>
          <w:u w:val="single"/>
          <w:lang w:bidi="ar"/>
        </w:rPr>
        <w:t>（标的名称）</w:t>
      </w:r>
      <w:r>
        <w:rPr>
          <w:rFonts w:hint="eastAsia" w:ascii="宋体" w:hAnsi="宋体" w:eastAsia="宋体" w:cs="宋体"/>
          <w:strike/>
          <w:dstrike w:val="0"/>
          <w:color w:val="auto"/>
          <w:kern w:val="2"/>
          <w:sz w:val="28"/>
          <w:szCs w:val="28"/>
          <w:highlight w:val="none"/>
          <w:lang w:bidi="ar"/>
        </w:rPr>
        <w:t>，属于</w:t>
      </w:r>
      <w:r>
        <w:rPr>
          <w:rFonts w:hint="eastAsia" w:ascii="宋体" w:hAnsi="宋体" w:eastAsia="宋体" w:cs="宋体"/>
          <w:strike/>
          <w:dstrike w:val="0"/>
          <w:color w:val="auto"/>
          <w:sz w:val="28"/>
          <w:szCs w:val="28"/>
          <w:highlight w:val="none"/>
          <w:u w:val="single"/>
        </w:rPr>
        <w:t>（采购文件中明确的所属行业）</w:t>
      </w:r>
      <w:r>
        <w:rPr>
          <w:rFonts w:hint="eastAsia" w:ascii="宋体" w:hAnsi="宋体" w:eastAsia="宋体" w:cs="宋体"/>
          <w:strike/>
          <w:dstrike w:val="0"/>
          <w:color w:val="auto"/>
          <w:sz w:val="28"/>
          <w:szCs w:val="28"/>
          <w:highlight w:val="none"/>
        </w:rPr>
        <w:t>行业；制造商为</w:t>
      </w:r>
      <w:r>
        <w:rPr>
          <w:rFonts w:hint="eastAsia" w:ascii="宋体" w:hAnsi="宋体" w:eastAsia="宋体" w:cs="宋体"/>
          <w:strike/>
          <w:dstrike w:val="0"/>
          <w:color w:val="auto"/>
          <w:sz w:val="28"/>
          <w:szCs w:val="28"/>
          <w:highlight w:val="none"/>
          <w:u w:val="single"/>
        </w:rPr>
        <w:t>（企业名称）</w:t>
      </w:r>
      <w:r>
        <w:rPr>
          <w:rFonts w:hint="eastAsia" w:ascii="宋体" w:hAnsi="宋体" w:eastAsia="宋体" w:cs="宋体"/>
          <w:strike/>
          <w:dstrike w:val="0"/>
          <w:color w:val="auto"/>
          <w:sz w:val="28"/>
          <w:szCs w:val="28"/>
          <w:highlight w:val="none"/>
        </w:rPr>
        <w:t>，从业人员</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人，营业收入为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万元，资产总额为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万元，属于</w:t>
      </w:r>
      <w:r>
        <w:rPr>
          <w:rFonts w:hint="eastAsia" w:ascii="宋体" w:hAnsi="宋体" w:eastAsia="宋体" w:cs="宋体"/>
          <w:strike/>
          <w:dstrike w:val="0"/>
          <w:color w:val="auto"/>
          <w:sz w:val="28"/>
          <w:szCs w:val="28"/>
          <w:highlight w:val="none"/>
          <w:u w:val="single"/>
        </w:rPr>
        <w:t>（中型企业、小型企业、微型企业）</w:t>
      </w:r>
      <w:r>
        <w:rPr>
          <w:rFonts w:hint="eastAsia" w:ascii="宋体" w:hAnsi="宋体" w:eastAsia="宋体" w:cs="宋体"/>
          <w:strike/>
          <w:dstrike w:val="0"/>
          <w:color w:val="auto"/>
          <w:sz w:val="28"/>
          <w:szCs w:val="28"/>
          <w:highlight w:val="none"/>
        </w:rPr>
        <w:t xml:space="preserve"> ；</w:t>
      </w:r>
    </w:p>
    <w:p w14:paraId="1F105684">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w:t>
      </w:r>
    </w:p>
    <w:p w14:paraId="5D9C3E88">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以上企业，不属于大企业的分支机构，不存在控股股东为大企业的情形，也不存在与大企业的负责人为同一人的情形。</w:t>
      </w:r>
    </w:p>
    <w:p w14:paraId="2100DD6E">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本企业对上述声明内容的真实性负责。如有虚假，将依法承担相应责任。</w:t>
      </w:r>
    </w:p>
    <w:p w14:paraId="75C8378E">
      <w:pPr>
        <w:widowControl w:val="0"/>
        <w:spacing w:line="360" w:lineRule="auto"/>
        <w:ind w:right="420" w:firstLine="6860" w:firstLineChars="2450"/>
        <w:rPr>
          <w:rFonts w:hint="eastAsia" w:ascii="宋体" w:hAnsi="宋体" w:eastAsia="宋体" w:cs="宋体"/>
          <w:strike/>
          <w:dstrike w:val="0"/>
          <w:color w:val="auto"/>
          <w:sz w:val="28"/>
          <w:szCs w:val="28"/>
          <w:highlight w:val="none"/>
        </w:rPr>
      </w:pPr>
    </w:p>
    <w:p w14:paraId="7B7CE9EB">
      <w:pPr>
        <w:widowControl w:val="0"/>
        <w:spacing w:line="360" w:lineRule="auto"/>
        <w:ind w:right="420"/>
        <w:jc w:val="right"/>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企业名称（盖章）：</w:t>
      </w:r>
    </w:p>
    <w:p w14:paraId="0D28EC7D">
      <w:pPr>
        <w:widowControl w:val="0"/>
        <w:spacing w:line="360" w:lineRule="auto"/>
        <w:ind w:right="420"/>
        <w:jc w:val="right"/>
        <w:rPr>
          <w:rFonts w:hint="eastAsia" w:ascii="宋体" w:hAnsi="宋体" w:eastAsia="宋体" w:cs="宋体"/>
          <w:strike/>
          <w:dstrike w:val="0"/>
          <w:color w:val="auto"/>
          <w:kern w:val="2"/>
          <w:sz w:val="28"/>
          <w:szCs w:val="28"/>
          <w:highlight w:val="none"/>
          <w:lang w:bidi="ar"/>
        </w:rPr>
      </w:pPr>
      <w:r>
        <w:rPr>
          <w:rFonts w:hint="eastAsia" w:ascii="宋体" w:hAnsi="宋体" w:eastAsia="宋体" w:cs="宋体"/>
          <w:strike/>
          <w:dstrike w:val="0"/>
          <w:color w:val="auto"/>
          <w:kern w:val="2"/>
          <w:sz w:val="28"/>
          <w:szCs w:val="28"/>
          <w:highlight w:val="none"/>
          <w:lang w:bidi="ar"/>
        </w:rPr>
        <w:t>日期：   年   月   日</w:t>
      </w:r>
    </w:p>
    <w:p w14:paraId="51E3D54B">
      <w:pPr>
        <w:pStyle w:val="18"/>
        <w:rPr>
          <w:rFonts w:hint="eastAsia" w:ascii="宋体" w:hAnsi="宋体" w:eastAsia="宋体" w:cs="宋体"/>
          <w:strike/>
          <w:dstrike w:val="0"/>
          <w:color w:val="auto"/>
          <w:sz w:val="20"/>
          <w:szCs w:val="20"/>
          <w:highlight w:val="none"/>
          <w:u w:val="single"/>
        </w:rPr>
      </w:pPr>
    </w:p>
    <w:p w14:paraId="0479D567">
      <w:pPr>
        <w:pStyle w:val="18"/>
        <w:rPr>
          <w:rFonts w:hint="eastAsia" w:ascii="宋体" w:hAnsi="宋体" w:eastAsia="宋体" w:cs="宋体"/>
          <w:strike/>
          <w:dstrike w:val="0"/>
          <w:color w:val="auto"/>
          <w:sz w:val="20"/>
          <w:szCs w:val="20"/>
          <w:highlight w:val="none"/>
        </w:rPr>
      </w:pPr>
      <w:r>
        <w:rPr>
          <w:rFonts w:hint="eastAsia" w:ascii="宋体" w:hAnsi="宋体" w:eastAsia="宋体" w:cs="宋体"/>
          <w:strike/>
          <w:dstrike w:val="0"/>
          <w:color w:val="auto"/>
          <w:sz w:val="20"/>
          <w:szCs w:val="20"/>
          <w:highlight w:val="none"/>
        </w:rPr>
        <w:t>从业人员、营业收入、资产总额填报上一年度数据，无上一年度数据的新成立企业可不填报。</w:t>
      </w:r>
    </w:p>
    <w:p w14:paraId="5938DD9D">
      <w:pPr>
        <w:rPr>
          <w:rFonts w:hint="eastAsia" w:ascii="宋体" w:hAnsi="宋体" w:eastAsia="宋体" w:cs="宋体"/>
          <w:color w:val="auto"/>
          <w:sz w:val="20"/>
          <w:szCs w:val="20"/>
          <w:highlight w:val="none"/>
        </w:rPr>
      </w:pPr>
    </w:p>
    <w:p w14:paraId="452D769F">
      <w:pPr>
        <w:pStyle w:val="18"/>
        <w:rPr>
          <w:rFonts w:hint="eastAsia" w:ascii="宋体" w:hAnsi="宋体" w:eastAsia="宋体" w:cs="宋体"/>
          <w:color w:val="auto"/>
          <w:sz w:val="20"/>
          <w:szCs w:val="20"/>
          <w:highlight w:val="none"/>
        </w:rPr>
      </w:pPr>
    </w:p>
    <w:p w14:paraId="38A7E8E1">
      <w:pPr>
        <w:rPr>
          <w:rFonts w:hint="eastAsia" w:ascii="宋体" w:hAnsi="宋体" w:eastAsia="宋体" w:cs="宋体"/>
          <w:color w:val="auto"/>
          <w:sz w:val="20"/>
          <w:szCs w:val="20"/>
          <w:highlight w:val="none"/>
        </w:rPr>
      </w:pPr>
    </w:p>
    <w:p w14:paraId="7C530192">
      <w:pPr>
        <w:pStyle w:val="18"/>
        <w:rPr>
          <w:rFonts w:hint="eastAsia" w:ascii="宋体" w:hAnsi="宋体" w:eastAsia="宋体" w:cs="宋体"/>
          <w:color w:val="auto"/>
          <w:sz w:val="20"/>
          <w:szCs w:val="20"/>
          <w:highlight w:val="none"/>
        </w:rPr>
      </w:pPr>
    </w:p>
    <w:p w14:paraId="24101ED8">
      <w:pPr>
        <w:numPr>
          <w:ins w:id="0" w:author="DELL" w:date=""/>
        </w:numPr>
        <w:autoSpaceDE/>
        <w:autoSpaceDN/>
        <w:adjustRightInd/>
        <w:jc w:val="left"/>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w:t>
      </w:r>
      <w:r>
        <w:rPr>
          <w:rFonts w:hint="eastAsia" w:ascii="宋体" w:hAnsi="宋体" w:eastAsia="宋体" w:cs="宋体"/>
          <w:color w:val="auto"/>
          <w:sz w:val="28"/>
          <w:szCs w:val="28"/>
          <w:highlight w:val="none"/>
          <w:lang w:val="en-US" w:eastAsia="zh-CN"/>
        </w:rPr>
        <w:t>九</w:t>
      </w:r>
      <w:r>
        <w:rPr>
          <w:rFonts w:hint="eastAsia" w:ascii="宋体" w:hAnsi="宋体" w:eastAsia="宋体" w:cs="宋体"/>
          <w:color w:val="auto"/>
          <w:sz w:val="28"/>
          <w:szCs w:val="28"/>
          <w:highlight w:val="none"/>
        </w:rPr>
        <w:t>：投标承诺书</w:t>
      </w:r>
    </w:p>
    <w:p w14:paraId="41DCEF79">
      <w:pPr>
        <w:numPr>
          <w:ins w:id="1" w:author="XH" w:date=""/>
        </w:numPr>
        <w:autoSpaceDE/>
        <w:autoSpaceDN/>
        <w:adjustRightInd/>
        <w:jc w:val="center"/>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投标承诺书</w:t>
      </w:r>
    </w:p>
    <w:p w14:paraId="2A4D1808">
      <w:pPr>
        <w:pStyle w:val="13"/>
        <w:numPr>
          <w:ins w:id="2" w:author="XH" w:date=""/>
        </w:num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（招标人名称）                    </w:t>
      </w:r>
      <w:r>
        <w:rPr>
          <w:rFonts w:hint="eastAsia" w:ascii="宋体" w:hAnsi="宋体" w:eastAsia="宋体" w:cs="宋体"/>
          <w:color w:val="auto"/>
          <w:sz w:val="24"/>
          <w:szCs w:val="24"/>
          <w:highlight w:val="none"/>
        </w:rPr>
        <w:t>：</w:t>
      </w:r>
    </w:p>
    <w:p w14:paraId="7BB2ECC0">
      <w:pPr>
        <w:pStyle w:val="13"/>
        <w:numPr>
          <w:ins w:id="3"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本公司已详细阅读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（名称及招标编号）   </w:t>
      </w:r>
      <w:r>
        <w:rPr>
          <w:rFonts w:hint="eastAsia" w:ascii="宋体" w:hAnsi="宋体" w:eastAsia="宋体" w:cs="宋体"/>
          <w:color w:val="auto"/>
          <w:sz w:val="24"/>
          <w:szCs w:val="24"/>
          <w:highlight w:val="none"/>
        </w:rPr>
        <w:t>招标文件，自觉遵守中华人民共和国、浙江省及当地有关招标投标的法律法规规定，自觉维护建筑市场正常秩序，现自愿就参加</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投标有关事项郑重承诺如下：</w:t>
      </w:r>
    </w:p>
    <w:p w14:paraId="69DEBEF9">
      <w:pPr>
        <w:pStyle w:val="13"/>
        <w:numPr>
          <w:ins w:id="4"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1.承诺投标文件无虚假、伪造的内容。若投标文件中存在虚假、伪造的内容，同意作无效投标处理。</w:t>
      </w:r>
    </w:p>
    <w:p w14:paraId="3B5CF26F">
      <w:pPr>
        <w:pStyle w:val="13"/>
        <w:numPr>
          <w:ins w:id="5"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2.承诺我单位法定代表人、授权代表等主要责任人诚信投标。</w:t>
      </w:r>
    </w:p>
    <w:p w14:paraId="10A51555">
      <w:pPr>
        <w:pStyle w:val="13"/>
        <w:numPr>
          <w:ins w:id="6" w:author="XH" w:date=""/>
        </w:numPr>
        <w:spacing w:line="440" w:lineRule="exact"/>
        <w:ind w:firstLine="480" w:firstLineChars="200"/>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rPr>
        <w:t>3.承诺按照投标文件派驻管理人员及投入机械设备，</w:t>
      </w:r>
      <w:r>
        <w:rPr>
          <w:rFonts w:hint="eastAsia" w:ascii="宋体" w:hAnsi="宋体" w:eastAsia="宋体" w:cs="宋体"/>
          <w:color w:val="auto"/>
          <w:spacing w:val="-5"/>
          <w:sz w:val="24"/>
          <w:szCs w:val="24"/>
          <w:highlight w:val="none"/>
        </w:rPr>
        <w:t>若存在不到位的情况，同意接受合同约定的处罚。</w:t>
      </w:r>
    </w:p>
    <w:p w14:paraId="6162484F">
      <w:pPr>
        <w:pStyle w:val="13"/>
        <w:numPr>
          <w:ins w:id="7"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.承诺本招标文件要求的人员和我单位至投标截止时间三年内没有行贿犯罪记录。</w:t>
      </w:r>
    </w:p>
    <w:p w14:paraId="4ECBD402">
      <w:pPr>
        <w:pStyle w:val="13"/>
        <w:numPr>
          <w:ins w:id="8"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.承诺未被有关行政主管部门列入建筑市场严重失信名单（以全国建筑市场监管公共服务平台黑名单记录、失信联合惩戒记录和浙江省建筑市场监管公共服务系统严重失信名单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或限制参加投标。</w:t>
      </w:r>
    </w:p>
    <w:p w14:paraId="57C84046">
      <w:pPr>
        <w:pStyle w:val="22"/>
        <w:widowControl/>
        <w:spacing w:line="440" w:lineRule="exact"/>
        <w:ind w:right="150"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w:t>
      </w:r>
      <w:r>
        <w:rPr>
          <w:rFonts w:hint="eastAsia" w:ascii="宋体" w:hAnsi="宋体" w:eastAsia="宋体" w:cs="宋体"/>
          <w:color w:val="auto"/>
          <w:highlight w:val="none"/>
          <w:shd w:val="clear" w:color="auto" w:fill="FFFFFF"/>
        </w:rPr>
        <w:t>我单位</w:t>
      </w:r>
      <w:r>
        <w:rPr>
          <w:rFonts w:hint="eastAsia" w:ascii="宋体" w:hAnsi="宋体" w:eastAsia="宋体" w:cs="宋体"/>
          <w:strike w:val="0"/>
          <w:dstrike w:val="0"/>
          <w:color w:val="auto"/>
          <w:highlight w:val="none"/>
          <w:shd w:val="clear" w:color="auto" w:fill="FFFFFF"/>
        </w:rPr>
        <w:t>直接负责本项目投标的主管人</w:t>
      </w:r>
      <w:r>
        <w:rPr>
          <w:rFonts w:hint="eastAsia" w:ascii="宋体" w:hAnsi="宋体" w:eastAsia="宋体" w:cs="宋体"/>
          <w:strike w:val="0"/>
          <w:dstrike w:val="0"/>
          <w:color w:val="auto"/>
          <w:highlight w:val="none"/>
        </w:rPr>
        <w:t>员为</w:t>
      </w:r>
      <w:r>
        <w:rPr>
          <w:rFonts w:hint="eastAsia" w:ascii="宋体" w:hAnsi="宋体" w:eastAsia="宋体" w:cs="宋体"/>
          <w:color w:val="auto"/>
          <w:highlight w:val="none"/>
          <w:u w:val="single"/>
        </w:rPr>
        <w:t>法定代表人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（身份证号码：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  ，联系手机号码：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i/>
          <w:iCs/>
          <w:color w:val="auto"/>
          <w:highlight w:val="none"/>
          <w:u w:val="single"/>
          <w:shd w:val="clear" w:color="auto" w:fill="FFFFFF"/>
        </w:rPr>
        <w:t xml:space="preserve">（必须为本人实名办理的手机号码） </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 ）；我单位与本项目投标相关的直接责任人员为</w:t>
      </w:r>
      <w:r>
        <w:rPr>
          <w:rFonts w:hint="eastAsia" w:ascii="宋体" w:hAnsi="宋体" w:eastAsia="宋体" w:cs="宋体"/>
          <w:color w:val="auto"/>
          <w:highlight w:val="none"/>
          <w:u w:val="single"/>
          <w:shd w:val="clear" w:color="auto" w:fill="FFFFFF"/>
        </w:rPr>
        <w:t xml:space="preserve">本次投标委托授权代表           </w:t>
      </w:r>
      <w:r>
        <w:rPr>
          <w:rFonts w:hint="eastAsia" w:ascii="宋体" w:hAnsi="宋体" w:eastAsia="宋体" w:cs="宋体"/>
          <w:color w:val="auto"/>
          <w:highlight w:val="none"/>
          <w:shd w:val="clear" w:color="auto" w:fill="FFFFFF"/>
        </w:rPr>
        <w:t>（身份证号码：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联系手机号码：</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i/>
          <w:iCs/>
          <w:color w:val="auto"/>
          <w:highlight w:val="none"/>
          <w:u w:val="single"/>
          <w:shd w:val="clear" w:color="auto" w:fill="FFFFFF"/>
        </w:rPr>
        <w:t>（必须为本人实名办理的手机号码）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，上述人员承诺承担相应的法律责任。</w:t>
      </w:r>
    </w:p>
    <w:p w14:paraId="20C27095">
      <w:pPr>
        <w:pStyle w:val="13"/>
        <w:numPr>
          <w:ins w:id="9" w:author="XH" w:date=""/>
        </w:num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（招标人可根据实际情况增加相应的条款）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01B0808">
      <w:pPr>
        <w:pStyle w:val="13"/>
        <w:numPr>
          <w:ins w:id="10" w:author="XH" w:date=""/>
        </w:numPr>
        <w:spacing w:line="440" w:lineRule="exact"/>
        <w:ind w:firstLine="480" w:firstLineChars="200"/>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.以上承诺如有虚假，</w:t>
      </w:r>
      <w:r>
        <w:rPr>
          <w:rFonts w:hint="eastAsia" w:ascii="宋体" w:hAnsi="宋体" w:eastAsia="宋体" w:cs="宋体"/>
          <w:color w:val="auto"/>
          <w:spacing w:val="-5"/>
          <w:sz w:val="24"/>
          <w:szCs w:val="24"/>
          <w:highlight w:val="none"/>
        </w:rPr>
        <w:t>愿意接受投标保证金不予退还的处理。给招标人造成损失的，愿意依法承担赔偿责任。如已中标，同意招标人取消我单位中标资格的处理。</w:t>
      </w:r>
    </w:p>
    <w:p w14:paraId="397F339A">
      <w:pPr>
        <w:pStyle w:val="13"/>
        <w:spacing w:line="440" w:lineRule="exact"/>
        <w:ind w:firstLine="460" w:firstLineChars="200"/>
        <w:rPr>
          <w:rFonts w:hint="eastAsia" w:ascii="宋体" w:hAnsi="宋体" w:eastAsia="宋体" w:cs="宋体"/>
          <w:color w:val="auto"/>
          <w:spacing w:val="-5"/>
          <w:sz w:val="24"/>
          <w:szCs w:val="24"/>
          <w:highlight w:val="none"/>
        </w:rPr>
      </w:pPr>
    </w:p>
    <w:p w14:paraId="4CF3BA8F">
      <w:pPr>
        <w:pStyle w:val="13"/>
        <w:spacing w:line="440" w:lineRule="exact"/>
        <w:ind w:firstLine="3120" w:firstLineChars="1300"/>
        <w:rPr>
          <w:rFonts w:hint="eastAsia" w:ascii="宋体" w:hAnsi="宋体" w:eastAsia="宋体" w:cs="宋体"/>
          <w:color w:val="auto"/>
          <w:sz w:val="24"/>
          <w:szCs w:val="24"/>
          <w:highlight w:val="none"/>
        </w:rPr>
      </w:pPr>
    </w:p>
    <w:p w14:paraId="4B0B7268">
      <w:pPr>
        <w:pStyle w:val="13"/>
        <w:spacing w:line="440" w:lineRule="exact"/>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w:t>
      </w:r>
    </w:p>
    <w:p w14:paraId="0879A18D">
      <w:pPr>
        <w:pStyle w:val="13"/>
        <w:spacing w:line="440" w:lineRule="exact"/>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投标人（单位盖章）：</w:t>
      </w:r>
    </w:p>
    <w:p w14:paraId="2E0C4244">
      <w:pPr>
        <w:autoSpaceDN/>
        <w:spacing w:line="440" w:lineRule="exact"/>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highlight w:val="none"/>
        </w:rPr>
        <w:t xml:space="preserve">                                               </w:t>
      </w:r>
      <w:r>
        <w:rPr>
          <w:rFonts w:hint="eastAsia" w:ascii="宋体" w:hAnsi="宋体" w:eastAsia="宋体" w:cs="宋体"/>
          <w:snapToGrid w:val="0"/>
          <w:color w:val="auto"/>
          <w:sz w:val="24"/>
          <w:szCs w:val="24"/>
          <w:highlight w:val="none"/>
          <w:lang w:val="en-US" w:eastAsia="zh-CN" w:bidi="ar-SA"/>
        </w:rPr>
        <w:t>年    月    日</w:t>
      </w:r>
    </w:p>
    <w:p w14:paraId="47CAB67B">
      <w:pPr>
        <w:autoSpaceDN/>
        <w:spacing w:line="440" w:lineRule="exact"/>
        <w:jc w:val="both"/>
        <w:rPr>
          <w:rFonts w:hint="eastAsia" w:ascii="宋体" w:hAnsi="宋体" w:eastAsia="宋体" w:cs="宋体"/>
          <w:snapToGrid w:val="0"/>
          <w:color w:val="auto"/>
          <w:sz w:val="24"/>
          <w:szCs w:val="24"/>
          <w:highlight w:val="none"/>
          <w:lang w:val="en-US" w:eastAsia="zh-CN" w:bidi="ar-SA"/>
        </w:rPr>
      </w:pPr>
    </w:p>
    <w:p w14:paraId="61562B3A">
      <w:pPr>
        <w:autoSpaceDN/>
        <w:spacing w:line="440" w:lineRule="exact"/>
        <w:jc w:val="both"/>
        <w:rPr>
          <w:rFonts w:hint="eastAsia" w:ascii="宋体" w:hAnsi="宋体" w:eastAsia="宋体" w:cs="宋体"/>
          <w:snapToGrid w:val="0"/>
          <w:color w:val="auto"/>
          <w:sz w:val="24"/>
          <w:szCs w:val="24"/>
          <w:highlight w:val="none"/>
          <w:lang w:val="en-US" w:eastAsia="zh-CN" w:bidi="ar-SA"/>
        </w:rPr>
      </w:pPr>
    </w:p>
    <w:p w14:paraId="42EE4967">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绍兴市第七人民医院新院区建设工程</w:t>
      </w:r>
    </w:p>
    <w:p w14:paraId="0B8300AC">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医用净化、实验室及放射防护项目答疑澄清</w:t>
      </w:r>
    </w:p>
    <w:p w14:paraId="2215D102">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strike w:val="0"/>
          <w:dstrike w:val="0"/>
          <w:color w:val="auto"/>
          <w:sz w:val="24"/>
          <w:szCs w:val="24"/>
          <w:highlight w:val="none"/>
        </w:rPr>
      </w:pPr>
    </w:p>
    <w:p w14:paraId="01FA7C6C">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各潜在投标人：</w:t>
      </w:r>
    </w:p>
    <w:p w14:paraId="2718C0E2">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关于绍兴市第七人民医院新院区建设工程医用净化、实验室及放射防护项目，现招标人对各潜在投标人的提问进行回复，并对招标文件答疑澄清如下：</w:t>
      </w:r>
    </w:p>
    <w:p w14:paraId="77E54FC9">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default"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一、招标人对投标人的提疑回复如下：</w:t>
      </w:r>
    </w:p>
    <w:p w14:paraId="60C1AB18">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2"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问题1：</w:t>
      </w:r>
      <w:r>
        <w:rPr>
          <w:rFonts w:hint="eastAsia" w:ascii="宋体" w:hAnsi="宋体" w:eastAsia="宋体" w:cs="宋体"/>
          <w:strike w:val="0"/>
          <w:dstrike w:val="0"/>
          <w:color w:val="auto"/>
          <w:kern w:val="2"/>
          <w:sz w:val="24"/>
          <w:szCs w:val="24"/>
          <w:highlight w:val="none"/>
          <w:lang w:val="en-US" w:eastAsia="zh-CN" w:bidi="ar-SA"/>
        </w:rPr>
        <w:t>依法认定本项目招标文件中生物安全柜、实验室智能空气质控系统、医用气体系统等相关技术参数存在唯一性、排他性、不合理限制性，属于违规定制化招标条款；对上述专属、独家、非通用技术参数予以删除、调整、优化，</w:t>
      </w:r>
      <w:r>
        <w:rPr>
          <w:rFonts w:hint="eastAsia" w:ascii="宋体" w:hAnsi="宋体" w:eastAsia="宋体" w:cs="宋体"/>
          <w:b/>
          <w:bCs/>
          <w:strike w:val="0"/>
          <w:dstrike w:val="0"/>
          <w:color w:val="auto"/>
          <w:kern w:val="2"/>
          <w:sz w:val="24"/>
          <w:szCs w:val="24"/>
          <w:highlight w:val="none"/>
          <w:lang w:val="en-US" w:eastAsia="zh-CN" w:bidi="ar-SA"/>
        </w:rPr>
        <w:t>修改为符合国家医疗建设规范、行业通用、多品牌可满足、公平中立的技术标准，消除参数排他性</w:t>
      </w:r>
      <w:r>
        <w:rPr>
          <w:rFonts w:hint="eastAsia" w:ascii="宋体" w:hAnsi="宋体" w:eastAsia="宋体" w:cs="宋体"/>
          <w:strike w:val="0"/>
          <w:dstrike w:val="0"/>
          <w:color w:val="auto"/>
          <w:kern w:val="2"/>
          <w:sz w:val="24"/>
          <w:szCs w:val="24"/>
          <w:highlight w:val="none"/>
          <w:lang w:val="en-US" w:eastAsia="zh-CN" w:bidi="ar-SA"/>
        </w:rPr>
        <w:t>；</w:t>
      </w:r>
    </w:p>
    <w:p w14:paraId="224CF177">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特定参数如下：</w:t>
      </w:r>
    </w:p>
    <w:p w14:paraId="683E4632">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2" w:firstLineChars="200"/>
        <w:textAlignment w:val="auto"/>
        <w:rPr>
          <w:rFonts w:hint="default"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（一）</w:t>
      </w:r>
      <w:r>
        <w:rPr>
          <w:rFonts w:hint="default" w:ascii="宋体" w:hAnsi="宋体" w:eastAsia="宋体" w:cs="宋体"/>
          <w:b/>
          <w:bCs/>
          <w:strike w:val="0"/>
          <w:dstrike w:val="0"/>
          <w:color w:val="auto"/>
          <w:kern w:val="2"/>
          <w:sz w:val="24"/>
          <w:szCs w:val="24"/>
          <w:highlight w:val="none"/>
          <w:lang w:val="en-US" w:eastAsia="zh-CN" w:bidi="ar-SA"/>
        </w:rPr>
        <w:t xml:space="preserve">空调设计系统（招标文件第 78 页） </w:t>
      </w:r>
    </w:p>
    <w:p w14:paraId="6064FD35">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default" w:ascii="宋体" w:hAnsi="宋体" w:eastAsia="宋体" w:cs="宋体"/>
          <w:strike w:val="0"/>
          <w:dstrike w:val="0"/>
          <w:color w:val="auto"/>
          <w:kern w:val="2"/>
          <w:sz w:val="24"/>
          <w:szCs w:val="24"/>
          <w:highlight w:val="none"/>
          <w:lang w:val="en-US" w:eastAsia="zh-CN" w:bidi="ar-SA"/>
        </w:rPr>
      </w:pPr>
      <w:r>
        <w:rPr>
          <w:rFonts w:hint="default" w:ascii="宋体" w:hAnsi="宋体" w:eastAsia="宋体" w:cs="宋体"/>
          <w:strike w:val="0"/>
          <w:dstrike w:val="0"/>
          <w:color w:val="auto"/>
          <w:kern w:val="2"/>
          <w:sz w:val="24"/>
          <w:szCs w:val="24"/>
          <w:highlight w:val="none"/>
          <w:lang w:val="en-US" w:eastAsia="zh-CN" w:bidi="ar-SA"/>
        </w:rPr>
        <w:t xml:space="preserve">6.2 空调设计系统 </w:t>
      </w:r>
    </w:p>
    <w:p w14:paraId="6DEE8019">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default" w:ascii="宋体" w:hAnsi="宋体" w:eastAsia="宋体" w:cs="宋体"/>
          <w:strike w:val="0"/>
          <w:dstrike w:val="0"/>
          <w:color w:val="auto"/>
          <w:kern w:val="2"/>
          <w:sz w:val="24"/>
          <w:szCs w:val="24"/>
          <w:highlight w:val="none"/>
          <w:lang w:val="en-US" w:eastAsia="zh-CN" w:bidi="ar-SA"/>
        </w:rPr>
      </w:pPr>
      <w:r>
        <w:rPr>
          <w:rFonts w:hint="default" w:ascii="宋体" w:hAnsi="宋体" w:eastAsia="宋体" w:cs="宋体"/>
          <w:strike w:val="0"/>
          <w:dstrike w:val="0"/>
          <w:color w:val="auto"/>
          <w:kern w:val="2"/>
          <w:sz w:val="24"/>
          <w:szCs w:val="24"/>
          <w:highlight w:val="none"/>
          <w:lang w:val="en-US" w:eastAsia="zh-CN" w:bidi="ar-SA"/>
        </w:rPr>
        <w:t>具有 AI 多参数自适应精准环境控制（核心基础应用）功能，具有 AI 负荷预测与冷热源群控节能功能，具有滤网与设备 AI 预测性维护功能，具有 AI 异常污染识别与风险预警功能。</w:t>
      </w:r>
      <w:r>
        <w:rPr>
          <w:rFonts w:hint="default" w:ascii="宋体" w:hAnsi="宋体" w:eastAsia="宋体" w:cs="宋体"/>
          <w:b/>
          <w:bCs/>
          <w:strike w:val="0"/>
          <w:dstrike w:val="0"/>
          <w:color w:val="auto"/>
          <w:kern w:val="2"/>
          <w:sz w:val="24"/>
          <w:szCs w:val="24"/>
          <w:highlight w:val="none"/>
          <w:lang w:val="en-US" w:eastAsia="zh-CN" w:bidi="ar-SA"/>
        </w:rPr>
        <w:t>投标文件中提供具有CMA认证的第三方检测机构出具的检测报告扫描件或复印件。</w:t>
      </w:r>
    </w:p>
    <w:p w14:paraId="10AA0F14">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2" w:firstLineChars="200"/>
        <w:textAlignment w:val="auto"/>
        <w:rPr>
          <w:rFonts w:hint="default"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 xml:space="preserve">（二）医用气体（招标文件第 90 页） </w:t>
      </w:r>
    </w:p>
    <w:p w14:paraId="0F7184A7">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default"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 xml:space="preserve">10.10 医用气体终端：（招标文件第 90 页） </w:t>
      </w:r>
    </w:p>
    <w:p w14:paraId="3308CAB5">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default"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▲10.10.2 气体终端技术要求：为保证产品的耐久性，插拔极限次数不少于 50000 次。</w:t>
      </w:r>
      <w:r>
        <w:rPr>
          <w:rFonts w:hint="eastAsia" w:ascii="宋体" w:hAnsi="宋体" w:eastAsia="宋体" w:cs="宋体"/>
          <w:b/>
          <w:bCs/>
          <w:strike w:val="0"/>
          <w:dstrike w:val="0"/>
          <w:color w:val="auto"/>
          <w:kern w:val="2"/>
          <w:sz w:val="24"/>
          <w:szCs w:val="24"/>
          <w:highlight w:val="none"/>
          <w:lang w:val="en-US" w:eastAsia="zh-CN" w:bidi="ar-SA"/>
        </w:rPr>
        <w:t>投标文件中提供具有 CMA 认证的第三方检测机构出具的检测报告扫描件或复印件。</w:t>
      </w:r>
      <w:r>
        <w:rPr>
          <w:rFonts w:hint="eastAsia" w:ascii="宋体" w:hAnsi="宋体" w:eastAsia="宋体" w:cs="宋体"/>
          <w:strike w:val="0"/>
          <w:dstrike w:val="0"/>
          <w:color w:val="auto"/>
          <w:kern w:val="2"/>
          <w:sz w:val="24"/>
          <w:szCs w:val="24"/>
          <w:highlight w:val="none"/>
          <w:lang w:val="en-US" w:eastAsia="zh-CN" w:bidi="ar-SA"/>
        </w:rPr>
        <w:t xml:space="preserve"> </w:t>
      </w:r>
    </w:p>
    <w:p w14:paraId="3ECD0E7E">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default"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 xml:space="preserve">10.10.3 气体终端主体材质为铜制，具备防锈、防盐雾的性能。气体终端具备抗霉菌性能，不含铅、铬、汞等重金属。 </w:t>
      </w:r>
    </w:p>
    <w:p w14:paraId="6A057D1E">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10.10.4 设备带技术要求：设备带铝合金要求 6063-T6 或 6063-T5 材质，须通过四种有害物质铅、汞、镉、六价铬的测定，应具有耐霉菌性能，达到 GB9706.1-2007《医用电气设备第1部分：安全通用要求》。</w:t>
      </w:r>
    </w:p>
    <w:p w14:paraId="7721E659">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 xml:space="preserve">（三）生物安全柜（招标文件第 97 页） </w:t>
      </w:r>
    </w:p>
    <w:p w14:paraId="13EA230B">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 xml:space="preserve">5.3 生物安全柜 </w:t>
      </w:r>
    </w:p>
    <w:p w14:paraId="756AD44E">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 xml:space="preserve">（3）系统配置及技术要求 </w:t>
      </w:r>
    </w:p>
    <w:p w14:paraId="65BEB112">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 xml:space="preserve">3）标配两块 ULPA 超高效过滤器，针对 0.12μm 颗粒系达到过滤效率 99.9995%，过滤膜材质采用无隔板硼硅酸盐玻璃纤维。 </w:t>
      </w:r>
    </w:p>
    <w:p w14:paraId="676FF041">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 xml:space="preserve">4）控制软件 LCD 液晶屏显示可显示工作区温度、气流流速、过滤膜使用寿命等系统参数，可调节各项参数设定，蓝色显示屏数字指示各项参数示值，密码修改程序设置，防止误操作。 </w:t>
      </w:r>
    </w:p>
    <w:p w14:paraId="0FDC4994">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 xml:space="preserve">5）风机自带电压波动补偿功能，具有阻力感应补偿功能，有效地延长超高效过滤器的使用寿命。 </w:t>
      </w:r>
    </w:p>
    <w:p w14:paraId="50992A5B">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 xml:space="preserve">6）温度传感器：可实时检测并显示温度。 </w:t>
      </w:r>
    </w:p>
    <w:p w14:paraId="2DB108AC">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 xml:space="preserve">7）配备过滤器预失效和破损及阻塞报警技术，配备风机过载报警提示。 </w:t>
      </w:r>
    </w:p>
    <w:p w14:paraId="5625FFD8">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2"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★17）生产企业取得医疗器械生产许可证，产品取得医疗器械注册证。投标文件中提供医疗器械生产许可证和医疗器械注册证扫描件或复印件。</w:t>
      </w:r>
      <w:r>
        <w:rPr>
          <w:rFonts w:hint="eastAsia" w:ascii="宋体" w:hAnsi="宋体" w:eastAsia="宋体" w:cs="宋体"/>
          <w:strike w:val="0"/>
          <w:dstrike w:val="0"/>
          <w:color w:val="auto"/>
          <w:kern w:val="2"/>
          <w:sz w:val="24"/>
          <w:szCs w:val="24"/>
          <w:highlight w:val="none"/>
          <w:lang w:val="en-US" w:eastAsia="zh-CN" w:bidi="ar-SA"/>
        </w:rPr>
        <w:t xml:space="preserve"> </w:t>
      </w:r>
    </w:p>
    <w:p w14:paraId="1540B3EE">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 xml:space="preserve">（四）实验室智能空气质控系统（招标文件第 103 页） </w:t>
      </w:r>
    </w:p>
    <w:p w14:paraId="6CB1AEE6">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 xml:space="preserve">7、实验室智能空气质控系统 </w:t>
      </w:r>
    </w:p>
    <w:p w14:paraId="49926376">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 xml:space="preserve">7.1 实验室空气的处理原理 </w:t>
      </w:r>
    </w:p>
    <w:p w14:paraId="0F1B6066">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 xml:space="preserve">7.2 中枢质控柱 </w:t>
      </w:r>
    </w:p>
    <w:p w14:paraId="1CED6308">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(7)产品保护电路连续性符合 GB/T7251.2-2023《低压成套开关设备和控制设备第 2 部分：成套电力开关和控制设备》的要求。产品柜体结构机械强度防护等级≥IP2X、壳体防护等级IP44、接地连续性保护接地电阻≤0.1mΩ、非金属部件阻燃等级≥V-0、绝缘电阻≥100mΩ（500VDC）、端子升温≤70K、机构操作寿命≥5000 次循环无故障。</w:t>
      </w:r>
      <w:r>
        <w:rPr>
          <w:rFonts w:hint="eastAsia" w:ascii="宋体" w:hAnsi="宋体" w:eastAsia="宋体" w:cs="宋体"/>
          <w:b/>
          <w:bCs/>
          <w:strike w:val="0"/>
          <w:dstrike w:val="0"/>
          <w:color w:val="auto"/>
          <w:kern w:val="2"/>
          <w:sz w:val="24"/>
          <w:szCs w:val="24"/>
          <w:highlight w:val="none"/>
          <w:lang w:val="en-US" w:eastAsia="zh-CN" w:bidi="ar-SA"/>
        </w:rPr>
        <w:t>供货时提供具有 CMA 认证的第三方检测机构出具的检测报告扫描件或复印件。</w:t>
      </w:r>
      <w:r>
        <w:rPr>
          <w:rFonts w:hint="eastAsia" w:ascii="宋体" w:hAnsi="宋体" w:eastAsia="宋体" w:cs="宋体"/>
          <w:strike w:val="0"/>
          <w:dstrike w:val="0"/>
          <w:color w:val="auto"/>
          <w:kern w:val="2"/>
          <w:sz w:val="24"/>
          <w:szCs w:val="24"/>
          <w:highlight w:val="none"/>
          <w:lang w:val="en-US" w:eastAsia="zh-CN" w:bidi="ar-SA"/>
        </w:rPr>
        <w:t xml:space="preserve"> </w:t>
      </w:r>
    </w:p>
    <w:p w14:paraId="508A8AD9">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 xml:space="preserve">7.6 动态离子衍生装置 </w:t>
      </w:r>
    </w:p>
    <w:p w14:paraId="12F0D483">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 xml:space="preserve">7.6.3 参数功能 </w:t>
      </w:r>
    </w:p>
    <w:p w14:paraId="7E4DC10B">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 xml:space="preserve">(4)净化效果：要求大肠杆菌（1 小时）净化效率≥99%，黑曲霉（1 小时）净化效率≥99%，白色葡萄球菌（1 小时）净化效率≥99%，自然菌（1 小时）净化效率≥94%，氨（2 小时）去除率≥90%，硫化氢（2 小时）去除率≥90%，甲型流感病毒 A/PR/8/34(1 小时）去除率≥99.9%。 </w:t>
      </w:r>
    </w:p>
    <w:p w14:paraId="5E94EB99">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(5)产品工作电压、工作频率、工作电流、冲击耐压试验等性能满足 GB/T3797-2016 要求，还应满足电磁兼容要求：电磁骚扰发射、抗扰度，对应 GB/T17626 要求。</w:t>
      </w:r>
      <w:r>
        <w:rPr>
          <w:rFonts w:hint="eastAsia" w:ascii="宋体" w:hAnsi="宋体" w:eastAsia="宋体" w:cs="宋体"/>
          <w:b/>
          <w:bCs/>
          <w:strike w:val="0"/>
          <w:dstrike w:val="0"/>
          <w:color w:val="auto"/>
          <w:kern w:val="2"/>
          <w:sz w:val="24"/>
          <w:szCs w:val="24"/>
          <w:highlight w:val="none"/>
          <w:lang w:val="en-US" w:eastAsia="zh-CN" w:bidi="ar-SA"/>
        </w:rPr>
        <w:t>投标文件中提供具有CMA 认证的第三方检测机构出具的检测报告扫描件或复印件。</w:t>
      </w:r>
      <w:r>
        <w:rPr>
          <w:rFonts w:hint="eastAsia" w:ascii="宋体" w:hAnsi="宋体" w:eastAsia="宋体" w:cs="宋体"/>
          <w:strike w:val="0"/>
          <w:dstrike w:val="0"/>
          <w:color w:val="auto"/>
          <w:kern w:val="2"/>
          <w:sz w:val="24"/>
          <w:szCs w:val="24"/>
          <w:highlight w:val="none"/>
          <w:lang w:val="en-US" w:eastAsia="zh-CN" w:bidi="ar-SA"/>
        </w:rPr>
        <w:t xml:space="preserve"> </w:t>
      </w:r>
    </w:p>
    <w:p w14:paraId="3A1740FD">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(6)产品具备耐高温性能，依据 GB/T2423.2 进行 2H 的≥60℃高温试验，产品外观无变化、各项功能指标正常。</w:t>
      </w:r>
      <w:r>
        <w:rPr>
          <w:rFonts w:hint="eastAsia" w:ascii="宋体" w:hAnsi="宋体" w:eastAsia="宋体" w:cs="宋体"/>
          <w:b/>
          <w:bCs/>
          <w:strike w:val="0"/>
          <w:dstrike w:val="0"/>
          <w:color w:val="auto"/>
          <w:kern w:val="2"/>
          <w:sz w:val="24"/>
          <w:szCs w:val="24"/>
          <w:highlight w:val="none"/>
          <w:lang w:val="en-US" w:eastAsia="zh-CN" w:bidi="ar-SA"/>
        </w:rPr>
        <w:t>投标文件中提供具有 CMA 认证的第三方检测机构出具的检测报告扫描件或复印件。</w:t>
      </w:r>
    </w:p>
    <w:p w14:paraId="4F8A0AEB">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2" w:firstLineChars="200"/>
        <w:textAlignment w:val="auto"/>
        <w:rPr>
          <w:rFonts w:hint="default"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（五）响应材料（招标文件第 314 页）</w:t>
      </w:r>
    </w:p>
    <w:p w14:paraId="28AFB904">
      <w:pPr>
        <w:pStyle w:val="2"/>
        <w:pageBreakBefore w:val="0"/>
        <w:kinsoku/>
        <w:overflowPunct/>
        <w:topLinePunct w:val="0"/>
        <w:bidi w:val="0"/>
        <w:snapToGrid w:val="0"/>
        <w:spacing w:before="0" w:line="288" w:lineRule="auto"/>
        <w:jc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响应材料、</w:t>
      </w:r>
      <w:r>
        <w:rPr>
          <w:rFonts w:hint="eastAsia" w:ascii="宋体" w:hAnsi="宋体" w:eastAsia="宋体" w:cs="Times New Roman"/>
          <w:color w:val="auto"/>
          <w:sz w:val="24"/>
          <w:szCs w:val="24"/>
          <w:highlight w:val="none"/>
          <w:lang w:val="en-US" w:eastAsia="zh-CN"/>
        </w:rPr>
        <w:t>检测报告等的清单明细</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
        <w:gridCol w:w="5149"/>
        <w:gridCol w:w="1131"/>
        <w:gridCol w:w="1415"/>
      </w:tblGrid>
      <w:tr w14:paraId="2AEC6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6A0E4FF6">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eastAsia="zh-CN"/>
              </w:rPr>
              <w:t>序号</w:t>
            </w:r>
          </w:p>
        </w:tc>
        <w:tc>
          <w:tcPr>
            <w:tcW w:w="5149" w:type="dxa"/>
            <w:vAlign w:val="center"/>
          </w:tcPr>
          <w:p w14:paraId="5BF0600A">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eastAsia="zh-CN"/>
              </w:rPr>
              <w:t>招标人要求</w:t>
            </w:r>
          </w:p>
        </w:tc>
        <w:tc>
          <w:tcPr>
            <w:tcW w:w="1131" w:type="dxa"/>
            <w:vAlign w:val="center"/>
          </w:tcPr>
          <w:p w14:paraId="5C7239B8">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eastAsia="zh-CN"/>
              </w:rPr>
              <w:t>投标是否响应</w:t>
            </w:r>
          </w:p>
        </w:tc>
        <w:tc>
          <w:tcPr>
            <w:tcW w:w="1415" w:type="dxa"/>
            <w:vAlign w:val="center"/>
          </w:tcPr>
          <w:p w14:paraId="1488518C">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eastAsia="zh-CN"/>
              </w:rPr>
              <w:t>具体响应材料所在页码</w:t>
            </w:r>
          </w:p>
        </w:tc>
      </w:tr>
      <w:tr w14:paraId="28432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1310DB02">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1</w:t>
            </w:r>
          </w:p>
        </w:tc>
        <w:tc>
          <w:tcPr>
            <w:tcW w:w="5149" w:type="dxa"/>
          </w:tcPr>
          <w:p w14:paraId="46A6A2C8">
            <w:pPr>
              <w:pageBreakBefore w:val="0"/>
              <w:widowControl w:val="0"/>
              <w:shd w:val="clear"/>
              <w:kinsoku/>
              <w:wordWrap/>
              <w:overflowPunct/>
              <w:topLinePunct w:val="0"/>
              <w:autoSpaceDE/>
              <w:autoSpaceDN/>
              <w:bidi w:val="0"/>
              <w:adjustRightInd w:val="0"/>
              <w:snapToGrid w:val="0"/>
              <w:spacing w:beforeAutospacing="0" w:afterAutospacing="0" w:line="240" w:lineRule="auto"/>
              <w:jc w:val="both"/>
              <w:textAlignment w:val="auto"/>
              <w:rPr>
                <w:rFonts w:hint="eastAsia" w:ascii="宋体" w:hAnsi="宋体" w:eastAsia="宋体" w:cs="宋体"/>
                <w:b w:val="0"/>
                <w:color w:val="auto"/>
                <w:spacing w:val="0"/>
                <w:kern w:val="2"/>
                <w:sz w:val="22"/>
                <w:szCs w:val="22"/>
                <w:highlight w:val="none"/>
                <w:lang w:val="en-US" w:eastAsia="zh-CN"/>
              </w:rPr>
            </w:pPr>
            <w:r>
              <w:rPr>
                <w:rFonts w:hint="eastAsia" w:ascii="宋体" w:hAnsi="宋体" w:eastAsia="宋体" w:cs="宋体"/>
                <w:color w:val="auto"/>
                <w:spacing w:val="0"/>
                <w:sz w:val="22"/>
                <w:szCs w:val="22"/>
                <w:highlight w:val="none"/>
                <w:lang w:val="en-US" w:eastAsia="zh-CN"/>
              </w:rPr>
              <w:t>6.2.1系统配置</w:t>
            </w:r>
            <w:r>
              <w:rPr>
                <w:rFonts w:hint="eastAsia" w:ascii="宋体" w:hAnsi="宋体" w:eastAsia="宋体" w:cs="宋体"/>
                <w:color w:val="auto"/>
                <w:spacing w:val="0"/>
                <w:sz w:val="22"/>
                <w:szCs w:val="22"/>
                <w:highlight w:val="none"/>
              </w:rPr>
              <w:t>：</w:t>
            </w:r>
            <w:r>
              <w:rPr>
                <w:rFonts w:hint="eastAsia" w:ascii="宋体" w:hAnsi="宋体" w:eastAsia="宋体" w:cs="宋体"/>
                <w:color w:val="auto"/>
                <w:sz w:val="22"/>
                <w:szCs w:val="22"/>
                <w:highlight w:val="none"/>
                <w:lang w:val="zh-CN"/>
              </w:rPr>
              <w:t>具有AI 多参数自适应精准环境控制（核心基础应用）功能，具有AI 负荷预测与冷热源群控节能功能，具有滤网与设备 AI 预测性维护功能，具有AI 异常污染识别与风险预警功能。</w:t>
            </w:r>
            <w:r>
              <w:rPr>
                <w:rFonts w:hint="eastAsia" w:ascii="宋体" w:hAnsi="宋体" w:eastAsia="宋体" w:cs="宋体"/>
                <w:b/>
                <w:bCs/>
                <w:color w:val="auto"/>
                <w:sz w:val="22"/>
                <w:szCs w:val="22"/>
                <w:highlight w:val="none"/>
                <w:lang w:val="zh-CN"/>
              </w:rPr>
              <w:t>投标文件中提供具有CMA认证的第三方检测机构出具的检测报告扫描件或复印件。</w:t>
            </w:r>
          </w:p>
        </w:tc>
        <w:tc>
          <w:tcPr>
            <w:tcW w:w="1131" w:type="dxa"/>
          </w:tcPr>
          <w:p w14:paraId="2886E0F6">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c>
          <w:tcPr>
            <w:tcW w:w="1415" w:type="dxa"/>
          </w:tcPr>
          <w:p w14:paraId="7BEFFF53">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r>
      <w:tr w14:paraId="420DC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04CA46E1">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eastAsia"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2</w:t>
            </w:r>
          </w:p>
        </w:tc>
        <w:tc>
          <w:tcPr>
            <w:tcW w:w="5149" w:type="dxa"/>
          </w:tcPr>
          <w:p w14:paraId="47806805">
            <w:pPr>
              <w:pageBreakBefore w:val="0"/>
              <w:widowControl w:val="0"/>
              <w:shd w:val="clear"/>
              <w:kinsoku/>
              <w:wordWrap/>
              <w:overflowPunct/>
              <w:topLinePunct w:val="0"/>
              <w:autoSpaceDE/>
              <w:autoSpaceDN/>
              <w:bidi w:val="0"/>
              <w:adjustRightInd w:val="0"/>
              <w:snapToGrid w:val="0"/>
              <w:spacing w:beforeAutospacing="0" w:afterAutospacing="0" w:line="240" w:lineRule="auto"/>
              <w:jc w:val="both"/>
              <w:textAlignment w:val="auto"/>
              <w:rPr>
                <w:rFonts w:hint="default" w:ascii="宋体" w:hAnsi="宋体" w:eastAsia="宋体" w:cs="宋体"/>
                <w:b w:val="0"/>
                <w:color w:val="auto"/>
                <w:spacing w:val="0"/>
                <w:kern w:val="2"/>
                <w:sz w:val="22"/>
                <w:szCs w:val="22"/>
                <w:highlight w:val="none"/>
                <w:lang w:val="en-US" w:eastAsia="zh-CN"/>
              </w:rPr>
            </w:pPr>
            <w:r>
              <w:rPr>
                <w:rFonts w:hint="eastAsia" w:ascii="宋体" w:hAnsi="宋体" w:eastAsia="宋体" w:cs="宋体"/>
                <w:color w:val="auto"/>
                <w:sz w:val="22"/>
                <w:szCs w:val="22"/>
                <w:highlight w:val="none"/>
                <w:lang w:val="en-US" w:eastAsia="zh-CN"/>
              </w:rPr>
              <w:t>6.3.1气流组织设计：</w:t>
            </w:r>
            <w:r>
              <w:rPr>
                <w:rFonts w:hint="eastAsia" w:ascii="宋体" w:hAnsi="宋体" w:eastAsia="宋体" w:cs="宋体"/>
                <w:color w:val="auto"/>
                <w:sz w:val="22"/>
                <w:szCs w:val="22"/>
                <w:highlight w:val="none"/>
                <w:lang w:val="zh-CN"/>
              </w:rPr>
              <w:t>（</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lang w:val="zh-CN"/>
              </w:rPr>
              <w:t>）</w:t>
            </w:r>
            <w:r>
              <w:rPr>
                <w:rFonts w:hint="eastAsia" w:ascii="宋体" w:hAnsi="宋体" w:eastAsia="宋体" w:cs="宋体"/>
                <w:color w:val="auto"/>
                <w:sz w:val="22"/>
                <w:szCs w:val="22"/>
                <w:highlight w:val="none"/>
                <w:lang w:val="en-US" w:eastAsia="zh-CN"/>
              </w:rPr>
              <w:t>送风面风速均匀性：≤10%偏差，气流垂直度：≤150偏角，过滤器检漏效率：≥99.99%（MPPS法），箱体漏风率：≤1%，密封条耐久性（次）：≥10万次。</w:t>
            </w:r>
            <w:r>
              <w:rPr>
                <w:rFonts w:hint="eastAsia" w:ascii="宋体" w:hAnsi="宋体" w:eastAsia="宋体" w:cs="宋体"/>
                <w:b/>
                <w:bCs/>
                <w:color w:val="auto"/>
                <w:sz w:val="22"/>
                <w:szCs w:val="22"/>
                <w:highlight w:val="none"/>
                <w:lang w:val="en-US" w:eastAsia="zh-CN"/>
              </w:rPr>
              <w:t>投标文件中提供具有CMA认证的第三方检测机构出具的检测报告扫描件或复印件。</w:t>
            </w:r>
          </w:p>
        </w:tc>
        <w:tc>
          <w:tcPr>
            <w:tcW w:w="1131" w:type="dxa"/>
          </w:tcPr>
          <w:p w14:paraId="2F4AA6CB">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c>
          <w:tcPr>
            <w:tcW w:w="1415" w:type="dxa"/>
          </w:tcPr>
          <w:p w14:paraId="12395ACB">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r>
      <w:tr w14:paraId="51BB5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4A0E2671">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3</w:t>
            </w:r>
          </w:p>
        </w:tc>
        <w:tc>
          <w:tcPr>
            <w:tcW w:w="5149" w:type="dxa"/>
          </w:tcPr>
          <w:p w14:paraId="75E1FB8B">
            <w:pPr>
              <w:pageBreakBefore w:val="0"/>
              <w:widowControl w:val="0"/>
              <w:shd w:val="clear"/>
              <w:kinsoku/>
              <w:wordWrap/>
              <w:overflowPunct/>
              <w:topLinePunct w:val="0"/>
              <w:autoSpaceDE/>
              <w:autoSpaceDN/>
              <w:bidi w:val="0"/>
              <w:adjustRightInd w:val="0"/>
              <w:snapToGrid w:val="0"/>
              <w:spacing w:beforeAutospacing="0" w:afterAutospacing="0" w:line="240" w:lineRule="auto"/>
              <w:jc w:val="both"/>
              <w:textAlignment w:val="auto"/>
              <w:rPr>
                <w:rFonts w:hint="default" w:ascii="宋体" w:hAnsi="宋体" w:eastAsia="宋体" w:cs="宋体"/>
                <w:b/>
                <w:bCs/>
                <w:color w:val="auto"/>
                <w:spacing w:val="0"/>
                <w:kern w:val="2"/>
                <w:sz w:val="22"/>
                <w:szCs w:val="22"/>
                <w:highlight w:val="none"/>
                <w:lang w:val="en-US" w:eastAsia="zh-CN"/>
              </w:rPr>
            </w:pPr>
            <w:r>
              <w:rPr>
                <w:rFonts w:hint="eastAsia" w:ascii="宋体" w:hAnsi="宋体" w:eastAsia="宋体" w:cs="宋体"/>
                <w:color w:val="auto"/>
                <w:sz w:val="22"/>
                <w:szCs w:val="22"/>
                <w:highlight w:val="none"/>
                <w:lang w:val="en-US" w:eastAsia="zh-CN"/>
              </w:rPr>
              <w:t>10.5.2</w:t>
            </w:r>
            <w:r>
              <w:rPr>
                <w:rFonts w:hint="eastAsia" w:ascii="宋体" w:hAnsi="宋体" w:eastAsia="宋体" w:cs="宋体"/>
                <w:color w:val="auto"/>
                <w:sz w:val="22"/>
                <w:szCs w:val="22"/>
                <w:highlight w:val="none"/>
                <w:lang w:val="zh-CN" w:eastAsia="zh-CN"/>
              </w:rPr>
              <w:t>气体报警产品耐热耐寒性能、抗冲击性能、外壳防护等级、外壳耐压性能符合 GB3836.1及 GB3836.2 国家标准的检验报告。</w:t>
            </w:r>
            <w:r>
              <w:rPr>
                <w:rFonts w:hint="eastAsia" w:ascii="宋体" w:hAnsi="宋体" w:eastAsia="宋体" w:cs="宋体"/>
                <w:b/>
                <w:bCs/>
                <w:color w:val="auto"/>
                <w:sz w:val="22"/>
                <w:szCs w:val="22"/>
                <w:highlight w:val="none"/>
                <w:lang w:val="en-US" w:eastAsia="zh-CN"/>
              </w:rPr>
              <w:t>投标文件中提供具有CMA认证的第三方检测机构出具的检测报告扫描件或复印件。</w:t>
            </w:r>
          </w:p>
        </w:tc>
        <w:tc>
          <w:tcPr>
            <w:tcW w:w="1131" w:type="dxa"/>
          </w:tcPr>
          <w:p w14:paraId="69534958">
            <w:pPr>
              <w:pageBreakBefore w:val="0"/>
              <w:widowControl w:val="0"/>
              <w:shd w:val="clea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color w:val="auto"/>
                <w:sz w:val="22"/>
                <w:szCs w:val="22"/>
                <w:highlight w:val="none"/>
                <w:vertAlign w:val="baseline"/>
                <w:lang w:eastAsia="zh-CN"/>
              </w:rPr>
            </w:pPr>
          </w:p>
        </w:tc>
        <w:tc>
          <w:tcPr>
            <w:tcW w:w="1415" w:type="dxa"/>
          </w:tcPr>
          <w:p w14:paraId="66479AC1">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r>
      <w:tr w14:paraId="4635A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3145ECA0">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4</w:t>
            </w:r>
          </w:p>
        </w:tc>
        <w:tc>
          <w:tcPr>
            <w:tcW w:w="5149" w:type="dxa"/>
          </w:tcPr>
          <w:p w14:paraId="126FC5E2">
            <w:pPr>
              <w:pageBreakBefore w:val="0"/>
              <w:widowControl w:val="0"/>
              <w:shd w:val="clear"/>
              <w:kinsoku/>
              <w:wordWrap/>
              <w:overflowPunct/>
              <w:topLinePunct w:val="0"/>
              <w:autoSpaceDE/>
              <w:autoSpaceDN/>
              <w:bidi w:val="0"/>
              <w:adjustRightInd w:val="0"/>
              <w:snapToGrid w:val="0"/>
              <w:spacing w:beforeAutospacing="0" w:afterAutospacing="0" w:line="240" w:lineRule="auto"/>
              <w:jc w:val="both"/>
              <w:textAlignment w:val="auto"/>
              <w:rPr>
                <w:rFonts w:hint="default" w:ascii="宋体" w:hAnsi="宋体" w:eastAsia="宋体" w:cs="宋体"/>
                <w:b/>
                <w:bCs/>
                <w:color w:val="auto"/>
                <w:spacing w:val="0"/>
                <w:kern w:val="2"/>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10.8.3</w:t>
            </w:r>
            <w:r>
              <w:rPr>
                <w:rFonts w:hint="eastAsia" w:ascii="宋体" w:hAnsi="宋体" w:eastAsia="宋体" w:cs="宋体"/>
                <w:b w:val="0"/>
                <w:bCs w:val="0"/>
                <w:color w:val="auto"/>
                <w:sz w:val="22"/>
                <w:szCs w:val="22"/>
                <w:highlight w:val="none"/>
                <w:lang w:val="zh-CN" w:eastAsia="zh-CN"/>
              </w:rPr>
              <w:t>气体报警箱要求六种限用物质铅、汞、镉、六价铬、多溴联苯和多溴二苯醚满足国家要求。</w:t>
            </w:r>
            <w:r>
              <w:rPr>
                <w:rFonts w:hint="eastAsia" w:ascii="宋体" w:hAnsi="宋体" w:eastAsia="宋体" w:cs="宋体"/>
                <w:b/>
                <w:bCs/>
                <w:color w:val="auto"/>
                <w:sz w:val="22"/>
                <w:szCs w:val="22"/>
                <w:highlight w:val="none"/>
                <w:lang w:val="en-US" w:eastAsia="zh-CN"/>
              </w:rPr>
              <w:t>投标文件中提供具有CMA认证的第三方检测机构出具的检测报告扫描件或复印件。</w:t>
            </w:r>
          </w:p>
        </w:tc>
        <w:tc>
          <w:tcPr>
            <w:tcW w:w="1131" w:type="dxa"/>
          </w:tcPr>
          <w:p w14:paraId="119FAD0F">
            <w:pPr>
              <w:pageBreakBefore w:val="0"/>
              <w:widowControl w:val="0"/>
              <w:shd w:val="clea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color w:val="auto"/>
                <w:sz w:val="22"/>
                <w:szCs w:val="22"/>
                <w:highlight w:val="none"/>
                <w:vertAlign w:val="baseline"/>
                <w:lang w:eastAsia="zh-CN"/>
              </w:rPr>
            </w:pPr>
          </w:p>
        </w:tc>
        <w:tc>
          <w:tcPr>
            <w:tcW w:w="1415" w:type="dxa"/>
          </w:tcPr>
          <w:p w14:paraId="0E2F971A">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r>
      <w:tr w14:paraId="535E9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6B37C254">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default" w:ascii="宋体" w:hAnsi="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5</w:t>
            </w:r>
          </w:p>
        </w:tc>
        <w:tc>
          <w:tcPr>
            <w:tcW w:w="5149" w:type="dxa"/>
          </w:tcPr>
          <w:p w14:paraId="0EB88BA1">
            <w:pPr>
              <w:pageBreakBefore w:val="0"/>
              <w:widowControl w:val="0"/>
              <w:shd w:val="clear"/>
              <w:kinsoku/>
              <w:wordWrap/>
              <w:overflowPunct/>
              <w:topLinePunct w:val="0"/>
              <w:autoSpaceDE/>
              <w:autoSpaceDN/>
              <w:bidi w:val="0"/>
              <w:adjustRightInd w:val="0"/>
              <w:snapToGrid w:val="0"/>
              <w:spacing w:beforeAutospacing="0" w:afterAutospacing="0" w:line="240" w:lineRule="auto"/>
              <w:jc w:val="both"/>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color w:val="auto"/>
                <w:sz w:val="22"/>
                <w:szCs w:val="22"/>
                <w:highlight w:val="none"/>
                <w:u w:val="none"/>
                <w:lang w:val="en-US" w:eastAsia="zh-CN"/>
              </w:rPr>
              <w:t>▲</w:t>
            </w:r>
            <w:r>
              <w:rPr>
                <w:rFonts w:hint="eastAsia" w:ascii="宋体" w:hAnsi="宋体" w:eastAsia="宋体" w:cs="宋体"/>
                <w:b/>
                <w:bCs/>
                <w:color w:val="auto"/>
                <w:spacing w:val="0"/>
                <w:kern w:val="2"/>
                <w:sz w:val="22"/>
                <w:szCs w:val="22"/>
                <w:highlight w:val="none"/>
                <w:lang w:val="en-US" w:eastAsia="zh-CN"/>
              </w:rPr>
              <w:t>10.10.2</w:t>
            </w:r>
            <w:r>
              <w:rPr>
                <w:rFonts w:hint="eastAsia" w:ascii="宋体" w:hAnsi="宋体" w:eastAsia="宋体" w:cs="宋体"/>
                <w:b/>
                <w:bCs/>
                <w:color w:val="auto"/>
                <w:kern w:val="2"/>
                <w:sz w:val="22"/>
                <w:szCs w:val="22"/>
                <w:highlight w:val="none"/>
                <w:lang w:val="zh-CN"/>
              </w:rPr>
              <w:t>气体终端技术要求：为保证产品的耐久性，插拔极限次数不少于</w:t>
            </w:r>
            <w:r>
              <w:rPr>
                <w:rFonts w:hint="eastAsia" w:ascii="宋体" w:hAnsi="宋体" w:eastAsia="宋体" w:cs="宋体"/>
                <w:b/>
                <w:bCs/>
                <w:color w:val="auto"/>
                <w:kern w:val="2"/>
                <w:sz w:val="22"/>
                <w:szCs w:val="22"/>
                <w:highlight w:val="none"/>
                <w:lang w:val="en-US" w:eastAsia="zh-CN"/>
              </w:rPr>
              <w:t>5</w:t>
            </w:r>
            <w:r>
              <w:rPr>
                <w:rFonts w:hint="eastAsia" w:ascii="宋体" w:hAnsi="宋体" w:eastAsia="宋体" w:cs="宋体"/>
                <w:b/>
                <w:bCs/>
                <w:color w:val="auto"/>
                <w:kern w:val="2"/>
                <w:sz w:val="22"/>
                <w:szCs w:val="22"/>
                <w:highlight w:val="none"/>
                <w:lang w:val="zh-CN"/>
              </w:rPr>
              <w:t>0000次。</w:t>
            </w:r>
            <w:r>
              <w:rPr>
                <w:rFonts w:hint="eastAsia" w:ascii="宋体" w:hAnsi="宋体" w:eastAsia="宋体" w:cs="宋体"/>
                <w:color w:val="auto"/>
                <w:sz w:val="22"/>
                <w:szCs w:val="22"/>
                <w:highlight w:val="none"/>
                <w:lang w:val="en-US" w:eastAsia="zh-CN"/>
              </w:rPr>
              <w:t>投标文件中</w:t>
            </w:r>
            <w:r>
              <w:rPr>
                <w:rFonts w:hint="eastAsia" w:ascii="宋体" w:hAnsi="宋体" w:eastAsia="宋体" w:cs="宋体"/>
                <w:b/>
                <w:bCs/>
                <w:color w:val="auto"/>
                <w:kern w:val="2"/>
                <w:sz w:val="22"/>
                <w:szCs w:val="22"/>
                <w:highlight w:val="none"/>
                <w:lang w:val="zh-CN"/>
              </w:rPr>
              <w:t>提供具有</w:t>
            </w:r>
            <w:r>
              <w:rPr>
                <w:rFonts w:hint="eastAsia" w:ascii="宋体" w:hAnsi="宋体" w:eastAsia="宋体" w:cs="宋体"/>
                <w:b/>
                <w:bCs/>
                <w:color w:val="auto"/>
                <w:kern w:val="2"/>
                <w:sz w:val="22"/>
                <w:szCs w:val="22"/>
                <w:highlight w:val="none"/>
                <w:lang w:val="en-US"/>
              </w:rPr>
              <w:t>CMA</w:t>
            </w:r>
            <w:r>
              <w:rPr>
                <w:rFonts w:hint="eastAsia" w:ascii="宋体" w:hAnsi="宋体" w:eastAsia="宋体" w:cs="宋体"/>
                <w:b/>
                <w:bCs/>
                <w:color w:val="auto"/>
                <w:kern w:val="2"/>
                <w:sz w:val="22"/>
                <w:szCs w:val="22"/>
                <w:highlight w:val="none"/>
                <w:lang w:val="en-US" w:eastAsia="zh-CN"/>
              </w:rPr>
              <w:t>认证的</w:t>
            </w:r>
            <w:r>
              <w:rPr>
                <w:rFonts w:hint="eastAsia" w:ascii="宋体" w:hAnsi="宋体" w:eastAsia="宋体" w:cs="宋体"/>
                <w:b/>
                <w:bCs/>
                <w:color w:val="auto"/>
                <w:kern w:val="2"/>
                <w:sz w:val="22"/>
                <w:szCs w:val="22"/>
                <w:highlight w:val="none"/>
                <w:lang w:val="zh-CN"/>
              </w:rPr>
              <w:t>第三方检测机构出具的检测报告</w:t>
            </w:r>
            <w:r>
              <w:rPr>
                <w:rFonts w:hint="eastAsia" w:ascii="宋体" w:hAnsi="宋体" w:eastAsia="宋体" w:cs="宋体"/>
                <w:b/>
                <w:bCs/>
                <w:color w:val="auto"/>
                <w:kern w:val="2"/>
                <w:sz w:val="22"/>
                <w:szCs w:val="22"/>
                <w:highlight w:val="none"/>
                <w:lang w:val="en-US" w:eastAsia="zh-CN"/>
              </w:rPr>
              <w:t>扫描件或复印件</w:t>
            </w:r>
            <w:r>
              <w:rPr>
                <w:rFonts w:hint="eastAsia" w:ascii="宋体" w:hAnsi="宋体" w:eastAsia="宋体" w:cs="宋体"/>
                <w:b/>
                <w:bCs/>
                <w:color w:val="auto"/>
                <w:kern w:val="2"/>
                <w:sz w:val="22"/>
                <w:szCs w:val="22"/>
                <w:highlight w:val="none"/>
                <w:lang w:val="zh-CN"/>
              </w:rPr>
              <w:t>。</w:t>
            </w:r>
          </w:p>
        </w:tc>
        <w:tc>
          <w:tcPr>
            <w:tcW w:w="1131" w:type="dxa"/>
          </w:tcPr>
          <w:p w14:paraId="05AB2355">
            <w:pPr>
              <w:pageBreakBefore w:val="0"/>
              <w:widowControl w:val="0"/>
              <w:shd w:val="clea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color w:val="auto"/>
                <w:sz w:val="22"/>
                <w:szCs w:val="22"/>
                <w:highlight w:val="none"/>
                <w:vertAlign w:val="baseline"/>
                <w:lang w:eastAsia="zh-CN"/>
              </w:rPr>
            </w:pPr>
          </w:p>
        </w:tc>
        <w:tc>
          <w:tcPr>
            <w:tcW w:w="1415" w:type="dxa"/>
          </w:tcPr>
          <w:p w14:paraId="55F398DE">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r>
      <w:tr w14:paraId="47E19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09478905">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default" w:ascii="宋体" w:hAnsi="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6</w:t>
            </w:r>
          </w:p>
        </w:tc>
        <w:tc>
          <w:tcPr>
            <w:tcW w:w="5149" w:type="dxa"/>
          </w:tcPr>
          <w:p w14:paraId="1B0E38C7">
            <w:pPr>
              <w:pageBreakBefore w:val="0"/>
              <w:widowControl w:val="0"/>
              <w:shd w:val="clear"/>
              <w:kinsoku/>
              <w:wordWrap/>
              <w:overflowPunct/>
              <w:topLinePunct w:val="0"/>
              <w:autoSpaceDE/>
              <w:autoSpaceDN/>
              <w:bidi w:val="0"/>
              <w:adjustRightInd w:val="0"/>
              <w:snapToGrid w:val="0"/>
              <w:spacing w:beforeAutospacing="0" w:afterAutospacing="0" w:line="240" w:lineRule="auto"/>
              <w:ind w:left="0" w:leftChars="0" w:firstLine="440" w:firstLineChars="200"/>
              <w:jc w:val="both"/>
              <w:textAlignment w:val="auto"/>
              <w:rPr>
                <w:rFonts w:hint="eastAsia" w:ascii="宋体" w:hAnsi="宋体" w:eastAsia="宋体" w:cs="宋体"/>
                <w:color w:val="auto"/>
                <w:spacing w:val="0"/>
                <w:sz w:val="22"/>
                <w:szCs w:val="22"/>
                <w:highlight w:val="none"/>
              </w:rPr>
            </w:pPr>
            <w:r>
              <w:rPr>
                <w:rFonts w:hint="eastAsia" w:ascii="宋体" w:hAnsi="宋体" w:eastAsia="宋体" w:cs="宋体"/>
                <w:color w:val="auto"/>
                <w:spacing w:val="0"/>
                <w:sz w:val="22"/>
                <w:szCs w:val="22"/>
                <w:highlight w:val="none"/>
                <w:lang w:val="en-US" w:eastAsia="zh-CN"/>
              </w:rPr>
              <w:t>5.2墙体、墙面：</w:t>
            </w:r>
          </w:p>
          <w:p w14:paraId="52C7DE07">
            <w:pPr>
              <w:pageBreakBefore w:val="0"/>
              <w:widowControl w:val="0"/>
              <w:shd w:val="clear"/>
              <w:kinsoku/>
              <w:wordWrap/>
              <w:overflowPunct/>
              <w:topLinePunct w:val="0"/>
              <w:autoSpaceDE/>
              <w:autoSpaceDN/>
              <w:bidi w:val="0"/>
              <w:adjustRightInd w:val="0"/>
              <w:snapToGrid w:val="0"/>
              <w:spacing w:beforeAutospacing="0" w:afterAutospacing="0" w:line="240" w:lineRule="auto"/>
              <w:ind w:firstLine="440" w:firstLineChars="200"/>
              <w:jc w:val="both"/>
              <w:textAlignment w:val="auto"/>
              <w:rPr>
                <w:rFonts w:hint="eastAsia" w:ascii="宋体" w:hAnsi="宋体" w:eastAsia="宋体" w:cs="宋体"/>
                <w:b/>
                <w:bCs/>
                <w:color w:val="auto"/>
                <w:sz w:val="22"/>
                <w:szCs w:val="22"/>
                <w:highlight w:val="none"/>
                <w:u w:val="none"/>
                <w:lang w:val="en-US" w:eastAsia="zh-CN"/>
              </w:rPr>
            </w:pPr>
            <w:r>
              <w:rPr>
                <w:rFonts w:hint="eastAsia" w:ascii="宋体" w:hAnsi="宋体" w:eastAsia="宋体" w:cs="宋体"/>
                <w:color w:val="auto"/>
                <w:spacing w:val="0"/>
                <w:sz w:val="22"/>
                <w:szCs w:val="22"/>
                <w:highlight w:val="none"/>
              </w:rPr>
              <w:t>耐磨含钛喷涂摩擦系统0.05-0.20，涂层耐磨面积≤6%，厚度损失≤0.03mm；耐霉菌性能≥99%；抗碘伏、碘酒、酒精、双氧水、硼酸、高锰酸钾、84消毒液腐蚀测试表面无变化。</w:t>
            </w:r>
            <w:r>
              <w:rPr>
                <w:rFonts w:hint="eastAsia" w:ascii="宋体" w:hAnsi="宋体" w:eastAsia="宋体" w:cs="宋体"/>
                <w:b/>
                <w:bCs/>
                <w:color w:val="auto"/>
                <w:spacing w:val="0"/>
                <w:sz w:val="22"/>
                <w:szCs w:val="22"/>
                <w:highlight w:val="none"/>
              </w:rPr>
              <w:t>投标文件中提供具有CMA认证的第三方检测机构出具的检测报告扫描件或复印件。</w:t>
            </w:r>
          </w:p>
        </w:tc>
        <w:tc>
          <w:tcPr>
            <w:tcW w:w="1131" w:type="dxa"/>
          </w:tcPr>
          <w:p w14:paraId="1EC16264">
            <w:pPr>
              <w:pageBreakBefore w:val="0"/>
              <w:widowControl w:val="0"/>
              <w:shd w:val="clear"/>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color w:val="auto"/>
                <w:sz w:val="22"/>
                <w:szCs w:val="22"/>
                <w:highlight w:val="none"/>
                <w:vertAlign w:val="baseline"/>
                <w:lang w:eastAsia="zh-CN"/>
              </w:rPr>
            </w:pPr>
          </w:p>
        </w:tc>
        <w:tc>
          <w:tcPr>
            <w:tcW w:w="1415" w:type="dxa"/>
          </w:tcPr>
          <w:p w14:paraId="6F2F57CB">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r>
      <w:tr w14:paraId="2D02B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3A04C008">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eastAsia"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7</w:t>
            </w:r>
          </w:p>
        </w:tc>
        <w:tc>
          <w:tcPr>
            <w:tcW w:w="5149" w:type="dxa"/>
          </w:tcPr>
          <w:p w14:paraId="7A4CA6DE">
            <w:pPr>
              <w:keepNext w:val="0"/>
              <w:keepLines w:val="0"/>
              <w:pageBreakBefore w:val="0"/>
              <w:widowControl w:val="0"/>
              <w:shd w:val="clear"/>
              <w:kinsoku/>
              <w:wordWrap/>
              <w:overflowPunct/>
              <w:topLinePunct w:val="0"/>
              <w:autoSpaceDE/>
              <w:autoSpaceDN/>
              <w:bidi w:val="0"/>
              <w:adjustRightInd w:val="0"/>
              <w:snapToGrid w:val="0"/>
              <w:spacing w:beforeAutospacing="0" w:afterAutospacing="0" w:line="240" w:lineRule="auto"/>
              <w:ind w:left="0" w:leftChars="0" w:firstLine="0" w:firstLineChars="0"/>
              <w:jc w:val="both"/>
              <w:textAlignment w:val="auto"/>
              <w:rPr>
                <w:rFonts w:hint="eastAsia" w:ascii="宋体" w:hAnsi="宋体" w:eastAsia="宋体" w:cs="宋体"/>
                <w:color w:val="auto"/>
                <w:spacing w:val="0"/>
                <w:sz w:val="22"/>
                <w:szCs w:val="22"/>
                <w:highlight w:val="none"/>
                <w:lang w:eastAsia="zh-CN"/>
              </w:rPr>
            </w:pPr>
            <w:r>
              <w:rPr>
                <w:rFonts w:hint="eastAsia" w:ascii="宋体" w:hAnsi="宋体" w:eastAsia="宋体" w:cs="宋体"/>
                <w:color w:val="auto"/>
                <w:spacing w:val="0"/>
                <w:sz w:val="22"/>
                <w:szCs w:val="22"/>
                <w:highlight w:val="none"/>
              </w:rPr>
              <w:t>生物安全柜</w:t>
            </w:r>
            <w:r>
              <w:rPr>
                <w:rFonts w:hint="eastAsia" w:ascii="宋体" w:hAnsi="宋体" w:eastAsia="宋体" w:cs="宋体"/>
                <w:color w:val="auto"/>
                <w:spacing w:val="0"/>
                <w:sz w:val="22"/>
                <w:szCs w:val="22"/>
                <w:highlight w:val="none"/>
                <w:lang w:eastAsia="zh-CN"/>
              </w:rPr>
              <w:t>：</w:t>
            </w:r>
          </w:p>
          <w:p w14:paraId="604188F0">
            <w:pPr>
              <w:keepNext w:val="0"/>
              <w:keepLines w:val="0"/>
              <w:pageBreakBefore w:val="0"/>
              <w:widowControl w:val="0"/>
              <w:shd w:val="clear"/>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b w:val="0"/>
                <w:color w:val="auto"/>
                <w:spacing w:val="0"/>
                <w:kern w:val="2"/>
                <w:sz w:val="22"/>
                <w:szCs w:val="22"/>
                <w:highlight w:val="none"/>
                <w:lang w:val="zh-CN"/>
              </w:rPr>
            </w:pPr>
            <w:r>
              <w:rPr>
                <w:rFonts w:hint="eastAsia" w:ascii="宋体" w:hAnsi="宋体" w:eastAsia="宋体" w:cs="宋体"/>
                <w:b/>
                <w:bCs/>
                <w:strike w:val="0"/>
                <w:color w:val="auto"/>
                <w:spacing w:val="0"/>
                <w:sz w:val="22"/>
                <w:szCs w:val="22"/>
                <w:highlight w:val="none"/>
                <w:lang w:val="en-US" w:eastAsia="zh-CN"/>
              </w:rPr>
              <w:t>★17）</w:t>
            </w:r>
            <w:r>
              <w:rPr>
                <w:rFonts w:hint="eastAsia" w:ascii="宋体" w:hAnsi="宋体" w:eastAsia="宋体" w:cs="宋体"/>
                <w:b/>
                <w:bCs/>
                <w:strike w:val="0"/>
                <w:color w:val="auto"/>
                <w:spacing w:val="0"/>
                <w:sz w:val="22"/>
                <w:szCs w:val="22"/>
                <w:highlight w:val="none"/>
              </w:rPr>
              <w:t>生产企业取得医疗器械生产许可证，产品取得医疗器械注册证。</w:t>
            </w:r>
            <w:r>
              <w:rPr>
                <w:rFonts w:hint="eastAsia" w:ascii="宋体" w:hAnsi="宋体" w:eastAsia="宋体" w:cs="宋体"/>
                <w:b/>
                <w:bCs/>
                <w:strike w:val="0"/>
                <w:color w:val="auto"/>
                <w:spacing w:val="0"/>
                <w:sz w:val="22"/>
                <w:szCs w:val="22"/>
                <w:highlight w:val="none"/>
                <w:lang w:eastAsia="zh-CN"/>
              </w:rPr>
              <w:t>投标文件中提供</w:t>
            </w:r>
            <w:r>
              <w:rPr>
                <w:rFonts w:hint="eastAsia" w:ascii="宋体" w:hAnsi="宋体" w:eastAsia="宋体" w:cs="宋体"/>
                <w:b/>
                <w:bCs/>
                <w:strike w:val="0"/>
                <w:color w:val="auto"/>
                <w:spacing w:val="0"/>
                <w:sz w:val="22"/>
                <w:szCs w:val="22"/>
                <w:highlight w:val="none"/>
              </w:rPr>
              <w:t>医疗器械生产许可证</w:t>
            </w:r>
            <w:r>
              <w:rPr>
                <w:rFonts w:hint="eastAsia" w:ascii="宋体" w:hAnsi="宋体" w:eastAsia="宋体" w:cs="宋体"/>
                <w:b/>
                <w:bCs/>
                <w:strike w:val="0"/>
                <w:color w:val="auto"/>
                <w:spacing w:val="0"/>
                <w:sz w:val="22"/>
                <w:szCs w:val="22"/>
                <w:highlight w:val="none"/>
                <w:lang w:eastAsia="zh-CN"/>
              </w:rPr>
              <w:t>和</w:t>
            </w:r>
            <w:r>
              <w:rPr>
                <w:rFonts w:hint="eastAsia" w:ascii="宋体" w:hAnsi="宋体" w:eastAsia="宋体" w:cs="宋体"/>
                <w:b/>
                <w:bCs/>
                <w:strike w:val="0"/>
                <w:color w:val="auto"/>
                <w:spacing w:val="0"/>
                <w:sz w:val="22"/>
                <w:szCs w:val="22"/>
                <w:highlight w:val="none"/>
              </w:rPr>
              <w:t>医疗器械注册证</w:t>
            </w:r>
            <w:r>
              <w:rPr>
                <w:rFonts w:hint="eastAsia" w:ascii="宋体" w:hAnsi="宋体" w:eastAsia="宋体" w:cs="宋体"/>
                <w:b/>
                <w:bCs/>
                <w:strike w:val="0"/>
                <w:color w:val="auto"/>
                <w:spacing w:val="0"/>
                <w:sz w:val="22"/>
                <w:szCs w:val="22"/>
                <w:highlight w:val="none"/>
                <w:lang w:eastAsia="zh-CN"/>
              </w:rPr>
              <w:t>扫描件或复印件。</w:t>
            </w:r>
          </w:p>
        </w:tc>
        <w:tc>
          <w:tcPr>
            <w:tcW w:w="1131" w:type="dxa"/>
          </w:tcPr>
          <w:p w14:paraId="3A1FC3C3">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c>
          <w:tcPr>
            <w:tcW w:w="1415" w:type="dxa"/>
          </w:tcPr>
          <w:p w14:paraId="430950B1">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r>
      <w:tr w14:paraId="3CD98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097D3EC9">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eastAsia"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8</w:t>
            </w:r>
          </w:p>
        </w:tc>
        <w:tc>
          <w:tcPr>
            <w:tcW w:w="5149" w:type="dxa"/>
          </w:tcPr>
          <w:p w14:paraId="4DD14124">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both"/>
              <w:textAlignment w:val="auto"/>
              <w:rPr>
                <w:rFonts w:hint="eastAsia" w:ascii="宋体" w:hAnsi="宋体" w:eastAsia="宋体" w:cs="宋体"/>
                <w:color w:val="auto"/>
                <w:spacing w:val="0"/>
                <w:sz w:val="22"/>
                <w:szCs w:val="22"/>
                <w:highlight w:val="none"/>
              </w:rPr>
            </w:pPr>
            <w:r>
              <w:rPr>
                <w:rFonts w:hint="eastAsia" w:ascii="宋体" w:hAnsi="宋体" w:eastAsia="宋体" w:cs="宋体"/>
                <w:color w:val="auto"/>
                <w:spacing w:val="0"/>
                <w:sz w:val="22"/>
                <w:szCs w:val="22"/>
                <w:highlight w:val="none"/>
                <w:lang w:eastAsia="zh-CN"/>
              </w:rPr>
              <w:t>洁净工作台（超净工作台）</w:t>
            </w:r>
          </w:p>
          <w:p w14:paraId="2843508C">
            <w:pPr>
              <w:keepNext w:val="0"/>
              <w:keepLines w:val="0"/>
              <w:pageBreakBefore w:val="0"/>
              <w:widowControl w:val="0"/>
              <w:shd w:val="clear"/>
              <w:kinsoku/>
              <w:wordWrap/>
              <w:overflowPunct/>
              <w:topLinePunct w:val="0"/>
              <w:autoSpaceDE/>
              <w:autoSpaceDN/>
              <w:bidi w:val="0"/>
              <w:adjustRightInd w:val="0"/>
              <w:snapToGrid w:val="0"/>
              <w:spacing w:before="0" w:after="0" w:line="240" w:lineRule="auto"/>
              <w:ind w:firstLine="440" w:firstLineChars="200"/>
              <w:jc w:val="both"/>
              <w:textAlignment w:val="auto"/>
              <w:rPr>
                <w:rFonts w:hint="eastAsia" w:ascii="宋体" w:hAnsi="宋体" w:eastAsia="宋体" w:cs="宋体"/>
                <w:b/>
                <w:bCs/>
                <w:strike w:val="0"/>
                <w:color w:val="auto"/>
                <w:spacing w:val="0"/>
                <w:sz w:val="22"/>
                <w:szCs w:val="22"/>
                <w:highlight w:val="none"/>
                <w:lang w:val="en-US" w:eastAsia="zh-CN"/>
              </w:rPr>
            </w:pPr>
            <w:r>
              <w:rPr>
                <w:rFonts w:hint="eastAsia" w:ascii="宋体" w:hAnsi="宋体" w:eastAsia="宋体" w:cs="宋体"/>
                <w:b w:val="0"/>
                <w:bCs w:val="0"/>
                <w:color w:val="auto"/>
                <w:sz w:val="22"/>
                <w:szCs w:val="22"/>
                <w:highlight w:val="none"/>
                <w:u w:val="none"/>
                <w:lang w:val="en-US" w:eastAsia="zh-CN"/>
              </w:rPr>
              <w:t>★</w:t>
            </w:r>
            <w:r>
              <w:rPr>
                <w:rFonts w:hint="eastAsia" w:ascii="宋体" w:hAnsi="宋体" w:eastAsia="宋体" w:cs="宋体"/>
                <w:b/>
                <w:bCs/>
                <w:color w:val="auto"/>
                <w:sz w:val="22"/>
                <w:szCs w:val="22"/>
                <w:highlight w:val="none"/>
                <w:u w:val="none"/>
                <w:lang w:val="en-US" w:eastAsia="zh-CN"/>
              </w:rPr>
              <w:t>1</w:t>
            </w:r>
            <w:r>
              <w:rPr>
                <w:rFonts w:hint="eastAsia" w:ascii="宋体" w:hAnsi="宋体" w:eastAsia="宋体" w:cs="宋体"/>
                <w:b/>
                <w:bCs/>
                <w:strike w:val="0"/>
                <w:color w:val="auto"/>
                <w:spacing w:val="0"/>
                <w:sz w:val="22"/>
                <w:szCs w:val="22"/>
                <w:highlight w:val="none"/>
                <w:lang w:val="en-US" w:eastAsia="zh-CN"/>
              </w:rPr>
              <w:t>）</w:t>
            </w:r>
            <w:r>
              <w:rPr>
                <w:rFonts w:hint="eastAsia" w:ascii="宋体" w:hAnsi="宋体" w:eastAsia="宋体" w:cs="宋体"/>
                <w:b/>
                <w:bCs/>
                <w:strike w:val="0"/>
                <w:color w:val="auto"/>
                <w:spacing w:val="0"/>
                <w:sz w:val="22"/>
                <w:szCs w:val="22"/>
                <w:highlight w:val="none"/>
              </w:rPr>
              <w:t>生产企业取得医疗器械生产许可证，产品取得医疗器械注册证。</w:t>
            </w:r>
            <w:r>
              <w:rPr>
                <w:rFonts w:hint="eastAsia" w:ascii="宋体" w:hAnsi="宋体" w:eastAsia="宋体" w:cs="宋体"/>
                <w:b/>
                <w:bCs/>
                <w:strike w:val="0"/>
                <w:color w:val="auto"/>
                <w:spacing w:val="0"/>
                <w:sz w:val="22"/>
                <w:szCs w:val="22"/>
                <w:highlight w:val="none"/>
                <w:lang w:eastAsia="zh-CN"/>
              </w:rPr>
              <w:t>投标文件中提供</w:t>
            </w:r>
            <w:r>
              <w:rPr>
                <w:rFonts w:hint="eastAsia" w:ascii="宋体" w:hAnsi="宋体" w:eastAsia="宋体" w:cs="宋体"/>
                <w:b/>
                <w:bCs/>
                <w:strike w:val="0"/>
                <w:color w:val="auto"/>
                <w:spacing w:val="0"/>
                <w:sz w:val="22"/>
                <w:szCs w:val="22"/>
                <w:highlight w:val="none"/>
              </w:rPr>
              <w:t>医疗器械生产许可证</w:t>
            </w:r>
            <w:r>
              <w:rPr>
                <w:rFonts w:hint="eastAsia" w:ascii="宋体" w:hAnsi="宋体" w:eastAsia="宋体" w:cs="宋体"/>
                <w:b/>
                <w:bCs/>
                <w:strike w:val="0"/>
                <w:color w:val="auto"/>
                <w:spacing w:val="0"/>
                <w:sz w:val="22"/>
                <w:szCs w:val="22"/>
                <w:highlight w:val="none"/>
                <w:lang w:eastAsia="zh-CN"/>
              </w:rPr>
              <w:t>和</w:t>
            </w:r>
            <w:r>
              <w:rPr>
                <w:rFonts w:hint="eastAsia" w:ascii="宋体" w:hAnsi="宋体" w:eastAsia="宋体" w:cs="宋体"/>
                <w:b/>
                <w:bCs/>
                <w:strike w:val="0"/>
                <w:color w:val="auto"/>
                <w:spacing w:val="0"/>
                <w:sz w:val="22"/>
                <w:szCs w:val="22"/>
                <w:highlight w:val="none"/>
              </w:rPr>
              <w:t>医疗器械注册证</w:t>
            </w:r>
            <w:r>
              <w:rPr>
                <w:rFonts w:hint="eastAsia" w:ascii="宋体" w:hAnsi="宋体" w:eastAsia="宋体" w:cs="宋体"/>
                <w:b/>
                <w:bCs/>
                <w:strike w:val="0"/>
                <w:color w:val="auto"/>
                <w:spacing w:val="0"/>
                <w:sz w:val="22"/>
                <w:szCs w:val="22"/>
                <w:highlight w:val="none"/>
                <w:lang w:eastAsia="zh-CN"/>
              </w:rPr>
              <w:t>扫描件或复印件。</w:t>
            </w:r>
          </w:p>
        </w:tc>
        <w:tc>
          <w:tcPr>
            <w:tcW w:w="1131" w:type="dxa"/>
          </w:tcPr>
          <w:p w14:paraId="649B7E8C">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c>
          <w:tcPr>
            <w:tcW w:w="1415" w:type="dxa"/>
          </w:tcPr>
          <w:p w14:paraId="09102D9C">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r>
      <w:tr w14:paraId="4C990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40203F64">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9</w:t>
            </w:r>
          </w:p>
        </w:tc>
        <w:tc>
          <w:tcPr>
            <w:tcW w:w="5149" w:type="dxa"/>
          </w:tcPr>
          <w:p w14:paraId="6F3C7ACD">
            <w:pPr>
              <w:pageBreakBefore w:val="0"/>
              <w:widowControl w:val="0"/>
              <w:shd w:val="clear"/>
              <w:kinsoku/>
              <w:wordWrap/>
              <w:overflowPunct/>
              <w:topLinePunct w:val="0"/>
              <w:autoSpaceDE/>
              <w:autoSpaceDN/>
              <w:bidi w:val="0"/>
              <w:adjustRightInd w:val="0"/>
              <w:snapToGrid w:val="0"/>
              <w:spacing w:line="240" w:lineRule="auto"/>
              <w:ind w:firstLine="480"/>
              <w:jc w:val="both"/>
              <w:textAlignment w:val="auto"/>
              <w:rPr>
                <w:rFonts w:hint="eastAsia" w:ascii="宋体" w:hAnsi="宋体" w:eastAsia="宋体" w:cs="宋体"/>
                <w:color w:val="auto"/>
                <w:spacing w:val="0"/>
                <w:sz w:val="22"/>
                <w:szCs w:val="22"/>
                <w:highlight w:val="none"/>
              </w:rPr>
            </w:pPr>
            <w:r>
              <w:rPr>
                <w:rFonts w:hint="eastAsia" w:ascii="宋体" w:hAnsi="宋体" w:eastAsia="宋体" w:cs="宋体"/>
                <w:color w:val="auto"/>
                <w:spacing w:val="0"/>
                <w:sz w:val="22"/>
                <w:szCs w:val="22"/>
                <w:highlight w:val="none"/>
                <w:lang w:val="en-US" w:eastAsia="zh-CN"/>
              </w:rPr>
              <w:t>7.6</w:t>
            </w:r>
            <w:r>
              <w:rPr>
                <w:rFonts w:hint="eastAsia" w:ascii="宋体" w:hAnsi="宋体" w:eastAsia="宋体" w:cs="宋体"/>
                <w:color w:val="auto"/>
                <w:spacing w:val="0"/>
                <w:sz w:val="22"/>
                <w:szCs w:val="22"/>
                <w:highlight w:val="none"/>
              </w:rPr>
              <w:t>动态离子衍生装置</w:t>
            </w:r>
          </w:p>
          <w:p w14:paraId="15002F10">
            <w:pPr>
              <w:pageBreakBefore w:val="0"/>
              <w:widowControl w:val="0"/>
              <w:shd w:val="clear"/>
              <w:kinsoku/>
              <w:wordWrap/>
              <w:overflowPunct/>
              <w:topLinePunct w:val="0"/>
              <w:autoSpaceDE/>
              <w:autoSpaceDN/>
              <w:bidi w:val="0"/>
              <w:adjustRightInd w:val="0"/>
              <w:snapToGrid w:val="0"/>
              <w:spacing w:line="240" w:lineRule="auto"/>
              <w:ind w:firstLine="480"/>
              <w:jc w:val="both"/>
              <w:textAlignment w:val="auto"/>
              <w:rPr>
                <w:rFonts w:hint="eastAsia" w:ascii="宋体" w:hAnsi="宋体" w:eastAsia="宋体" w:cs="宋体"/>
                <w:color w:val="auto"/>
                <w:spacing w:val="0"/>
                <w:sz w:val="22"/>
                <w:szCs w:val="22"/>
                <w:highlight w:val="none"/>
              </w:rPr>
            </w:pPr>
            <w:r>
              <w:rPr>
                <w:rFonts w:hint="eastAsia" w:ascii="宋体" w:hAnsi="宋体" w:eastAsia="宋体" w:cs="宋体"/>
                <w:color w:val="auto"/>
                <w:spacing w:val="0"/>
                <w:sz w:val="22"/>
                <w:szCs w:val="22"/>
                <w:highlight w:val="none"/>
                <w:lang w:val="en-US" w:eastAsia="zh-CN"/>
              </w:rPr>
              <w:t>7.6.3</w:t>
            </w:r>
            <w:r>
              <w:rPr>
                <w:rFonts w:hint="eastAsia" w:ascii="宋体" w:hAnsi="宋体" w:eastAsia="宋体" w:cs="宋体"/>
                <w:color w:val="auto"/>
                <w:spacing w:val="0"/>
                <w:sz w:val="22"/>
                <w:szCs w:val="22"/>
                <w:highlight w:val="none"/>
              </w:rPr>
              <w:t>参数功能</w:t>
            </w:r>
          </w:p>
          <w:p w14:paraId="128FD30A">
            <w:pPr>
              <w:pageBreakBefore w:val="0"/>
              <w:widowControl w:val="0"/>
              <w:shd w:val="clear"/>
              <w:kinsoku/>
              <w:wordWrap/>
              <w:overflowPunct/>
              <w:topLinePunct w:val="0"/>
              <w:autoSpaceDE/>
              <w:autoSpaceDN/>
              <w:bidi w:val="0"/>
              <w:adjustRightInd w:val="0"/>
              <w:snapToGrid w:val="0"/>
              <w:spacing w:beforeAutospacing="0" w:afterAutospacing="0" w:line="240" w:lineRule="auto"/>
              <w:ind w:left="0" w:leftChars="0" w:firstLine="480"/>
              <w:jc w:val="both"/>
              <w:textAlignment w:val="auto"/>
              <w:rPr>
                <w:rFonts w:hint="eastAsia" w:ascii="宋体" w:hAnsi="宋体" w:eastAsia="宋体" w:cs="宋体"/>
                <w:color w:val="auto"/>
                <w:spacing w:val="0"/>
                <w:sz w:val="22"/>
                <w:szCs w:val="22"/>
                <w:highlight w:val="none"/>
              </w:rPr>
            </w:pPr>
            <w:r>
              <w:rPr>
                <w:rFonts w:hint="eastAsia" w:ascii="宋体" w:hAnsi="宋体" w:eastAsia="宋体" w:cs="宋体"/>
                <w:color w:val="auto"/>
                <w:spacing w:val="0"/>
                <w:sz w:val="22"/>
                <w:szCs w:val="22"/>
                <w:highlight w:val="none"/>
              </w:rPr>
              <w:t>(5)产品工作电压、工作频率、工作电流、冲击耐压试验等性能满足GB/T 3797-2016要求，还应满足电磁兼容要求：电磁骚扰发射、抗扰度，对应 GB/T 17626 要求。</w:t>
            </w:r>
            <w:r>
              <w:rPr>
                <w:rFonts w:hint="eastAsia" w:ascii="宋体" w:hAnsi="宋体" w:eastAsia="宋体" w:cs="宋体"/>
                <w:b/>
                <w:bCs/>
                <w:color w:val="auto"/>
                <w:spacing w:val="0"/>
                <w:sz w:val="22"/>
                <w:szCs w:val="22"/>
                <w:highlight w:val="none"/>
              </w:rPr>
              <w:t>投标文件中提供具有CMA认证的第三方检测机构出具的检测报告扫描件或复印件。</w:t>
            </w:r>
          </w:p>
          <w:p w14:paraId="4085308A">
            <w:pPr>
              <w:pageBreakBefore w:val="0"/>
              <w:widowControl w:val="0"/>
              <w:shd w:val="clear"/>
              <w:kinsoku/>
              <w:wordWrap/>
              <w:overflowPunct/>
              <w:topLinePunct w:val="0"/>
              <w:autoSpaceDE/>
              <w:autoSpaceDN/>
              <w:bidi w:val="0"/>
              <w:adjustRightInd w:val="0"/>
              <w:snapToGrid w:val="0"/>
              <w:spacing w:line="240" w:lineRule="auto"/>
              <w:ind w:firstLine="480"/>
              <w:jc w:val="both"/>
              <w:textAlignment w:val="auto"/>
              <w:rPr>
                <w:rFonts w:hint="eastAsia" w:ascii="宋体" w:hAnsi="宋体" w:eastAsia="宋体" w:cs="宋体"/>
                <w:b w:val="0"/>
                <w:color w:val="auto"/>
                <w:spacing w:val="0"/>
                <w:kern w:val="2"/>
                <w:sz w:val="22"/>
                <w:szCs w:val="22"/>
                <w:highlight w:val="none"/>
                <w:lang w:val="zh-CN"/>
              </w:rPr>
            </w:pPr>
            <w:r>
              <w:rPr>
                <w:rFonts w:hint="eastAsia" w:ascii="宋体" w:hAnsi="宋体" w:eastAsia="宋体" w:cs="宋体"/>
                <w:color w:val="auto"/>
                <w:spacing w:val="0"/>
                <w:sz w:val="22"/>
                <w:szCs w:val="22"/>
                <w:highlight w:val="none"/>
              </w:rPr>
              <w:t>(6)产品具备耐高温性能，依据GB/T2423.2进行2H的≥60℃高温试验，产品外观无变化、各项功能指标正常。</w:t>
            </w:r>
            <w:r>
              <w:rPr>
                <w:rFonts w:hint="eastAsia" w:ascii="宋体" w:hAnsi="宋体" w:eastAsia="宋体" w:cs="宋体"/>
                <w:b/>
                <w:bCs/>
                <w:color w:val="auto"/>
                <w:spacing w:val="0"/>
                <w:sz w:val="22"/>
                <w:szCs w:val="22"/>
                <w:highlight w:val="none"/>
              </w:rPr>
              <w:t>投标文件中提供具有CMA认证的第三方检测机构出具的检测报告扫描件或复印件。</w:t>
            </w:r>
          </w:p>
        </w:tc>
        <w:tc>
          <w:tcPr>
            <w:tcW w:w="1131" w:type="dxa"/>
          </w:tcPr>
          <w:p w14:paraId="34D4BD32">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c>
          <w:tcPr>
            <w:tcW w:w="1415" w:type="dxa"/>
          </w:tcPr>
          <w:p w14:paraId="562A4112">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r>
      <w:tr w14:paraId="497B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shd w:val="clear" w:color="auto" w:fill="auto"/>
            <w:vAlign w:val="center"/>
          </w:tcPr>
          <w:p w14:paraId="121EE57E">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default" w:ascii="宋体" w:hAnsi="宋体" w:eastAsia="宋体" w:cs="宋体"/>
                <w:color w:val="auto"/>
                <w:kern w:val="2"/>
                <w:sz w:val="22"/>
                <w:szCs w:val="22"/>
                <w:highlight w:val="none"/>
                <w:vertAlign w:val="baseline"/>
                <w:lang w:val="en-US" w:eastAsia="zh-CN" w:bidi="ar-SA"/>
              </w:rPr>
            </w:pPr>
            <w:r>
              <w:rPr>
                <w:rFonts w:hint="eastAsia" w:ascii="宋体" w:hAnsi="宋体" w:cs="宋体"/>
                <w:color w:val="auto"/>
                <w:sz w:val="22"/>
                <w:szCs w:val="22"/>
                <w:highlight w:val="none"/>
                <w:vertAlign w:val="baseline"/>
                <w:lang w:val="en-US" w:eastAsia="zh-CN"/>
              </w:rPr>
              <w:t>10</w:t>
            </w:r>
          </w:p>
        </w:tc>
        <w:tc>
          <w:tcPr>
            <w:tcW w:w="5149" w:type="dxa"/>
            <w:shd w:val="clear" w:color="auto" w:fill="auto"/>
            <w:vAlign w:val="top"/>
          </w:tcPr>
          <w:p w14:paraId="436BE2E4">
            <w:pPr>
              <w:pStyle w:val="18"/>
              <w:pageBreakBefore w:val="0"/>
              <w:widowControl w:val="0"/>
              <w:shd w:val="clear"/>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color w:val="auto"/>
                <w:kern w:val="0"/>
                <w:sz w:val="22"/>
                <w:szCs w:val="22"/>
                <w:highlight w:val="none"/>
                <w:u w:val="none"/>
                <w:lang w:val="en-US" w:eastAsia="zh-CN" w:bidi="ar"/>
              </w:rPr>
            </w:pPr>
            <w:r>
              <w:rPr>
                <w:rFonts w:hint="eastAsia" w:ascii="宋体" w:hAnsi="宋体" w:eastAsia="宋体" w:cs="宋体"/>
                <w:b w:val="0"/>
                <w:bCs w:val="0"/>
                <w:i w:val="0"/>
                <w:color w:val="auto"/>
                <w:kern w:val="0"/>
                <w:sz w:val="22"/>
                <w:szCs w:val="22"/>
                <w:highlight w:val="none"/>
                <w:u w:val="none"/>
                <w:lang w:val="en-US" w:eastAsia="zh-CN" w:bidi="ar"/>
              </w:rPr>
              <w:t>二层中心供应室</w:t>
            </w:r>
            <w:r>
              <w:rPr>
                <w:rFonts w:hint="eastAsia" w:ascii="宋体" w:hAnsi="宋体" w:eastAsia="宋体" w:cs="宋体"/>
                <w:i w:val="0"/>
                <w:color w:val="auto"/>
                <w:kern w:val="0"/>
                <w:sz w:val="22"/>
                <w:szCs w:val="22"/>
                <w:highlight w:val="none"/>
                <w:u w:val="none"/>
                <w:lang w:val="en-US" w:eastAsia="zh-CN" w:bidi="ar"/>
              </w:rPr>
              <w:t>新风机组：</w:t>
            </w:r>
          </w:p>
          <w:p w14:paraId="594F3299">
            <w:pPr>
              <w:pStyle w:val="18"/>
              <w:pageBreakBefore w:val="0"/>
              <w:widowControl w:val="0"/>
              <w:shd w:val="clear"/>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b/>
                <w:bCs/>
                <w:i w:val="0"/>
                <w:color w:val="auto"/>
                <w:kern w:val="0"/>
                <w:sz w:val="22"/>
                <w:szCs w:val="22"/>
                <w:highlight w:val="none"/>
                <w:u w:val="none"/>
                <w:lang w:val="en-US" w:eastAsia="zh-CN" w:bidi="ar"/>
              </w:rPr>
              <w:t>▲2.规格:送风量6150m</w:t>
            </w:r>
            <w:r>
              <w:rPr>
                <w:rFonts w:hint="eastAsia" w:ascii="宋体" w:hAnsi="宋体" w:eastAsia="宋体" w:cs="宋体"/>
                <w:b/>
                <w:bCs/>
                <w:i w:val="0"/>
                <w:color w:val="auto"/>
                <w:kern w:val="0"/>
                <w:sz w:val="22"/>
                <w:szCs w:val="22"/>
                <w:highlight w:val="none"/>
                <w:u w:val="none"/>
                <w:vertAlign w:val="baseline"/>
                <w:lang w:val="en-US" w:eastAsia="zh-CN" w:bidi="ar"/>
              </w:rPr>
              <w:t>3</w:t>
            </w:r>
            <w:r>
              <w:rPr>
                <w:rFonts w:hint="eastAsia" w:ascii="宋体" w:hAnsi="宋体" w:eastAsia="宋体" w:cs="宋体"/>
                <w:b/>
                <w:bCs/>
                <w:i w:val="0"/>
                <w:color w:val="auto"/>
                <w:kern w:val="0"/>
                <w:sz w:val="22"/>
                <w:szCs w:val="22"/>
                <w:highlight w:val="none"/>
                <w:u w:val="none"/>
                <w:lang w:val="en-US" w:eastAsia="zh-CN" w:bidi="ar"/>
              </w:rPr>
              <w:t>/h，新风量6150m</w:t>
            </w:r>
            <w:r>
              <w:rPr>
                <w:rFonts w:hint="eastAsia" w:ascii="宋体" w:hAnsi="宋体" w:eastAsia="宋体" w:cs="宋体"/>
                <w:b/>
                <w:bCs/>
                <w:i w:val="0"/>
                <w:color w:val="auto"/>
                <w:kern w:val="0"/>
                <w:sz w:val="22"/>
                <w:szCs w:val="22"/>
                <w:highlight w:val="none"/>
                <w:u w:val="none"/>
                <w:vertAlign w:val="baseline"/>
                <w:lang w:val="en-US" w:eastAsia="zh-CN" w:bidi="ar"/>
              </w:rPr>
              <w:t>3</w:t>
            </w:r>
            <w:r>
              <w:rPr>
                <w:rFonts w:hint="eastAsia" w:ascii="宋体" w:hAnsi="宋体" w:eastAsia="宋体" w:cs="宋体"/>
                <w:b/>
                <w:bCs/>
                <w:i w:val="0"/>
                <w:color w:val="auto"/>
                <w:kern w:val="0"/>
                <w:sz w:val="22"/>
                <w:szCs w:val="22"/>
                <w:highlight w:val="none"/>
                <w:u w:val="none"/>
                <w:lang w:val="en-US" w:eastAsia="zh-CN" w:bidi="ar"/>
              </w:rPr>
              <w:t>/h，制冷量116KW，制热量70KW，余压650Pa,电机功率4KW，段位组成（顺风方向）：进风段+风机段+均流段+过滤段（初效G4中效F8）+表冷段+加热段+送风段（详细参数详见绍兴市第七人民医院净化工程暖通主材表一）</w:t>
            </w:r>
          </w:p>
        </w:tc>
        <w:tc>
          <w:tcPr>
            <w:tcW w:w="1131" w:type="dxa"/>
          </w:tcPr>
          <w:p w14:paraId="269A3464">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c>
          <w:tcPr>
            <w:tcW w:w="1415" w:type="dxa"/>
          </w:tcPr>
          <w:p w14:paraId="45B0F06B">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r>
      <w:tr w14:paraId="47FC2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1825C10F">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default" w:ascii="宋体" w:hAnsi="宋体" w:eastAsia="宋体" w:cs="宋体"/>
                <w:strike w:val="0"/>
                <w:color w:val="auto"/>
                <w:sz w:val="22"/>
                <w:szCs w:val="22"/>
                <w:highlight w:val="none"/>
                <w:vertAlign w:val="baseline"/>
                <w:lang w:val="en-US" w:eastAsia="zh-CN"/>
              </w:rPr>
            </w:pPr>
            <w:r>
              <w:rPr>
                <w:rFonts w:hint="eastAsia" w:ascii="宋体" w:hAnsi="宋体" w:cs="宋体"/>
                <w:strike w:val="0"/>
                <w:color w:val="auto"/>
                <w:sz w:val="22"/>
                <w:szCs w:val="22"/>
                <w:highlight w:val="none"/>
                <w:vertAlign w:val="baseline"/>
                <w:lang w:val="en-US" w:eastAsia="zh-CN"/>
              </w:rPr>
              <w:t>11</w:t>
            </w:r>
          </w:p>
        </w:tc>
        <w:tc>
          <w:tcPr>
            <w:tcW w:w="5149" w:type="dxa"/>
          </w:tcPr>
          <w:p w14:paraId="7B7351A1">
            <w:pPr>
              <w:pStyle w:val="4"/>
              <w:pageBreakBefore w:val="0"/>
              <w:widowControl w:val="0"/>
              <w:numPr>
                <w:ilvl w:val="0"/>
                <w:numId w:val="0"/>
              </w:numPr>
              <w:shd w:val="clear"/>
              <w:kinsoku/>
              <w:wordWrap/>
              <w:overflowPunct/>
              <w:topLinePunct w:val="0"/>
              <w:autoSpaceDE/>
              <w:autoSpaceDN/>
              <w:bidi w:val="0"/>
              <w:adjustRightInd w:val="0"/>
              <w:snapToGrid w:val="0"/>
              <w:spacing w:before="0" w:beforeAutospacing="0" w:after="0" w:afterAutospacing="0" w:line="240" w:lineRule="auto"/>
              <w:jc w:val="both"/>
              <w:textAlignment w:val="auto"/>
              <w:rPr>
                <w:rFonts w:hint="eastAsia" w:ascii="宋体" w:hAnsi="宋体" w:eastAsia="宋体" w:cs="宋体"/>
                <w:b/>
                <w:bCs/>
                <w:i w:val="0"/>
                <w:strike w:val="0"/>
                <w:color w:val="auto"/>
                <w:kern w:val="0"/>
                <w:sz w:val="22"/>
                <w:szCs w:val="22"/>
                <w:highlight w:val="none"/>
                <w:u w:val="none"/>
                <w:lang w:val="en-US" w:eastAsia="zh-CN" w:bidi="ar"/>
              </w:rPr>
            </w:pPr>
            <w:r>
              <w:rPr>
                <w:rFonts w:hint="eastAsia" w:ascii="宋体" w:hAnsi="宋体" w:eastAsia="宋体" w:cs="宋体"/>
                <w:b/>
                <w:bCs/>
                <w:i w:val="0"/>
                <w:strike w:val="0"/>
                <w:color w:val="auto"/>
                <w:kern w:val="0"/>
                <w:sz w:val="22"/>
                <w:szCs w:val="22"/>
                <w:highlight w:val="none"/>
                <w:u w:val="none"/>
                <w:lang w:val="en-US" w:eastAsia="zh-CN" w:bidi="ar"/>
              </w:rPr>
              <w:t>三层手术部新风机组：</w:t>
            </w:r>
          </w:p>
          <w:p w14:paraId="00157F29">
            <w:pPr>
              <w:pStyle w:val="4"/>
              <w:pageBreakBefore w:val="0"/>
              <w:widowControl w:val="0"/>
              <w:numPr>
                <w:ilvl w:val="0"/>
                <w:numId w:val="0"/>
              </w:numPr>
              <w:shd w:val="clear"/>
              <w:kinsoku/>
              <w:wordWrap/>
              <w:overflowPunct/>
              <w:topLinePunct w:val="0"/>
              <w:autoSpaceDE/>
              <w:autoSpaceDN/>
              <w:bidi w:val="0"/>
              <w:adjustRightInd w:val="0"/>
              <w:snapToGrid w:val="0"/>
              <w:spacing w:before="0" w:beforeAutospacing="0" w:after="0" w:afterAutospacing="0" w:line="240" w:lineRule="auto"/>
              <w:jc w:val="both"/>
              <w:textAlignment w:val="auto"/>
              <w:rPr>
                <w:rFonts w:hint="eastAsia" w:ascii="宋体" w:hAnsi="宋体" w:eastAsia="宋体" w:cs="宋体"/>
                <w:b/>
                <w:bCs/>
                <w:i w:val="0"/>
                <w:strike/>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2.规格:送风量5660m3/h，新风量5660m3/h，制冷量106KW，制热量64KW，余压650Pa,电机功率5.5KW，段位组成（顺风方向）：进风段+风机段+均流段+过滤段（初效G4中效F8亚高效H10）+表冷段+深度除湿段+加热段+送风段（详细参数详见绍兴市第七人民医院净化工程暖通主材表一）</w:t>
            </w:r>
          </w:p>
        </w:tc>
        <w:tc>
          <w:tcPr>
            <w:tcW w:w="1131" w:type="dxa"/>
          </w:tcPr>
          <w:p w14:paraId="3772F47D">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strike/>
                <w:color w:val="auto"/>
                <w:sz w:val="22"/>
                <w:szCs w:val="22"/>
                <w:highlight w:val="none"/>
                <w:vertAlign w:val="baseline"/>
                <w:lang w:eastAsia="zh-CN"/>
              </w:rPr>
            </w:pPr>
          </w:p>
        </w:tc>
        <w:tc>
          <w:tcPr>
            <w:tcW w:w="1415" w:type="dxa"/>
          </w:tcPr>
          <w:p w14:paraId="5EC3742A">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strike/>
                <w:color w:val="auto"/>
                <w:sz w:val="22"/>
                <w:szCs w:val="22"/>
                <w:highlight w:val="none"/>
                <w:vertAlign w:val="baseline"/>
                <w:lang w:eastAsia="zh-CN"/>
              </w:rPr>
            </w:pPr>
          </w:p>
        </w:tc>
      </w:tr>
      <w:tr w14:paraId="4F3DD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00026A16">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default" w:ascii="宋体" w:hAnsi="宋体" w:eastAsia="宋体" w:cs="宋体"/>
                <w:strike w:val="0"/>
                <w:color w:val="auto"/>
                <w:sz w:val="22"/>
                <w:szCs w:val="22"/>
                <w:highlight w:val="none"/>
                <w:vertAlign w:val="baseline"/>
                <w:lang w:val="en-US" w:eastAsia="zh-CN"/>
              </w:rPr>
            </w:pPr>
            <w:r>
              <w:rPr>
                <w:rFonts w:hint="eastAsia" w:ascii="宋体" w:hAnsi="宋体" w:cs="宋体"/>
                <w:strike w:val="0"/>
                <w:color w:val="auto"/>
                <w:sz w:val="22"/>
                <w:szCs w:val="22"/>
                <w:highlight w:val="none"/>
                <w:vertAlign w:val="baseline"/>
                <w:lang w:val="en-US" w:eastAsia="zh-CN"/>
              </w:rPr>
              <w:t>12</w:t>
            </w:r>
          </w:p>
        </w:tc>
        <w:tc>
          <w:tcPr>
            <w:tcW w:w="5149" w:type="dxa"/>
          </w:tcPr>
          <w:p w14:paraId="3C10874D">
            <w:pPr>
              <w:pStyle w:val="4"/>
              <w:pageBreakBefore w:val="0"/>
              <w:widowControl w:val="0"/>
              <w:numPr>
                <w:ilvl w:val="0"/>
                <w:numId w:val="0"/>
              </w:numPr>
              <w:shd w:val="clear"/>
              <w:kinsoku/>
              <w:wordWrap/>
              <w:overflowPunct/>
              <w:topLinePunct w:val="0"/>
              <w:autoSpaceDE/>
              <w:autoSpaceDN/>
              <w:bidi w:val="0"/>
              <w:adjustRightInd w:val="0"/>
              <w:snapToGrid w:val="0"/>
              <w:spacing w:before="0" w:beforeAutospacing="0" w:after="0" w:afterAutospacing="0" w:line="240" w:lineRule="auto"/>
              <w:jc w:val="both"/>
              <w:textAlignment w:val="auto"/>
              <w:rPr>
                <w:rFonts w:hint="eastAsia" w:ascii="宋体" w:hAnsi="宋体" w:eastAsia="宋体" w:cs="宋体"/>
                <w:b/>
                <w:bCs/>
                <w:i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四层静脉配置中心</w:t>
            </w:r>
          </w:p>
          <w:p w14:paraId="5DD0A526">
            <w:pPr>
              <w:pStyle w:val="4"/>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jc w:val="both"/>
              <w:textAlignment w:val="auto"/>
              <w:rPr>
                <w:rFonts w:hint="eastAsia" w:ascii="宋体" w:hAnsi="宋体" w:eastAsia="宋体" w:cs="宋体"/>
                <w:b w:val="0"/>
                <w:bCs w:val="0"/>
                <w:i w:val="0"/>
                <w:color w:val="auto"/>
                <w:kern w:val="0"/>
                <w:sz w:val="22"/>
                <w:szCs w:val="22"/>
                <w:highlight w:val="none"/>
                <w:u w:val="none"/>
                <w:lang w:val="en-US" w:eastAsia="zh-CN" w:bidi="ar"/>
              </w:rPr>
            </w:pPr>
            <w:r>
              <w:rPr>
                <w:rFonts w:hint="eastAsia" w:ascii="宋体" w:hAnsi="宋体" w:eastAsia="宋体" w:cs="宋体"/>
                <w:b w:val="0"/>
                <w:bCs w:val="0"/>
                <w:i w:val="0"/>
                <w:color w:val="auto"/>
                <w:kern w:val="0"/>
                <w:sz w:val="22"/>
                <w:szCs w:val="22"/>
                <w:highlight w:val="none"/>
                <w:u w:val="none"/>
                <w:lang w:val="en-US" w:eastAsia="zh-CN" w:bidi="ar"/>
              </w:rPr>
              <w:t>循环机组：</w:t>
            </w:r>
          </w:p>
          <w:p w14:paraId="6E6BFE90">
            <w:pPr>
              <w:pStyle w:val="4"/>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jc w:val="both"/>
              <w:textAlignment w:val="auto"/>
              <w:rPr>
                <w:rFonts w:hint="eastAsia" w:ascii="宋体" w:hAnsi="宋体" w:eastAsia="宋体" w:cs="宋体"/>
                <w:b/>
                <w:bCs/>
                <w:i w:val="0"/>
                <w:color w:val="auto"/>
                <w:kern w:val="0"/>
                <w:sz w:val="22"/>
                <w:szCs w:val="22"/>
                <w:highlight w:val="none"/>
                <w:u w:val="none"/>
                <w:lang w:val="en-US" w:eastAsia="zh-CN" w:bidi="ar"/>
              </w:rPr>
            </w:pPr>
            <w:r>
              <w:rPr>
                <w:rFonts w:hint="eastAsia" w:ascii="宋体" w:hAnsi="宋体" w:eastAsia="宋体" w:cs="宋体"/>
                <w:b/>
                <w:bCs/>
                <w:color w:val="auto"/>
                <w:spacing w:val="0"/>
                <w:sz w:val="22"/>
                <w:szCs w:val="22"/>
                <w:highlight w:val="none"/>
                <w:u w:val="none"/>
                <w:lang w:val="en-US" w:eastAsia="zh-CN" w:bidi="ar"/>
              </w:rPr>
              <w:t>★2.</w:t>
            </w:r>
            <w:r>
              <w:rPr>
                <w:rFonts w:hint="eastAsia" w:ascii="宋体" w:hAnsi="宋体" w:eastAsia="宋体" w:cs="宋体"/>
                <w:b/>
                <w:bCs/>
                <w:i w:val="0"/>
                <w:color w:val="auto"/>
                <w:kern w:val="0"/>
                <w:sz w:val="22"/>
                <w:szCs w:val="22"/>
                <w:highlight w:val="none"/>
                <w:u w:val="none"/>
                <w:lang w:val="en-US" w:eastAsia="zh-CN" w:bidi="ar"/>
              </w:rPr>
              <w:t>规格:送风量2480m³/h，新风量1620m³/h，制冷量34KW，制热量21KW，余压650Pa,电机功率3.0KW，段位组成（顺风方向）：混合段+风机段+均流段+过滤段（初效G4中效F8）+表冷段+加热段+加湿段+送风段（详细参数详见绍兴市第七人民医院净化工程暖通主材表一）</w:t>
            </w:r>
          </w:p>
          <w:p w14:paraId="7A3C6E00">
            <w:pPr>
              <w:pStyle w:val="4"/>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jc w:val="both"/>
              <w:textAlignment w:val="auto"/>
              <w:rPr>
                <w:rFonts w:hint="eastAsia" w:ascii="宋体" w:hAnsi="宋体" w:eastAsia="宋体" w:cs="宋体"/>
                <w:b/>
                <w:bCs/>
                <w:i w:val="0"/>
                <w:color w:val="auto"/>
                <w:kern w:val="0"/>
                <w:sz w:val="22"/>
                <w:szCs w:val="22"/>
                <w:highlight w:val="none"/>
                <w:u w:val="none"/>
                <w:lang w:val="en-US" w:eastAsia="zh-CN" w:bidi="ar"/>
              </w:rPr>
            </w:pPr>
            <w:r>
              <w:rPr>
                <w:rFonts w:hint="eastAsia" w:ascii="宋体" w:hAnsi="宋体" w:eastAsia="宋体" w:cs="宋体"/>
                <w:b/>
                <w:bCs/>
                <w:color w:val="auto"/>
                <w:spacing w:val="0"/>
                <w:sz w:val="22"/>
                <w:szCs w:val="22"/>
                <w:highlight w:val="none"/>
                <w:u w:val="none"/>
                <w:lang w:val="en-US" w:eastAsia="zh-CN" w:bidi="ar"/>
              </w:rPr>
              <w:t>★2.</w:t>
            </w:r>
            <w:r>
              <w:rPr>
                <w:rFonts w:hint="eastAsia" w:ascii="宋体" w:hAnsi="宋体" w:eastAsia="宋体" w:cs="宋体"/>
                <w:b/>
                <w:bCs/>
                <w:i w:val="0"/>
                <w:color w:val="auto"/>
                <w:kern w:val="0"/>
                <w:sz w:val="22"/>
                <w:szCs w:val="22"/>
                <w:highlight w:val="none"/>
                <w:u w:val="none"/>
                <w:lang w:val="en-US" w:eastAsia="zh-CN" w:bidi="ar"/>
              </w:rPr>
              <w:t>规格:送风量5370m³/h，新风量5370m³/h，制冷量102KW，制热量62KW，余压650Pa,电机功率5.5KW，段位组成（顺风方向）：进风段+风机段+均流段+过滤段（初效G4中效F8）+表冷段+加热段+加湿段+送风段（详细参数详见绍兴市第七人民医院净化工程暖通主材表一）</w:t>
            </w:r>
          </w:p>
          <w:p w14:paraId="4B4FEC1A">
            <w:pPr>
              <w:pStyle w:val="4"/>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jc w:val="both"/>
              <w:textAlignment w:val="auto"/>
              <w:rPr>
                <w:rFonts w:hint="eastAsia" w:ascii="宋体" w:hAnsi="宋体" w:eastAsia="宋体" w:cs="宋体"/>
                <w:b w:val="0"/>
                <w:bCs w:val="0"/>
                <w:i w:val="0"/>
                <w:color w:val="auto"/>
                <w:kern w:val="0"/>
                <w:sz w:val="22"/>
                <w:szCs w:val="22"/>
                <w:highlight w:val="none"/>
                <w:u w:val="none"/>
                <w:lang w:val="en-US" w:eastAsia="zh-CN" w:bidi="ar"/>
              </w:rPr>
            </w:pPr>
            <w:r>
              <w:rPr>
                <w:rFonts w:hint="eastAsia" w:ascii="宋体" w:hAnsi="宋体" w:eastAsia="宋体" w:cs="宋体"/>
                <w:b w:val="0"/>
                <w:bCs w:val="0"/>
                <w:i w:val="0"/>
                <w:color w:val="auto"/>
                <w:kern w:val="0"/>
                <w:sz w:val="22"/>
                <w:szCs w:val="22"/>
                <w:highlight w:val="none"/>
                <w:u w:val="none"/>
                <w:lang w:val="en-US" w:eastAsia="zh-CN" w:bidi="ar"/>
              </w:rPr>
              <w:t>新风机组：</w:t>
            </w:r>
          </w:p>
          <w:p w14:paraId="462A1EA3">
            <w:pPr>
              <w:pStyle w:val="4"/>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eastAsia="宋体" w:cs="宋体"/>
                <w:b/>
                <w:bCs/>
                <w:color w:val="auto"/>
                <w:spacing w:val="0"/>
                <w:sz w:val="22"/>
                <w:szCs w:val="22"/>
                <w:highlight w:val="none"/>
                <w:u w:val="none"/>
                <w:lang w:val="en-US" w:eastAsia="zh-CN" w:bidi="ar"/>
              </w:rPr>
              <w:t>2.</w:t>
            </w:r>
            <w:r>
              <w:rPr>
                <w:rFonts w:hint="eastAsia" w:ascii="宋体" w:hAnsi="宋体" w:eastAsia="宋体" w:cs="宋体"/>
                <w:b/>
                <w:bCs/>
                <w:i w:val="0"/>
                <w:color w:val="auto"/>
                <w:kern w:val="0"/>
                <w:sz w:val="22"/>
                <w:szCs w:val="22"/>
                <w:highlight w:val="none"/>
                <w:u w:val="none"/>
                <w:lang w:val="en-US" w:eastAsia="zh-CN" w:bidi="ar"/>
              </w:rPr>
              <w:t>规格:送风量2730m³/h，新风量2730m³/h，制冷量52KW，制热量32KW，余压450Pa,电机功率3.0W，段位组成（顺风方向）：进风段+风机段+均流段+过滤段（初效G4中效F8）+表冷段+加热段+送风段（详细参数详见绍兴市第七人民医院净化工程暖通主材表一）</w:t>
            </w:r>
          </w:p>
        </w:tc>
        <w:tc>
          <w:tcPr>
            <w:tcW w:w="1131" w:type="dxa"/>
          </w:tcPr>
          <w:p w14:paraId="6F5B1671">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strike/>
                <w:color w:val="auto"/>
                <w:sz w:val="22"/>
                <w:szCs w:val="22"/>
                <w:highlight w:val="none"/>
                <w:vertAlign w:val="baseline"/>
                <w:lang w:eastAsia="zh-CN"/>
              </w:rPr>
            </w:pPr>
          </w:p>
        </w:tc>
        <w:tc>
          <w:tcPr>
            <w:tcW w:w="1415" w:type="dxa"/>
          </w:tcPr>
          <w:p w14:paraId="0CAB96B7">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strike/>
                <w:color w:val="auto"/>
                <w:sz w:val="22"/>
                <w:szCs w:val="22"/>
                <w:highlight w:val="none"/>
                <w:vertAlign w:val="baseline"/>
                <w:lang w:eastAsia="zh-CN"/>
              </w:rPr>
            </w:pPr>
          </w:p>
        </w:tc>
      </w:tr>
      <w:tr w14:paraId="373A8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5323AFBD">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default" w:ascii="宋体" w:hAnsi="宋体" w:eastAsia="宋体" w:cs="宋体"/>
                <w:strike w:val="0"/>
                <w:color w:val="auto"/>
                <w:sz w:val="22"/>
                <w:szCs w:val="22"/>
                <w:highlight w:val="none"/>
                <w:vertAlign w:val="baseline"/>
                <w:lang w:val="en-US" w:eastAsia="zh-CN"/>
              </w:rPr>
            </w:pPr>
            <w:r>
              <w:rPr>
                <w:rFonts w:hint="eastAsia" w:ascii="宋体" w:hAnsi="宋体" w:cs="宋体"/>
                <w:strike w:val="0"/>
                <w:color w:val="auto"/>
                <w:sz w:val="22"/>
                <w:szCs w:val="22"/>
                <w:highlight w:val="none"/>
                <w:vertAlign w:val="baseline"/>
                <w:lang w:val="en-US" w:eastAsia="zh-CN"/>
              </w:rPr>
              <w:t>13</w:t>
            </w:r>
          </w:p>
        </w:tc>
        <w:tc>
          <w:tcPr>
            <w:tcW w:w="5149" w:type="dxa"/>
          </w:tcPr>
          <w:p w14:paraId="65972524">
            <w:pPr>
              <w:pStyle w:val="18"/>
              <w:pageBreakBefore w:val="0"/>
              <w:widowControl w:val="0"/>
              <w:numPr>
                <w:ilvl w:val="0"/>
                <w:numId w:val="0"/>
              </w:numPr>
              <w:shd w:val="clear"/>
              <w:tabs>
                <w:tab w:val="right" w:leader="dot" w:pos="9004"/>
              </w:tabs>
              <w:kinsoku/>
              <w:wordWrap/>
              <w:overflowPunct/>
              <w:topLinePunct w:val="0"/>
              <w:autoSpaceDE/>
              <w:autoSpaceDN/>
              <w:bidi w:val="0"/>
              <w:adjustRightInd w:val="0"/>
              <w:snapToGrid w:val="0"/>
              <w:spacing w:before="0" w:beforeAutospacing="0" w:after="0" w:afterAutospacing="0" w:line="240" w:lineRule="auto"/>
              <w:jc w:val="both"/>
              <w:textAlignment w:val="auto"/>
              <w:rPr>
                <w:rFonts w:hint="eastAsia" w:ascii="宋体" w:hAnsi="宋体" w:eastAsia="宋体" w:cs="宋体"/>
                <w:b/>
                <w:bCs/>
                <w:i w:val="0"/>
                <w:strike w:val="0"/>
                <w:color w:val="auto"/>
                <w:kern w:val="0"/>
                <w:sz w:val="22"/>
                <w:szCs w:val="22"/>
                <w:highlight w:val="none"/>
                <w:u w:val="none"/>
                <w:lang w:val="en-US" w:eastAsia="zh-CN" w:bidi="ar"/>
              </w:rPr>
            </w:pPr>
            <w:r>
              <w:rPr>
                <w:rFonts w:hint="eastAsia" w:ascii="宋体" w:hAnsi="宋体" w:eastAsia="宋体" w:cs="宋体"/>
                <w:b/>
                <w:bCs/>
                <w:i w:val="0"/>
                <w:strike w:val="0"/>
                <w:color w:val="auto"/>
                <w:kern w:val="0"/>
                <w:sz w:val="22"/>
                <w:szCs w:val="22"/>
                <w:highlight w:val="none"/>
                <w:u w:val="none"/>
                <w:lang w:val="en-US" w:eastAsia="zh-CN" w:bidi="ar"/>
              </w:rPr>
              <w:t>2.2暖通工程“关键设备部分”：</w:t>
            </w:r>
          </w:p>
          <w:p w14:paraId="0676682A">
            <w:pPr>
              <w:pStyle w:val="18"/>
              <w:pageBreakBefore w:val="0"/>
              <w:widowControl w:val="0"/>
              <w:shd w:val="clear"/>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新风预处理机组：</w:t>
            </w:r>
          </w:p>
          <w:p w14:paraId="304E2B18">
            <w:pPr>
              <w:pStyle w:val="18"/>
              <w:pageBreakBefore w:val="0"/>
              <w:widowControl w:val="0"/>
              <w:shd w:val="clear"/>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strike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①</w:t>
            </w:r>
            <w:r>
              <w:rPr>
                <w:rFonts w:hint="eastAsia" w:ascii="宋体" w:hAnsi="宋体" w:eastAsia="宋体" w:cs="宋体"/>
                <w:b/>
                <w:bCs/>
                <w:i w:val="0"/>
                <w:iCs w:val="0"/>
                <w:color w:val="auto"/>
                <w:kern w:val="0"/>
                <w:sz w:val="22"/>
                <w:szCs w:val="22"/>
                <w:highlight w:val="none"/>
                <w:u w:val="none"/>
                <w:lang w:val="en-US" w:eastAsia="zh-CN" w:bidi="ar"/>
              </w:rPr>
              <w:t>▲1.规格：新风机组（不区分吊装方式）新风量：2000m³/h，制冷量：20kw，制热量：23kw，机外余压：500Pa，风机功率：1.1KW【功能段】：进风段、初中效过滤段、表冷段、风机段；</w:t>
            </w:r>
          </w:p>
          <w:p w14:paraId="38DBB79B">
            <w:pPr>
              <w:pStyle w:val="18"/>
              <w:pageBreakBefore w:val="0"/>
              <w:widowControl w:val="0"/>
              <w:shd w:val="clear"/>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②▲1.规格：新风机组（不区分吊装方式）新风量：2500m³/h，制冷量：25kw，制热量：29kw，机外余压：500Pa，风机功率：1.1KW【功能段】：进风段、初中效过滤段、表冷段、风机段;</w:t>
            </w:r>
          </w:p>
          <w:p w14:paraId="75559F48">
            <w:pPr>
              <w:pStyle w:val="18"/>
              <w:pageBreakBefore w:val="0"/>
              <w:widowControl w:val="0"/>
              <w:shd w:val="clear"/>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③</w:t>
            </w:r>
            <w:r>
              <w:rPr>
                <w:rFonts w:hint="eastAsia" w:ascii="宋体" w:hAnsi="宋体" w:eastAsia="宋体" w:cs="宋体"/>
                <w:b/>
                <w:bCs/>
                <w:i w:val="0"/>
                <w:iCs w:val="0"/>
                <w:color w:val="auto"/>
                <w:kern w:val="0"/>
                <w:sz w:val="22"/>
                <w:szCs w:val="22"/>
                <w:highlight w:val="none"/>
                <w:u w:val="none"/>
                <w:lang w:val="en-US" w:eastAsia="zh-CN" w:bidi="ar"/>
              </w:rPr>
              <w:t>▲1.规格：新风机组（不区分吊装方式）新风量：14000m³/h，制冷量：140kw，制热量：160kw，机外余压：750Pa，【功能段】：进风段、初中效过滤段、表冷段、风机段；</w:t>
            </w:r>
          </w:p>
          <w:p w14:paraId="4A2D7814">
            <w:pPr>
              <w:pStyle w:val="18"/>
              <w:pageBreakBefore w:val="0"/>
              <w:widowControl w:val="0"/>
              <w:shd w:val="clear"/>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④</w:t>
            </w:r>
            <w:r>
              <w:rPr>
                <w:rFonts w:hint="eastAsia" w:ascii="宋体" w:hAnsi="宋体" w:eastAsia="宋体" w:cs="宋体"/>
                <w:b/>
                <w:bCs/>
                <w:i w:val="0"/>
                <w:iCs w:val="0"/>
                <w:color w:val="auto"/>
                <w:kern w:val="0"/>
                <w:sz w:val="22"/>
                <w:szCs w:val="22"/>
                <w:highlight w:val="none"/>
                <w:u w:val="none"/>
                <w:lang w:val="en-US" w:eastAsia="zh-CN" w:bidi="ar"/>
              </w:rPr>
              <w:t>▲1.规格：新风机组（不区分吊装方式）新风量：2400m³/h，制冷量：31kw，制热量：27kw，风机功率:1.5kw，机外余压：500Pa，【功能段】：进风段、初中效过滤段、表冷段、电加热段、电加湿段、风机段；</w:t>
            </w:r>
          </w:p>
          <w:p w14:paraId="34F96C69">
            <w:pPr>
              <w:pStyle w:val="18"/>
              <w:pageBreakBefore w:val="0"/>
              <w:widowControl w:val="0"/>
              <w:shd w:val="clear"/>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全新风空调机组：</w:t>
            </w:r>
            <w:r>
              <w:rPr>
                <w:rFonts w:hint="eastAsia" w:ascii="宋体" w:hAnsi="宋体" w:eastAsia="宋体" w:cs="宋体"/>
                <w:b/>
                <w:bCs/>
                <w:i w:val="0"/>
                <w:iCs w:val="0"/>
                <w:color w:val="auto"/>
                <w:kern w:val="0"/>
                <w:sz w:val="22"/>
                <w:szCs w:val="22"/>
                <w:highlight w:val="none"/>
                <w:u w:val="none"/>
                <w:lang w:val="en-US" w:eastAsia="zh-CN" w:bidi="ar"/>
              </w:rPr>
              <w:t>▲1.规格：新风机组（不区分吊装方式）新风量：7000m³/h，制冷量：109kw，制热量：80kw，电加热:14kw，加湿量:33kg/h，机外余压：1100Pa，【功能段】：进风段、初中效过滤段、表冷段、电加热段、电加湿段、风机段。</w:t>
            </w:r>
          </w:p>
          <w:p w14:paraId="763DE33A">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多联机（分体空调和多联机空调内、外机）</w:t>
            </w:r>
          </w:p>
          <w:p w14:paraId="299FEED5">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分体空调：</w:t>
            </w: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2.参 数:制冷/KW：5.1  功率/KW:1.41；</w:t>
            </w:r>
          </w:p>
          <w:p w14:paraId="26F57F49">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多联机空调外机</w:t>
            </w:r>
            <w:r>
              <w:rPr>
                <w:rFonts w:hint="eastAsia" w:ascii="宋体" w:hAnsi="宋体" w:eastAsia="宋体" w:cs="宋体"/>
                <w:b/>
                <w:bCs/>
                <w:i w:val="0"/>
                <w:iCs w:val="0"/>
                <w:color w:val="auto"/>
                <w:kern w:val="0"/>
                <w:sz w:val="22"/>
                <w:szCs w:val="22"/>
                <w:highlight w:val="none"/>
                <w:u w:val="none"/>
                <w:lang w:val="en-US" w:eastAsia="zh-CN" w:bidi="ar"/>
              </w:rPr>
              <w:t>：</w:t>
            </w:r>
          </w:p>
          <w:p w14:paraId="55294ECF">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2.参 数:制冷/KW：10;制热量/KW:12；</w:t>
            </w:r>
          </w:p>
          <w:p w14:paraId="7834AFC8">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2.参 数:制冷/KW：16;制热量/KW:18；</w:t>
            </w:r>
          </w:p>
          <w:p w14:paraId="4032D7C6">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2.参 数:制冷/KW：28；制热量/KW: 31.5；</w:t>
            </w:r>
          </w:p>
          <w:p w14:paraId="2B4BA9E4">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2.参 数:制冷/KW：40；制热量/KW: 45；</w:t>
            </w:r>
          </w:p>
          <w:p w14:paraId="25D2FF55">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2.参 数:制冷/KW：85；制热量/KW: 95；</w:t>
            </w:r>
          </w:p>
          <w:p w14:paraId="40FF72C1">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2.参 数:制冷/KW：117；制热量/KW: 130；</w:t>
            </w:r>
          </w:p>
          <w:p w14:paraId="5B0DDBF1">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多联机空调内机：</w:t>
            </w:r>
          </w:p>
          <w:p w14:paraId="6A66C58F">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2.参 数:制冷/KW：2.8；制热量/KW:3.2；</w:t>
            </w:r>
          </w:p>
          <w:p w14:paraId="511873CB">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2.参 数:制冷/KW：3.6；制热量/KW:4；</w:t>
            </w:r>
          </w:p>
          <w:p w14:paraId="0431DD3F">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2.参 数:制冷/KW：4.5；制热量/KW:5；</w:t>
            </w:r>
          </w:p>
          <w:p w14:paraId="7CE8348A">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2.参 数:制冷/KW：5.6；制热量/KW:6.3；</w:t>
            </w:r>
          </w:p>
          <w:p w14:paraId="1E5575CD">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2.参 数:制冷/KW：6.3；制热量/KW:7.1；</w:t>
            </w:r>
          </w:p>
          <w:p w14:paraId="42FD9F95">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2.参 数:制冷/KW：7.1；制热量/KW:8；</w:t>
            </w:r>
          </w:p>
          <w:p w14:paraId="2E8FF73C">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2.参 数:制冷/KW：9；制热量/KW:10；</w:t>
            </w:r>
          </w:p>
          <w:p w14:paraId="49446089">
            <w:pPr>
              <w:pStyle w:val="18"/>
              <w:pageBreakBefore w:val="0"/>
              <w:widowControl w:val="0"/>
              <w:tabs>
                <w:tab w:val="right" w:leader="dot" w:pos="9004"/>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2.参 数:制冷/KW：4.5；制热量/KW:5；</w:t>
            </w:r>
          </w:p>
        </w:tc>
        <w:tc>
          <w:tcPr>
            <w:tcW w:w="1131" w:type="dxa"/>
          </w:tcPr>
          <w:p w14:paraId="2AF68332">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strike/>
                <w:color w:val="auto"/>
                <w:sz w:val="22"/>
                <w:szCs w:val="22"/>
                <w:highlight w:val="none"/>
                <w:vertAlign w:val="baseline"/>
                <w:lang w:eastAsia="zh-CN"/>
              </w:rPr>
            </w:pPr>
          </w:p>
        </w:tc>
        <w:tc>
          <w:tcPr>
            <w:tcW w:w="1415" w:type="dxa"/>
          </w:tcPr>
          <w:p w14:paraId="19F551BD">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strike/>
                <w:color w:val="auto"/>
                <w:sz w:val="22"/>
                <w:szCs w:val="22"/>
                <w:highlight w:val="none"/>
                <w:vertAlign w:val="baseline"/>
                <w:lang w:eastAsia="zh-CN"/>
              </w:rPr>
            </w:pPr>
          </w:p>
        </w:tc>
      </w:tr>
      <w:tr w14:paraId="0FDAC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2F40B2BE">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14</w:t>
            </w:r>
          </w:p>
        </w:tc>
        <w:tc>
          <w:tcPr>
            <w:tcW w:w="5149" w:type="dxa"/>
          </w:tcPr>
          <w:p w14:paraId="28424CAE">
            <w:pPr>
              <w:pStyle w:val="4"/>
              <w:pageBreakBefore w:val="0"/>
              <w:widowControl w:val="0"/>
              <w:numPr>
                <w:ilvl w:val="0"/>
                <w:numId w:val="0"/>
              </w:numPr>
              <w:shd w:val="clear"/>
              <w:kinsoku/>
              <w:wordWrap/>
              <w:overflowPunct/>
              <w:topLinePunct w:val="0"/>
              <w:autoSpaceDE/>
              <w:autoSpaceDN/>
              <w:bidi w:val="0"/>
              <w:adjustRightInd w:val="0"/>
              <w:snapToGrid w:val="0"/>
              <w:spacing w:beforeAutospacing="0" w:afterAutospacing="0" w:line="240" w:lineRule="auto"/>
              <w:jc w:val="both"/>
              <w:textAlignment w:val="auto"/>
              <w:rPr>
                <w:rFonts w:hint="eastAsia" w:ascii="宋体" w:hAnsi="宋体" w:eastAsia="宋体" w:cs="宋体"/>
                <w:b w:val="0"/>
                <w:bCs w:val="0"/>
                <w:i w:val="0"/>
                <w:color w:val="auto"/>
                <w:kern w:val="0"/>
                <w:sz w:val="22"/>
                <w:szCs w:val="22"/>
                <w:highlight w:val="none"/>
                <w:u w:val="none"/>
                <w:lang w:val="en-US" w:eastAsia="zh-CN" w:bidi="ar"/>
              </w:rPr>
            </w:pPr>
            <w:r>
              <w:rPr>
                <w:rFonts w:hint="eastAsia" w:ascii="宋体" w:hAnsi="宋体" w:eastAsia="宋体" w:cs="宋体"/>
                <w:b w:val="0"/>
                <w:bCs w:val="0"/>
                <w:i w:val="0"/>
                <w:color w:val="auto"/>
                <w:kern w:val="0"/>
                <w:sz w:val="22"/>
                <w:szCs w:val="22"/>
                <w:highlight w:val="none"/>
                <w:u w:val="none"/>
                <w:lang w:val="en-US" w:eastAsia="zh-CN" w:bidi="ar"/>
              </w:rPr>
              <w:t>四管制风冷螺杆一体机组：</w:t>
            </w:r>
          </w:p>
          <w:p w14:paraId="407CE88E">
            <w:pPr>
              <w:pStyle w:val="4"/>
              <w:pageBreakBefore w:val="0"/>
              <w:widowControl w:val="0"/>
              <w:numPr>
                <w:ilvl w:val="0"/>
                <w:numId w:val="0"/>
              </w:numPr>
              <w:shd w:val="clear"/>
              <w:kinsoku/>
              <w:wordWrap/>
              <w:overflowPunct/>
              <w:topLinePunct w:val="0"/>
              <w:autoSpaceDE/>
              <w:autoSpaceDN/>
              <w:bidi w:val="0"/>
              <w:adjustRightInd w:val="0"/>
              <w:snapToGrid w:val="0"/>
              <w:spacing w:before="0" w:beforeAutospacing="0" w:after="0" w:afterAutospacing="0" w:line="240" w:lineRule="auto"/>
              <w:jc w:val="both"/>
              <w:textAlignment w:val="auto"/>
              <w:rPr>
                <w:rFonts w:hint="eastAsia" w:ascii="宋体" w:hAnsi="宋体" w:eastAsia="宋体" w:cs="宋体"/>
                <w:b/>
                <w:bCs/>
                <w:color w:val="auto"/>
                <w:sz w:val="22"/>
                <w:szCs w:val="22"/>
                <w:highlight w:val="none"/>
                <w:u w:val="none"/>
                <w:lang w:bidi="ar"/>
              </w:rPr>
            </w:pPr>
            <w:r>
              <w:rPr>
                <w:rFonts w:hint="eastAsia" w:ascii="宋体" w:hAnsi="宋体" w:eastAsia="宋体" w:cs="宋体"/>
                <w:b/>
                <w:bCs/>
                <w:i w:val="0"/>
                <w:color w:val="auto"/>
                <w:kern w:val="0"/>
                <w:sz w:val="22"/>
                <w:szCs w:val="22"/>
                <w:highlight w:val="none"/>
                <w:u w:val="none"/>
                <w:lang w:val="en-US" w:eastAsia="zh-CN" w:bidi="ar"/>
              </w:rPr>
              <w:t>★2、主要技术参数：制冷量：≥428KW,进出水温度：12℃/7℃，制热量：≥447KW,进出水温度：40℃/45℃，媒介：R134a,，配套启动柜（详细参数详见绍兴市第七人民医院净化工程暖通主材表一）</w:t>
            </w:r>
          </w:p>
        </w:tc>
        <w:tc>
          <w:tcPr>
            <w:tcW w:w="1131" w:type="dxa"/>
          </w:tcPr>
          <w:p w14:paraId="7C796CA0">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c>
          <w:tcPr>
            <w:tcW w:w="1415" w:type="dxa"/>
          </w:tcPr>
          <w:p w14:paraId="18EDFE8F">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r>
      <w:tr w14:paraId="3619C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1656AED1">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15</w:t>
            </w:r>
          </w:p>
        </w:tc>
        <w:tc>
          <w:tcPr>
            <w:tcW w:w="5149" w:type="dxa"/>
          </w:tcPr>
          <w:p w14:paraId="16EEC2A3">
            <w:pPr>
              <w:pStyle w:val="4"/>
              <w:pageBreakBefore w:val="0"/>
              <w:widowControl w:val="0"/>
              <w:numPr>
                <w:ilvl w:val="0"/>
                <w:numId w:val="0"/>
              </w:numPr>
              <w:shd w:val="clear"/>
              <w:kinsoku/>
              <w:wordWrap/>
              <w:overflowPunct/>
              <w:topLinePunct w:val="0"/>
              <w:autoSpaceDE/>
              <w:autoSpaceDN/>
              <w:bidi w:val="0"/>
              <w:adjustRightInd w:val="0"/>
              <w:snapToGrid w:val="0"/>
              <w:spacing w:before="0" w:beforeAutospacing="0" w:after="0" w:afterAutospacing="0" w:line="240" w:lineRule="auto"/>
              <w:jc w:val="both"/>
              <w:textAlignment w:val="auto"/>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冷库制冷机组：</w:t>
            </w:r>
          </w:p>
          <w:p w14:paraId="52C35047">
            <w:pPr>
              <w:pStyle w:val="4"/>
              <w:pageBreakBefore w:val="0"/>
              <w:widowControl w:val="0"/>
              <w:numPr>
                <w:ilvl w:val="0"/>
                <w:numId w:val="0"/>
              </w:numPr>
              <w:shd w:val="clear"/>
              <w:kinsoku/>
              <w:wordWrap/>
              <w:overflowPunct/>
              <w:topLinePunct w:val="0"/>
              <w:autoSpaceDE/>
              <w:autoSpaceDN/>
              <w:bidi w:val="0"/>
              <w:adjustRightInd w:val="0"/>
              <w:snapToGrid w:val="0"/>
              <w:spacing w:before="0" w:beforeAutospacing="0" w:after="0" w:afterAutospacing="0"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①★</w:t>
            </w:r>
            <w:r>
              <w:rPr>
                <w:rFonts w:hint="eastAsia" w:ascii="宋体" w:hAnsi="宋体" w:eastAsia="宋体" w:cs="宋体"/>
                <w:b/>
                <w:bCs/>
                <w:i w:val="0"/>
                <w:iCs w:val="0"/>
                <w:color w:val="auto"/>
                <w:kern w:val="0"/>
                <w:sz w:val="22"/>
                <w:szCs w:val="22"/>
                <w:highlight w:val="none"/>
                <w:u w:val="none"/>
                <w:lang w:val="en-US" w:eastAsia="zh-CN" w:bidi="ar"/>
              </w:rPr>
              <w:t>1.主要技术参数：核心制冷量：6.6KW；蒸发温度：-5℃；风机功率：180W</w:t>
            </w:r>
          </w:p>
          <w:p w14:paraId="59783B04">
            <w:pPr>
              <w:pStyle w:val="4"/>
              <w:pageBreakBefore w:val="0"/>
              <w:widowControl w:val="0"/>
              <w:numPr>
                <w:ilvl w:val="0"/>
                <w:numId w:val="0"/>
              </w:numPr>
              <w:shd w:val="clear"/>
              <w:kinsoku/>
              <w:wordWrap/>
              <w:overflowPunct/>
              <w:topLinePunct w:val="0"/>
              <w:autoSpaceDE/>
              <w:autoSpaceDN/>
              <w:bidi w:val="0"/>
              <w:adjustRightInd w:val="0"/>
              <w:snapToGrid w:val="0"/>
              <w:spacing w:before="0" w:beforeAutospacing="0" w:after="0" w:afterAutospacing="0" w:line="240" w:lineRule="auto"/>
              <w:jc w:val="both"/>
              <w:textAlignment w:val="auto"/>
              <w:rPr>
                <w:rFonts w:hint="eastAsia" w:ascii="宋体" w:hAnsi="宋体" w:eastAsia="宋体" w:cs="宋体"/>
                <w:b/>
                <w:bCs/>
                <w:i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②★</w:t>
            </w:r>
            <w:r>
              <w:rPr>
                <w:rFonts w:hint="eastAsia" w:ascii="宋体" w:hAnsi="宋体" w:eastAsia="宋体" w:cs="宋体"/>
                <w:b/>
                <w:bCs/>
                <w:i w:val="0"/>
                <w:iCs w:val="0"/>
                <w:color w:val="auto"/>
                <w:kern w:val="0"/>
                <w:sz w:val="22"/>
                <w:szCs w:val="22"/>
                <w:highlight w:val="none"/>
                <w:u w:val="none"/>
                <w:lang w:val="en-US" w:eastAsia="zh-CN" w:bidi="ar"/>
              </w:rPr>
              <w:t>1.主要技术参数：制冷量：8.95KW；蒸发温度：-5℃；风机功率：280W</w:t>
            </w:r>
          </w:p>
        </w:tc>
        <w:tc>
          <w:tcPr>
            <w:tcW w:w="1131" w:type="dxa"/>
          </w:tcPr>
          <w:p w14:paraId="09B3E0BD">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c>
          <w:tcPr>
            <w:tcW w:w="1415" w:type="dxa"/>
          </w:tcPr>
          <w:p w14:paraId="0203EC65">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r>
      <w:tr w14:paraId="1E0D6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1DAFAAB9">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center"/>
              <w:textAlignment w:val="auto"/>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16</w:t>
            </w:r>
          </w:p>
        </w:tc>
        <w:tc>
          <w:tcPr>
            <w:tcW w:w="5149" w:type="dxa"/>
          </w:tcPr>
          <w:p w14:paraId="75279525">
            <w:pPr>
              <w:pStyle w:val="4"/>
              <w:pageBreakBefore w:val="0"/>
              <w:widowControl w:val="0"/>
              <w:numPr>
                <w:ilvl w:val="0"/>
                <w:numId w:val="0"/>
              </w:numPr>
              <w:shd w:val="clear"/>
              <w:kinsoku/>
              <w:wordWrap/>
              <w:overflowPunct/>
              <w:topLinePunct w:val="0"/>
              <w:autoSpaceDE/>
              <w:autoSpaceDN/>
              <w:bidi w:val="0"/>
              <w:adjustRightInd w:val="0"/>
              <w:snapToGrid w:val="0"/>
              <w:spacing w:before="0" w:beforeAutospacing="0" w:after="0" w:afterAutospacing="0" w:line="240" w:lineRule="auto"/>
              <w:jc w:val="both"/>
              <w:textAlignment w:val="auto"/>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风冷热泵机组：</w:t>
            </w:r>
          </w:p>
          <w:p w14:paraId="47160C66">
            <w:pPr>
              <w:pStyle w:val="4"/>
              <w:pageBreakBefore w:val="0"/>
              <w:widowControl w:val="0"/>
              <w:numPr>
                <w:ilvl w:val="0"/>
                <w:numId w:val="0"/>
              </w:numPr>
              <w:shd w:val="clear"/>
              <w:kinsoku/>
              <w:wordWrap/>
              <w:overflowPunct/>
              <w:topLinePunct w:val="0"/>
              <w:autoSpaceDE/>
              <w:autoSpaceDN/>
              <w:bidi w:val="0"/>
              <w:adjustRightInd w:val="0"/>
              <w:snapToGrid w:val="0"/>
              <w:spacing w:before="0" w:beforeAutospacing="0" w:after="0" w:afterAutospacing="0" w:line="240" w:lineRule="auto"/>
              <w:jc w:val="both"/>
              <w:textAlignment w:val="auto"/>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①★</w:t>
            </w:r>
            <w:r>
              <w:rPr>
                <w:rFonts w:hint="eastAsia" w:ascii="宋体" w:hAnsi="宋体" w:eastAsia="宋体" w:cs="宋体"/>
                <w:b/>
                <w:bCs/>
                <w:i w:val="0"/>
                <w:iCs w:val="0"/>
                <w:color w:val="auto"/>
                <w:kern w:val="0"/>
                <w:sz w:val="22"/>
                <w:szCs w:val="22"/>
                <w:highlight w:val="none"/>
                <w:u w:val="none"/>
                <w:lang w:val="en-US" w:eastAsia="zh-CN" w:bidi="ar"/>
              </w:rPr>
              <w:t>1.主要技术参数：制冷量：65kw,制热量：65kw,电源：380V/50Hz，功率：20kw</w:t>
            </w:r>
          </w:p>
          <w:p w14:paraId="58FEB331">
            <w:pPr>
              <w:pStyle w:val="4"/>
              <w:pageBreakBefore w:val="0"/>
              <w:widowControl w:val="0"/>
              <w:numPr>
                <w:ilvl w:val="0"/>
                <w:numId w:val="0"/>
              </w:numPr>
              <w:shd w:val="clear"/>
              <w:kinsoku/>
              <w:wordWrap/>
              <w:overflowPunct/>
              <w:topLinePunct w:val="0"/>
              <w:autoSpaceDE/>
              <w:autoSpaceDN/>
              <w:bidi w:val="0"/>
              <w:adjustRightInd w:val="0"/>
              <w:snapToGrid w:val="0"/>
              <w:spacing w:before="0" w:beforeAutospacing="0" w:after="0" w:afterAutospacing="0" w:line="240" w:lineRule="auto"/>
              <w:jc w:val="both"/>
              <w:textAlignment w:val="auto"/>
              <w:rPr>
                <w:rFonts w:hint="eastAsia" w:ascii="宋体" w:hAnsi="宋体" w:eastAsia="宋体" w:cs="宋体"/>
                <w:b/>
                <w:bCs/>
                <w:i w:val="0"/>
                <w:color w:val="auto"/>
                <w:kern w:val="0"/>
                <w:sz w:val="22"/>
                <w:szCs w:val="22"/>
                <w:highlight w:val="none"/>
                <w:u w:val="none"/>
                <w:lang w:val="en-US" w:eastAsia="zh-CN" w:bidi="ar"/>
              </w:rPr>
            </w:pPr>
            <w:r>
              <w:rPr>
                <w:rFonts w:hint="eastAsia" w:ascii="宋体" w:hAnsi="宋体" w:eastAsia="宋体" w:cs="宋体"/>
                <w:b/>
                <w:bCs/>
                <w:i w:val="0"/>
                <w:color w:val="auto"/>
                <w:kern w:val="0"/>
                <w:sz w:val="22"/>
                <w:szCs w:val="22"/>
                <w:highlight w:val="none"/>
                <w:u w:val="none"/>
                <w:lang w:val="en-US" w:eastAsia="zh-CN" w:bidi="ar"/>
              </w:rPr>
              <w:t>②★</w:t>
            </w:r>
            <w:r>
              <w:rPr>
                <w:rFonts w:hint="eastAsia" w:ascii="宋体" w:hAnsi="宋体" w:eastAsia="宋体" w:cs="宋体"/>
                <w:b/>
                <w:bCs/>
                <w:i w:val="0"/>
                <w:iCs w:val="0"/>
                <w:color w:val="auto"/>
                <w:kern w:val="0"/>
                <w:sz w:val="22"/>
                <w:szCs w:val="22"/>
                <w:highlight w:val="none"/>
                <w:u w:val="none"/>
                <w:lang w:val="en-US" w:eastAsia="zh-CN" w:bidi="ar"/>
              </w:rPr>
              <w:t>1.主要技术参数：制冷量：130kw,制热量：130kw,电源：380V/50Hz，功率：43kw</w:t>
            </w:r>
          </w:p>
        </w:tc>
        <w:tc>
          <w:tcPr>
            <w:tcW w:w="1131" w:type="dxa"/>
          </w:tcPr>
          <w:p w14:paraId="1979271C">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c>
          <w:tcPr>
            <w:tcW w:w="1415" w:type="dxa"/>
          </w:tcPr>
          <w:p w14:paraId="375DB2A9">
            <w:pPr>
              <w:pStyle w:val="18"/>
              <w:pageBreakBefore w:val="0"/>
              <w:widowControl w:val="0"/>
              <w:shd w:val="clear"/>
              <w:tabs>
                <w:tab w:val="right" w:leader="dot" w:pos="9004"/>
              </w:tabs>
              <w:kinsoku/>
              <w:wordWrap/>
              <w:overflowPunct/>
              <w:topLinePunct w:val="0"/>
              <w:autoSpaceDE/>
              <w:autoSpaceDN/>
              <w:bidi w:val="0"/>
              <w:adjustRightInd w:val="0"/>
              <w:snapToGrid w:val="0"/>
              <w:spacing w:before="0" w:after="0" w:line="240" w:lineRule="auto"/>
              <w:jc w:val="both"/>
              <w:textAlignment w:val="auto"/>
              <w:rPr>
                <w:rFonts w:hint="eastAsia" w:ascii="宋体" w:hAnsi="宋体" w:eastAsia="宋体" w:cs="宋体"/>
                <w:color w:val="auto"/>
                <w:sz w:val="22"/>
                <w:szCs w:val="22"/>
                <w:highlight w:val="none"/>
                <w:vertAlign w:val="baseline"/>
                <w:lang w:eastAsia="zh-CN"/>
              </w:rPr>
            </w:pPr>
          </w:p>
        </w:tc>
      </w:tr>
    </w:tbl>
    <w:p w14:paraId="465706B5">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回复：</w:t>
      </w:r>
    </w:p>
    <w:p w14:paraId="3BE8FC6E">
      <w:pPr>
        <w:keepNext w:val="0"/>
        <w:keepLines w:val="0"/>
        <w:pageBreakBefore w:val="0"/>
        <w:widowControl w:val="0"/>
        <w:numPr>
          <w:ilvl w:val="0"/>
          <w:numId w:val="7"/>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（一）空调设计系统技术参数是基于保障项目未来趋势发展需要合理设置，当前市场中多家品牌均具备符合该要求的产品。</w:t>
      </w:r>
    </w:p>
    <w:p w14:paraId="2FAA4A23">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涉及检测报告的参数为本项目关键系统的关键功能，基于甄别投标产品是否真实具备招标人所需功能，杜绝虚假应标，具备CMA资质的第三方检测机构在行业内具备充分的公信力，其测试结果及其出具的检测报告，能够有效证明受检设备是否真实具备项目需求的功能。</w:t>
      </w:r>
    </w:p>
    <w:p w14:paraId="78EEB9D8">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default"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本项目要求投标产品具备以上功能，并由中标人负责配置终端平台，综合考虑在本次投标报价中。</w:t>
      </w:r>
    </w:p>
    <w:p w14:paraId="15ED41F1">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2、（二）医用气体终端插拔极限次数不少于50000次，是基于保障技术可靠性、项目实际需要合理设置，当前市场中多家品牌均具备符合该要求的产品，因此不作调整。</w:t>
      </w:r>
    </w:p>
    <w:p w14:paraId="7FDD2AC9">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涉及检测报告的参数为本项目关键系统的关键功能，基于甄别投标产品是否真实具备招标人所需功能，杜绝虚假应标，具备CMA资质的第三方检测机构在行业内具备充分的公信力，其测试结果及其出具的检测报告，能够有效证明受检设备是否真实具备项目需求的功能。</w:t>
      </w:r>
    </w:p>
    <w:p w14:paraId="239D0766">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3、（三）生物安全柜：予以适当调整，详见</w:t>
      </w:r>
      <w:r>
        <w:rPr>
          <w:rFonts w:hint="eastAsia" w:ascii="宋体" w:hAnsi="宋体" w:eastAsia="宋体" w:cs="宋体"/>
          <w:b/>
          <w:bCs/>
          <w:strike w:val="0"/>
          <w:dstrike w:val="0"/>
          <w:color w:val="auto"/>
          <w:sz w:val="24"/>
          <w:szCs w:val="24"/>
          <w:highlight w:val="none"/>
          <w:lang w:val="en-US" w:eastAsia="zh-CN"/>
        </w:rPr>
        <w:t>招标人对招标文件的澄清及补充。</w:t>
      </w:r>
    </w:p>
    <w:p w14:paraId="051DB3FD">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4、（四）实验室智能空气质控系统的技术参数是基于保障技术可靠性、项目实际需要合理设置，当前市场中多家品牌均具备符合该要求的产品，且此条要求检测报告为</w:t>
      </w:r>
      <w:r>
        <w:rPr>
          <w:rFonts w:hint="eastAsia" w:ascii="宋体" w:hAnsi="宋体" w:eastAsia="宋体" w:cs="宋体"/>
          <w:b/>
          <w:bCs/>
          <w:i/>
          <w:iCs/>
          <w:strike w:val="0"/>
          <w:dstrike w:val="0"/>
          <w:color w:val="auto"/>
          <w:kern w:val="2"/>
          <w:sz w:val="24"/>
          <w:szCs w:val="24"/>
          <w:highlight w:val="none"/>
          <w:lang w:val="en-US" w:eastAsia="zh-CN" w:bidi="ar-SA"/>
        </w:rPr>
        <w:t>“供货时”</w:t>
      </w:r>
      <w:r>
        <w:rPr>
          <w:rFonts w:hint="eastAsia" w:ascii="宋体" w:hAnsi="宋体" w:eastAsia="宋体" w:cs="宋体"/>
          <w:b/>
          <w:bCs/>
          <w:strike w:val="0"/>
          <w:dstrike w:val="0"/>
          <w:color w:val="auto"/>
          <w:kern w:val="2"/>
          <w:sz w:val="24"/>
          <w:szCs w:val="24"/>
          <w:highlight w:val="none"/>
          <w:lang w:val="en-US" w:eastAsia="zh-CN" w:bidi="ar-SA"/>
        </w:rPr>
        <w:t>提供，而非投标时提供，因此不作调整。</w:t>
      </w:r>
    </w:p>
    <w:p w14:paraId="7C621291">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80"/>
        <w:jc w:val="both"/>
        <w:textAlignment w:val="baseline"/>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5、招标文件第 314 页响应材料、检测报告等的清单明细是为了评标方便而作的汇总，在招标文件第43页中已明确“</w:t>
      </w:r>
      <w:r>
        <w:rPr>
          <w:rFonts w:hint="eastAsia" w:ascii="宋体" w:hAnsi="宋体" w:eastAsia="宋体" w:cs="宋体"/>
          <w:b/>
          <w:bCs/>
          <w:color w:val="auto"/>
          <w:spacing w:val="0"/>
          <w:sz w:val="24"/>
          <w:szCs w:val="24"/>
          <w:highlight w:val="none"/>
          <w:u w:val="single"/>
          <w:lang w:val="en-US" w:eastAsia="zh-CN"/>
        </w:rPr>
        <w:t>注：投标文件需提供技术要求中要求提供的相关佐证材料；技术要求中未作要求的或要求供货时提供的，投标阶段无需提供。</w:t>
      </w:r>
      <w:r>
        <w:rPr>
          <w:rFonts w:hint="eastAsia" w:ascii="宋体" w:hAnsi="宋体" w:eastAsia="宋体" w:cs="宋体"/>
          <w:b/>
          <w:bCs/>
          <w:strike w:val="0"/>
          <w:dstrike w:val="0"/>
          <w:color w:val="auto"/>
          <w:kern w:val="2"/>
          <w:sz w:val="24"/>
          <w:szCs w:val="24"/>
          <w:highlight w:val="none"/>
          <w:lang w:val="en-US" w:eastAsia="zh-CN" w:bidi="ar-SA"/>
        </w:rPr>
        <w:t>”故除了要求提供相关佐证材料的以外，投标人承诺响应即可。</w:t>
      </w:r>
    </w:p>
    <w:p w14:paraId="42B75F07">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80"/>
        <w:jc w:val="both"/>
        <w:textAlignment w:val="baseline"/>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其中新风机组、多联机等设备的参数固定值为招标人要求的最低配置要求，大于等于此要求均予以认可。</w:t>
      </w:r>
    </w:p>
    <w:p w14:paraId="2BAE009C">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p>
    <w:p w14:paraId="33F525AD">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问题2：</w:t>
      </w:r>
      <w:r>
        <w:rPr>
          <w:rFonts w:hint="eastAsia" w:ascii="宋体" w:hAnsi="宋体" w:eastAsia="宋体" w:cs="宋体"/>
          <w:b w:val="0"/>
          <w:bCs w:val="0"/>
          <w:strike w:val="0"/>
          <w:dstrike w:val="0"/>
          <w:color w:val="auto"/>
          <w:kern w:val="2"/>
          <w:sz w:val="24"/>
          <w:szCs w:val="24"/>
          <w:highlight w:val="none"/>
          <w:lang w:val="en-US" w:eastAsia="zh-CN" w:bidi="ar-SA"/>
        </w:rPr>
        <w:t>恳请招标人修改本条参数，取消投标文件中强制提供检测报告的要求，调整为:投标人投标阶段无需提供检测报告。中标人须在设备进场施工前，向采购单位及监理单位提交全套有效第三方检测报告，资料核验合格后方可进场安装、施工。</w:t>
      </w:r>
    </w:p>
    <w:p w14:paraId="015DC086">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回复：以上参数是基于保障技术可靠性、项目实际需要合理设置，当前市场中多家品牌均具备符合该要求的产品，因此不作调整。</w:t>
      </w:r>
    </w:p>
    <w:p w14:paraId="12A93F34">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default"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涉及检测报告的参数为本项目关键系统的关键功能，基于甄别投标产品是否真实具备招标人所需功能，杜绝虚假应标，具备CMA资质的第三方检测机构在行业内具备充分的公信力，其测试结果及其出具的检测报告，能够有效证明受检设备是否真实具备项目需求的功能。</w:t>
      </w:r>
    </w:p>
    <w:p w14:paraId="691DDF70">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p>
    <w:p w14:paraId="48E36B73">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问题3：</w:t>
      </w:r>
      <w:r>
        <w:rPr>
          <w:rFonts w:hint="eastAsia" w:ascii="宋体" w:hAnsi="宋体" w:eastAsia="宋体" w:cs="宋体"/>
          <w:b w:val="0"/>
          <w:bCs w:val="0"/>
          <w:strike w:val="0"/>
          <w:dstrike w:val="0"/>
          <w:color w:val="auto"/>
          <w:kern w:val="2"/>
          <w:sz w:val="24"/>
          <w:szCs w:val="24"/>
          <w:highlight w:val="none"/>
          <w:lang w:val="en-US" w:eastAsia="zh-CN" w:bidi="ar-SA"/>
        </w:rPr>
        <w:t>招标文件“第五章.招标内容和技术要求”实验室工程技术参数7.6.参数功能(5)产品工作电压、工作频率、工作电流、冲击耐压试验等性能满足GB/T.3797-2016要求，还应满足电磁兼容要求电磁骚扰发射、抗扰度，对应GB/T17626要求。投标文件中提供具有CMA认证的第三方检测机构出具的检测报告扫描件或复印件。(6)产品具备耐高温性能，依据GB/T2423.2进行2H的≥60°C高温试验，产品外观无变化、各项功能指标正常。</w:t>
      </w:r>
      <w:r>
        <w:rPr>
          <w:rFonts w:hint="eastAsia" w:ascii="宋体" w:hAnsi="宋体" w:eastAsia="宋体" w:cs="宋体"/>
          <w:b/>
          <w:bCs/>
          <w:strike w:val="0"/>
          <w:dstrike w:val="0"/>
          <w:color w:val="auto"/>
          <w:kern w:val="2"/>
          <w:sz w:val="24"/>
          <w:szCs w:val="24"/>
          <w:highlight w:val="none"/>
          <w:lang w:val="en-US" w:eastAsia="zh-CN" w:bidi="ar-SA"/>
        </w:rPr>
        <w:t>投标文件中提供具有CMA认证的第三方检测机构出具的检测报告扫描件或复印件。</w:t>
      </w:r>
    </w:p>
    <w:p w14:paraId="5199E605">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建议删除以上具有明显的偏向性，指向性的需要提供第三方检测机构出具的检测报告复印件或其他证明资料的技术要求。提供证明材料的提供阶段统一改为进场前。</w:t>
      </w:r>
    </w:p>
    <w:p w14:paraId="7DAB4508">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回复：以上参数是基于保障技术可靠性、项目实际需要合理设置，当前市场中多家品牌均具备符合该要求的产品，因此不作调整。</w:t>
      </w:r>
    </w:p>
    <w:p w14:paraId="0FF809E8">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涉及检测报告的参数为本项目关键系统的关键功能，基于甄别投标产品是否真实具备招标人所需功能，杜绝虚假应标，具备CMA资质的第三方检测机构在行业内具备充分的公信力，其测试结果及其出具的检测报告，能够有效证明受检设备是否真实具备项目需求的功能。</w:t>
      </w:r>
    </w:p>
    <w:p w14:paraId="270116F4">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p>
    <w:p w14:paraId="7307EB5F">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default"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问题4：</w:t>
      </w:r>
      <w:r>
        <w:rPr>
          <w:rFonts w:hint="default" w:ascii="宋体" w:hAnsi="宋体" w:eastAsia="宋体" w:cs="宋体"/>
          <w:b w:val="0"/>
          <w:bCs w:val="0"/>
          <w:strike w:val="0"/>
          <w:dstrike w:val="0"/>
          <w:color w:val="auto"/>
          <w:kern w:val="2"/>
          <w:sz w:val="24"/>
          <w:szCs w:val="24"/>
          <w:highlight w:val="none"/>
          <w:lang w:val="en-US" w:eastAsia="zh-CN" w:bidi="ar-SA"/>
        </w:rPr>
        <w:t>招标文件"第五章.招标内容和技术要求"净化系统技术参数6.2.1系统配置:具有AI多参数自适应精准环境控制(核心基础应用)功能.具有AI负荷预测与冷热源群控节能功能.具有滤网与设备 AI预测性维护功能具有AI异常污染识别与风险预警功能。投标文件中提供具有CMA认证的第三方检测机构出具的检测报告扫描件或复印件。</w:t>
      </w:r>
    </w:p>
    <w:p w14:paraId="4EC847E6">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建议删除以上具有明显的偏向性，指向性的需要提供第三方检测机构出具的检测报告复印件或其他证明资料的技术要求。提供证明材料的提供阶段统一改为进场前。</w:t>
      </w:r>
    </w:p>
    <w:p w14:paraId="2EB1C160">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回复：共性问题，见问题1。</w:t>
      </w:r>
    </w:p>
    <w:p w14:paraId="718D5EB5">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p>
    <w:p w14:paraId="31BE839A">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问题5：</w:t>
      </w:r>
    </w:p>
    <w:p w14:paraId="02BB9103">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default" w:ascii="宋体" w:hAnsi="宋体" w:eastAsia="宋体" w:cs="宋体"/>
          <w:b w:val="0"/>
          <w:bCs w:val="0"/>
          <w:strike w:val="0"/>
          <w:dstrike w:val="0"/>
          <w:color w:val="auto"/>
          <w:kern w:val="2"/>
          <w:sz w:val="24"/>
          <w:szCs w:val="24"/>
          <w:highlight w:val="none"/>
          <w:lang w:val="en-US" w:eastAsia="zh-CN" w:bidi="ar-SA"/>
        </w:rPr>
      </w:pPr>
      <w:r>
        <w:rPr>
          <w:rFonts w:hint="default" w:ascii="宋体" w:hAnsi="宋体" w:eastAsia="宋体" w:cs="宋体"/>
          <w:b w:val="0"/>
          <w:bCs w:val="0"/>
          <w:strike w:val="0"/>
          <w:dstrike w:val="0"/>
          <w:color w:val="auto"/>
          <w:kern w:val="2"/>
          <w:sz w:val="24"/>
          <w:szCs w:val="24"/>
          <w:highlight w:val="none"/>
          <w:lang w:val="en-US" w:eastAsia="zh-CN" w:bidi="ar-SA"/>
        </w:rPr>
        <w:t>招标文件“第五章招标内容和技术要求”技术参数要求气流组织设计:(4)送风面风速均匀性:≤10%偏差，气流垂直度:≤150 偏角，过滤器检漏效率:≥99.99%(MPPS 法)，箱体漏风率:≤1%，密封条耐久性(次)≥10万次。投标文件中提供具有CMA认证的第三方检测机构出县的检测报告扫描件或复印件。</w:t>
      </w:r>
    </w:p>
    <w:p w14:paraId="480BEF8E">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建议删除以上具有明显的偏向性，指向性的需要提供第三方检测机构出具的检测报告复印件或其他证明资料的技术要求。提供证明材料的提供阶段统一改为进场前。</w:t>
      </w:r>
    </w:p>
    <w:p w14:paraId="62ED0837">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回复：以上参数是基于保障技术可靠性、项目实际需要合理设置，当前市场中多家品牌均具备符合该要求的产品，因此不作调整。</w:t>
      </w:r>
    </w:p>
    <w:p w14:paraId="3F3A052C">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涉及检测报告的参数为本项目关键系统的关键功能，基于甄别投标产品是否真实具备招标人所需功能，杜绝虚假应标，具备CMA资质的第三方检测机构在行业内具备充分的公信力，其测试结果及其出具的检测报告，能够有效证明受检设备是否真实具备项目需求的功能。</w:t>
      </w:r>
    </w:p>
    <w:p w14:paraId="5069A173">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p>
    <w:p w14:paraId="28453D4B">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问题6：</w:t>
      </w:r>
    </w:p>
    <w:p w14:paraId="40A13EB3">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r>
        <w:rPr>
          <w:rFonts w:hint="default" w:ascii="宋体" w:hAnsi="宋体" w:eastAsia="宋体" w:cs="宋体"/>
          <w:b w:val="0"/>
          <w:bCs w:val="0"/>
          <w:strike w:val="0"/>
          <w:dstrike w:val="0"/>
          <w:color w:val="auto"/>
          <w:kern w:val="2"/>
          <w:sz w:val="24"/>
          <w:szCs w:val="24"/>
          <w:highlight w:val="none"/>
          <w:lang w:val="en-US" w:eastAsia="zh-CN" w:bidi="ar-SA"/>
        </w:rPr>
        <w:t>招标文件"第五章招标内容和技术要求”</w:t>
      </w:r>
      <w:r>
        <w:rPr>
          <w:rFonts w:hint="eastAsia" w:ascii="宋体" w:hAnsi="宋体" w:eastAsia="宋体" w:cs="宋体"/>
          <w:b w:val="0"/>
          <w:bCs w:val="0"/>
          <w:strike w:val="0"/>
          <w:dstrike w:val="0"/>
          <w:color w:val="auto"/>
          <w:kern w:val="2"/>
          <w:sz w:val="24"/>
          <w:szCs w:val="24"/>
          <w:highlight w:val="none"/>
          <w:lang w:val="en-US" w:eastAsia="zh-CN" w:bidi="ar-SA"/>
        </w:rPr>
        <w:t>，</w:t>
      </w:r>
      <w:r>
        <w:rPr>
          <w:rFonts w:hint="default" w:ascii="宋体" w:hAnsi="宋体" w:eastAsia="宋体" w:cs="宋体"/>
          <w:b w:val="0"/>
          <w:bCs w:val="0"/>
          <w:strike w:val="0"/>
          <w:dstrike w:val="0"/>
          <w:color w:val="auto"/>
          <w:kern w:val="2"/>
          <w:sz w:val="24"/>
          <w:szCs w:val="24"/>
          <w:highlight w:val="none"/>
          <w:lang w:val="en-US" w:eastAsia="zh-CN" w:bidi="ar-SA"/>
        </w:rPr>
        <w:t>技术参数要求5.2墙体、墙面:耐磨含钛喷涂摩擦系统0.05-0.20，涂层耐磨面积≤6%,厚度损失≤0</w:t>
      </w:r>
      <w:r>
        <w:rPr>
          <w:rFonts w:hint="eastAsia" w:ascii="宋体" w:hAnsi="宋体" w:eastAsia="宋体" w:cs="宋体"/>
          <w:b w:val="0"/>
          <w:bCs w:val="0"/>
          <w:strike w:val="0"/>
          <w:dstrike w:val="0"/>
          <w:color w:val="auto"/>
          <w:kern w:val="2"/>
          <w:sz w:val="24"/>
          <w:szCs w:val="24"/>
          <w:highlight w:val="none"/>
          <w:lang w:val="en-US" w:eastAsia="zh-CN" w:bidi="ar-SA"/>
        </w:rPr>
        <w:t>.</w:t>
      </w:r>
      <w:r>
        <w:rPr>
          <w:rFonts w:hint="default" w:ascii="宋体" w:hAnsi="宋体" w:eastAsia="宋体" w:cs="宋体"/>
          <w:b w:val="0"/>
          <w:bCs w:val="0"/>
          <w:strike w:val="0"/>
          <w:dstrike w:val="0"/>
          <w:color w:val="auto"/>
          <w:kern w:val="2"/>
          <w:sz w:val="24"/>
          <w:szCs w:val="24"/>
          <w:highlight w:val="none"/>
          <w:lang w:val="en-US" w:eastAsia="zh-CN" w:bidi="ar-SA"/>
        </w:rPr>
        <w:t>03mm:耐霉菌性能≥99%:抗碘伏、碘酒、酒精、双氢水、硼酸、高锰酸钾、84.消毒液腐蚀测试表面无变化。投标文件中提供具有CMA认证的第三方检测机构出具的检测报告扫描件或复印件</w:t>
      </w:r>
      <w:r>
        <w:rPr>
          <w:rFonts w:hint="eastAsia" w:ascii="宋体" w:hAnsi="宋体" w:eastAsia="宋体" w:cs="宋体"/>
          <w:b w:val="0"/>
          <w:bCs w:val="0"/>
          <w:strike w:val="0"/>
          <w:dstrike w:val="0"/>
          <w:color w:val="auto"/>
          <w:kern w:val="2"/>
          <w:sz w:val="24"/>
          <w:szCs w:val="24"/>
          <w:highlight w:val="none"/>
          <w:lang w:val="en-US" w:eastAsia="zh-CN" w:bidi="ar-SA"/>
        </w:rPr>
        <w:t>。</w:t>
      </w:r>
    </w:p>
    <w:p w14:paraId="0DAB572E">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建议删除以上具有明显的偏向性，指向性的需要提供第三方检测机构出具的检测报告复印件或其他证明资料的技术要求。提供证明材料的提供阶段统一改为进场前。</w:t>
      </w:r>
    </w:p>
    <w:p w14:paraId="6082E3C2">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回复：以上参数是基于保障技术可靠性、项目实际需要合理设置，当前市场中多家品牌均具备符合该要求的产品，因此不作调整。</w:t>
      </w:r>
    </w:p>
    <w:p w14:paraId="1C73705D">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涉及检测报告的参数为本项目关键系统的关键功能，基于甄别投标产品是否真实具备招标人所需功能，杜绝虚假应标，具备CMA资质的第三方检测机构在行业内具备充分的公信力，其测试结果及其出具的检测报告，能够有效证明受检设备是否真实具备项目需求的功能。</w:t>
      </w:r>
    </w:p>
    <w:p w14:paraId="484A2ED1">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p>
    <w:p w14:paraId="5A606FCF">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问题7：招标文件“第五章招标内容和技术要求"技术参数.10.5汇流排10.5.2气体报警产品耐热耐寒性能、抗冲击性能、外壳防护等级外壳耐压性能符合GB3836.1及GB3836.2国家标准的检验报告。投标文件中提供具有CMA.认证的第三方检测机构出具的检测报告扫描件或复印件。</w:t>
      </w:r>
    </w:p>
    <w:p w14:paraId="424D4CFB">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建议删除以上具有明显的偏向性，指向性的需要提供第三方检测机构出具的检测报告复印件或其他证明资料的技术要求。提供证明材料的提供阶段统一改为进场前。</w:t>
      </w:r>
    </w:p>
    <w:p w14:paraId="4266297C">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回复：以上参数是基于保障技术可靠性、项目实际需要合理设置，当前市场中多家品牌均具备符合该要求的产品，因此不作调整。</w:t>
      </w:r>
    </w:p>
    <w:p w14:paraId="41D0F726">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涉及检测报告的参数为本项目关键系统的关键功能，基于甄别投标产品是否真实具备招标人所需功能，杜绝虚假应标，具备CMA资质的第三方检测机构在行业内具备充分的公信力，其测试结果及其出具的检测报告，能够有效证明受检设备是否真实具备项目需求的功能。</w:t>
      </w:r>
    </w:p>
    <w:p w14:paraId="112F5EAA">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p>
    <w:p w14:paraId="28AA9912">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问题8：招标文件“第五章招标内容和技术要求"技术参数10.10医用气体终端10.10.2气体终端技术要求:为保证产品的耐久性，插拔极限次数不少于50000次。投标文件中提供具有CMA认证的第三方检测机构出具的检测报告扫描件或复印件。</w:t>
      </w:r>
    </w:p>
    <w:p w14:paraId="0CF27867">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建议删除以上具有明显的偏向性，指向性的需要提供第三方检测机构出具的检测报告复印件或其他证明资料的技术要求。提供证明材料的提供阶段统一改为进场前。</w:t>
      </w:r>
    </w:p>
    <w:p w14:paraId="1A25799D">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default"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回复：共性问题，见问题1。</w:t>
      </w:r>
    </w:p>
    <w:p w14:paraId="2D0756CE">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strike w:val="0"/>
          <w:dstrike w:val="0"/>
          <w:color w:val="auto"/>
          <w:sz w:val="24"/>
          <w:szCs w:val="24"/>
          <w:highlight w:val="none"/>
          <w:lang w:val="en-US" w:eastAsia="zh-CN"/>
        </w:rPr>
      </w:pPr>
    </w:p>
    <w:p w14:paraId="7217BD9F">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default"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sz w:val="24"/>
          <w:szCs w:val="24"/>
          <w:highlight w:val="none"/>
          <w:lang w:val="en-US" w:eastAsia="zh-CN"/>
        </w:rPr>
        <w:t>二、招标人对招标文件的澄清及补充如下：</w:t>
      </w:r>
    </w:p>
    <w:p w14:paraId="65AE8D1E">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1、</w:t>
      </w:r>
      <w:r>
        <w:rPr>
          <w:rFonts w:hint="eastAsia" w:ascii="宋体" w:hAnsi="宋体" w:eastAsia="宋体" w:cs="宋体"/>
          <w:b w:val="0"/>
          <w:bCs w:val="0"/>
          <w:strike w:val="0"/>
          <w:dstrike w:val="0"/>
          <w:color w:val="auto"/>
          <w:kern w:val="2"/>
          <w:sz w:val="24"/>
          <w:szCs w:val="24"/>
          <w:highlight w:val="none"/>
          <w:lang w:val="en-US" w:eastAsia="zh-CN" w:bidi="ar-SA"/>
        </w:rPr>
        <w:t>第五章招标内容和技术要求“（三）生物安全柜”部分参数予以适当调整，原招标文件：</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164E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2B8DE85D">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标配两块ULPA超高效过滤器,针对0.12μm颗粒系达到过滤</w:t>
            </w:r>
            <w:r>
              <w:rPr>
                <w:rFonts w:hint="eastAsia" w:ascii="宋体" w:hAnsi="宋体" w:eastAsia="宋体" w:cs="宋体"/>
                <w:color w:val="auto"/>
                <w:spacing w:val="0"/>
                <w:sz w:val="24"/>
                <w:szCs w:val="24"/>
                <w:highlight w:val="none"/>
                <w:lang w:eastAsia="zh-CN"/>
              </w:rPr>
              <w:t>效率</w:t>
            </w:r>
            <w:r>
              <w:rPr>
                <w:rFonts w:hint="eastAsia" w:ascii="宋体" w:hAnsi="宋体" w:eastAsia="宋体" w:cs="宋体"/>
                <w:color w:val="auto"/>
                <w:spacing w:val="0"/>
                <w:sz w:val="24"/>
                <w:szCs w:val="24"/>
                <w:highlight w:val="none"/>
              </w:rPr>
              <w:t>99.999</w:t>
            </w: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%，过滤膜材质采用无隔板硼硅酸盐玻璃纤维。</w:t>
            </w:r>
          </w:p>
          <w:p w14:paraId="290FBA12">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控制软件LCD液晶屏显示可显示工作区温度、气流流速、过滤膜使用寿命等系统参数，可调节各项参数设定，蓝色显示屏数字指示各项参数示值，密码修改程序设置，防止误操作。</w:t>
            </w:r>
          </w:p>
          <w:p w14:paraId="5140614F">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风机自带电压波动补偿功能，具有阻力感应补偿功能，有效地延长超高效过滤器的使用寿命。</w:t>
            </w:r>
          </w:p>
          <w:p w14:paraId="443FC9E6">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温度传感器：可实时检测并显示温度。</w:t>
            </w:r>
          </w:p>
          <w:p w14:paraId="3B875818">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b/>
                <w:bCs/>
                <w:strike w:val="0"/>
                <w:dstrike w:val="0"/>
                <w:color w:val="auto"/>
                <w:kern w:val="2"/>
                <w:sz w:val="24"/>
                <w:szCs w:val="24"/>
                <w:highlight w:val="none"/>
                <w:vertAlign w:val="baseline"/>
                <w:lang w:val="en-US" w:eastAsia="zh-CN" w:bidi="ar-SA"/>
              </w:rPr>
            </w:pP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rPr>
              <w:t>配备过滤器预失效和破损及阻塞报警技术，配备风机过载报警提示。</w:t>
            </w:r>
          </w:p>
        </w:tc>
      </w:tr>
    </w:tbl>
    <w:p w14:paraId="7C94CBE6">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default" w:ascii="宋体" w:hAnsi="宋体" w:eastAsia="宋体" w:cs="宋体"/>
          <w:b/>
          <w:bCs/>
          <w:strike w:val="0"/>
          <w:dstrike w:val="0"/>
          <w:color w:val="auto"/>
          <w:kern w:val="2"/>
          <w:sz w:val="24"/>
          <w:szCs w:val="24"/>
          <w:highlight w:val="none"/>
          <w:lang w:val="en-US" w:eastAsia="zh-CN" w:bidi="ar-SA"/>
        </w:rPr>
      </w:pPr>
      <w:r>
        <w:rPr>
          <w:rFonts w:hint="eastAsia" w:ascii="宋体" w:hAnsi="宋体" w:eastAsia="宋体" w:cs="宋体"/>
          <w:b/>
          <w:bCs/>
          <w:strike w:val="0"/>
          <w:dstrike w:val="0"/>
          <w:color w:val="auto"/>
          <w:kern w:val="2"/>
          <w:sz w:val="24"/>
          <w:szCs w:val="24"/>
          <w:highlight w:val="none"/>
          <w:lang w:val="en-US" w:eastAsia="zh-CN" w:bidi="ar-SA"/>
        </w:rPr>
        <w:t>修改为：</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7576F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610617D">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标配两块ULPA超高效过滤器,针对0.12μm颗粒系达到过滤</w:t>
            </w:r>
            <w:r>
              <w:rPr>
                <w:rFonts w:hint="eastAsia" w:ascii="宋体" w:hAnsi="宋体" w:eastAsia="宋体" w:cs="宋体"/>
                <w:color w:val="auto"/>
                <w:spacing w:val="0"/>
                <w:sz w:val="24"/>
                <w:szCs w:val="24"/>
                <w:highlight w:val="none"/>
                <w:lang w:eastAsia="zh-CN"/>
              </w:rPr>
              <w:t>效率</w:t>
            </w:r>
            <w:r>
              <w:rPr>
                <w:rFonts w:hint="eastAsia" w:ascii="宋体" w:hAnsi="宋体" w:eastAsia="宋体" w:cs="宋体"/>
                <w:color w:val="auto"/>
                <w:spacing w:val="0"/>
                <w:sz w:val="24"/>
                <w:szCs w:val="24"/>
                <w:highlight w:val="none"/>
              </w:rPr>
              <w:t>99.999</w:t>
            </w: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%，过滤膜材质采用无隔板硼硅酸盐玻璃纤维。</w:t>
            </w:r>
          </w:p>
          <w:p w14:paraId="4542A316">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控制软件LCD液晶屏显示可显示工作区温度、气流流速、过滤膜使用寿命等系统参数，可调节各项参数设定，</w:t>
            </w:r>
            <w:r>
              <w:rPr>
                <w:rFonts w:hint="eastAsia" w:ascii="宋体" w:hAnsi="宋体" w:eastAsia="宋体" w:cs="宋体"/>
                <w:b/>
                <w:bCs/>
                <w:color w:val="auto"/>
                <w:spacing w:val="0"/>
                <w:sz w:val="24"/>
                <w:szCs w:val="24"/>
                <w:highlight w:val="none"/>
                <w:lang w:val="en-US" w:eastAsia="zh-CN"/>
              </w:rPr>
              <w:t>液晶</w:t>
            </w:r>
            <w:r>
              <w:rPr>
                <w:rFonts w:hint="eastAsia" w:ascii="宋体" w:hAnsi="宋体" w:eastAsia="宋体" w:cs="宋体"/>
                <w:b/>
                <w:bCs/>
                <w:color w:val="auto"/>
                <w:spacing w:val="0"/>
                <w:sz w:val="24"/>
                <w:szCs w:val="24"/>
                <w:highlight w:val="none"/>
              </w:rPr>
              <w:t>显示屏数字指示各项参数示值。</w:t>
            </w:r>
          </w:p>
          <w:p w14:paraId="22DD4BB2">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5）</w:t>
            </w:r>
            <w:r>
              <w:rPr>
                <w:rFonts w:hint="eastAsia" w:ascii="宋体" w:hAnsi="宋体" w:eastAsia="宋体" w:cs="宋体"/>
                <w:b/>
                <w:bCs/>
                <w:color w:val="auto"/>
                <w:spacing w:val="0"/>
                <w:sz w:val="24"/>
                <w:szCs w:val="24"/>
                <w:highlight w:val="none"/>
              </w:rPr>
              <w:t>风机具有阻力感应补偿功能</w:t>
            </w:r>
            <w:r>
              <w:rPr>
                <w:rFonts w:hint="eastAsia" w:ascii="宋体" w:hAnsi="宋体" w:eastAsia="宋体" w:cs="宋体"/>
                <w:color w:val="auto"/>
                <w:spacing w:val="0"/>
                <w:sz w:val="24"/>
                <w:szCs w:val="24"/>
                <w:highlight w:val="none"/>
              </w:rPr>
              <w:t>，有效地延长超高效过滤器的使用寿命。</w:t>
            </w:r>
          </w:p>
          <w:p w14:paraId="57232260">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温度传感器：可实时检测并显示温度。</w:t>
            </w:r>
          </w:p>
          <w:p w14:paraId="33BBA1F8">
            <w:pPr>
              <w:keepNext w:val="0"/>
              <w:keepLines w:val="0"/>
              <w:pageBreakBefore w:val="0"/>
              <w:widowControl w:val="0"/>
              <w:shd w:val="clear"/>
              <w:kinsoku/>
              <w:wordWrap/>
              <w:overflowPunct/>
              <w:topLinePunct w:val="0"/>
              <w:autoSpaceDE/>
              <w:autoSpaceDN/>
              <w:bidi w:val="0"/>
              <w:adjustRightInd/>
              <w:snapToGrid w:val="0"/>
              <w:spacing w:beforeAutospacing="0" w:afterAutospacing="0" w:line="300" w:lineRule="auto"/>
              <w:ind w:left="0" w:leftChars="0" w:firstLine="480" w:firstLineChars="200"/>
              <w:textAlignment w:val="auto"/>
              <w:rPr>
                <w:rFonts w:hint="eastAsia" w:ascii="宋体" w:hAnsi="宋体" w:eastAsia="宋体" w:cs="宋体"/>
                <w:b/>
                <w:bCs/>
                <w:strike w:val="0"/>
                <w:dstrike w:val="0"/>
                <w:color w:val="auto"/>
                <w:kern w:val="2"/>
                <w:sz w:val="24"/>
                <w:szCs w:val="24"/>
                <w:highlight w:val="none"/>
                <w:vertAlign w:val="baseline"/>
                <w:lang w:val="en-US" w:eastAsia="zh-CN" w:bidi="ar-SA"/>
              </w:rPr>
            </w:pP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rPr>
              <w:t>配备过滤器预失效和破损及阻塞报警技术，配备风机过载报警提示。</w:t>
            </w:r>
          </w:p>
        </w:tc>
      </w:tr>
    </w:tbl>
    <w:p w14:paraId="21066866">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default" w:ascii="宋体" w:hAnsi="宋体" w:eastAsia="宋体" w:cs="宋体"/>
          <w:strike w:val="0"/>
          <w:dstrike w:val="0"/>
          <w:color w:val="auto"/>
          <w:kern w:val="2"/>
          <w:sz w:val="24"/>
          <w:szCs w:val="24"/>
          <w:highlight w:val="none"/>
          <w:lang w:val="en-US" w:eastAsia="zh-CN" w:bidi="ar-SA"/>
        </w:rPr>
      </w:pPr>
    </w:p>
    <w:p w14:paraId="15935572">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textAlignment w:val="auto"/>
        <w:rPr>
          <w:rFonts w:hint="default"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2、招标文件与本次答疑澄清文件有冲突的，以本次答疑澄清文件为准，与本次答疑澄清文件没有冲突的按原招标文件执行。</w:t>
      </w:r>
    </w:p>
    <w:p w14:paraId="442C1452">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textAlignment w:val="auto"/>
        <w:rPr>
          <w:rFonts w:hint="eastAsia" w:ascii="宋体" w:hAnsi="宋体" w:eastAsia="宋体" w:cs="宋体"/>
          <w:strike w:val="0"/>
          <w:dstrike w:val="0"/>
          <w:color w:val="auto"/>
          <w:sz w:val="24"/>
          <w:szCs w:val="24"/>
          <w:highlight w:val="none"/>
          <w:lang w:val="en-US" w:eastAsia="zh-CN"/>
        </w:rPr>
      </w:pPr>
    </w:p>
    <w:p w14:paraId="489972A2">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jc w:val="right"/>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绍兴市第七人民医院（盖章）</w:t>
      </w:r>
    </w:p>
    <w:p w14:paraId="1DF555BF">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jc w:val="right"/>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绍兴市城发建设有限公司（盖章）</w:t>
      </w:r>
    </w:p>
    <w:p w14:paraId="77CCFBD0">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jc w:val="right"/>
        <w:textAlignment w:val="auto"/>
        <w:rPr>
          <w:rFonts w:hint="eastAsia"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华汇工程设计集团股份有限公司（盖章）</w:t>
      </w:r>
    </w:p>
    <w:p w14:paraId="637FB59A">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left="0" w:leftChars="0" w:firstLine="480" w:firstLineChars="200"/>
        <w:jc w:val="right"/>
        <w:textAlignment w:val="auto"/>
        <w:rPr>
          <w:rFonts w:hint="default" w:ascii="宋体" w:hAnsi="宋体" w:eastAsia="宋体" w:cs="宋体"/>
          <w:strike w:val="0"/>
          <w:dstrike w:val="0"/>
          <w:color w:val="auto"/>
          <w:kern w:val="2"/>
          <w:sz w:val="24"/>
          <w:szCs w:val="24"/>
          <w:highlight w:val="none"/>
          <w:lang w:val="en-US" w:eastAsia="zh-CN" w:bidi="ar-SA"/>
        </w:rPr>
      </w:pPr>
      <w:r>
        <w:rPr>
          <w:rFonts w:hint="eastAsia" w:ascii="宋体" w:hAnsi="宋体" w:eastAsia="宋体" w:cs="宋体"/>
          <w:strike w:val="0"/>
          <w:dstrike w:val="0"/>
          <w:color w:val="auto"/>
          <w:kern w:val="2"/>
          <w:sz w:val="24"/>
          <w:szCs w:val="24"/>
          <w:highlight w:val="none"/>
          <w:lang w:val="en-US" w:eastAsia="zh-CN" w:bidi="ar-SA"/>
        </w:rPr>
        <w:t>2026年8月25日</w:t>
      </w:r>
    </w:p>
    <w:p w14:paraId="6BFE45FD">
      <w:pPr>
        <w:autoSpaceDN/>
        <w:spacing w:line="440" w:lineRule="exact"/>
        <w:jc w:val="both"/>
        <w:rPr>
          <w:rFonts w:hint="eastAsia" w:ascii="宋体" w:hAnsi="宋体" w:eastAsia="宋体" w:cs="宋体"/>
          <w:snapToGrid w:val="0"/>
          <w:color w:val="auto"/>
          <w:sz w:val="24"/>
          <w:szCs w:val="24"/>
          <w:highlight w:val="none"/>
          <w:lang w:val="en-US" w:eastAsia="zh-CN" w:bidi="ar-SA"/>
        </w:rPr>
      </w:pPr>
      <w:bookmarkStart w:id="95" w:name="_GoBack"/>
      <w:bookmarkEnd w:id="95"/>
    </w:p>
    <w:p w14:paraId="7AF2AEDE">
      <w:pPr>
        <w:widowControl/>
        <w:autoSpaceDN/>
        <w:rPr>
          <w:rFonts w:hint="eastAsia" w:ascii="宋体" w:hAnsi="宋体" w:eastAsia="宋体" w:cs="宋体"/>
          <w:color w:val="auto"/>
          <w:sz w:val="28"/>
          <w:szCs w:val="28"/>
          <w:highlight w:val="none"/>
        </w:rPr>
      </w:pPr>
    </w:p>
    <w:p w14:paraId="4EFD4021">
      <w:pPr>
        <w:pStyle w:val="18"/>
        <w:rPr>
          <w:rFonts w:hint="eastAsia" w:ascii="宋体" w:hAnsi="宋体" w:eastAsia="宋体" w:cs="宋体"/>
          <w:color w:val="auto"/>
          <w:highlight w:val="none"/>
        </w:rPr>
      </w:pPr>
    </w:p>
    <w:sectPr>
      <w:footerReference r:id="rId22" w:type="default"/>
      <w:pgSz w:w="11907" w:h="16840"/>
      <w:pgMar w:top="1418" w:right="1559" w:bottom="1418" w:left="1474" w:header="0" w:footer="72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楷体">
    <w:altName w:val="宋体"/>
    <w:panose1 w:val="02010600040101010101"/>
    <w:charset w:val="86"/>
    <w:family w:val="auto"/>
    <w:pitch w:val="default"/>
    <w:sig w:usb0="00000000" w:usb1="00000000" w:usb2="00000000" w:usb3="00000000" w:csb0="0004009F" w:csb1="DFD70000"/>
  </w:font>
  <w:font w:name="MS Gothic">
    <w:panose1 w:val="020B0609070205080204"/>
    <w:charset w:val="80"/>
    <w:family w:val="auto"/>
    <w:pitch w:val="default"/>
    <w:sig w:usb0="E00002FF" w:usb1="6AC7FDFB" w:usb2="08000012" w:usb3="00000000" w:csb0="4002009F" w:csb1="DFD70000"/>
  </w:font>
  <w:font w:name="Wingdings 2">
    <w:altName w:val="Wingdings"/>
    <w:panose1 w:val="05020102010507070707"/>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9E30E">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66087">
    <w:pPr>
      <w:spacing w:line="187" w:lineRule="auto"/>
      <w:ind w:left="4413"/>
      <w:rPr>
        <w:rFonts w:ascii="Calibri" w:hAnsi="Calibri" w:eastAsia="Calibri" w:cs="Calibri"/>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73C8876">
                          <w:pPr>
                            <w:pStyle w:val="1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OIvoyAgAAY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044i+jICAABjBAAADgAAAAAAAAABACAAAAAfAQAAZHJzL2Uyb0RvYy54bWxQSwUG&#10;AAAAAAYABgBZAQAAwwUAAAAA&#10;">
              <v:fill on="f" focussize="0,0"/>
              <v:stroke on="f" weight="0.5pt"/>
              <v:imagedata o:title=""/>
              <o:lock v:ext="edit" aspectratio="f"/>
              <v:textbox inset="0mm,0mm,0mm,0mm" style="mso-fit-shape-to-text:t;">
                <w:txbxContent>
                  <w:p w14:paraId="673C8876">
                    <w:pPr>
                      <w:pStyle w:val="1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AFF3C">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B48FAC7">
                          <w:pPr>
                            <w:pStyle w:val="16"/>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H2oaIyAgAAYw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fahojICAABjBAAADgAAAAAAAAABACAAAAAfAQAAZHJzL2Uyb0RvYy54bWxQSwUG&#10;AAAAAAYABgBZAQAAwwUAAAAA&#10;">
              <v:fill on="f" focussize="0,0"/>
              <v:stroke on="f" weight="0.5pt"/>
              <v:imagedata o:title=""/>
              <o:lock v:ext="edit" aspectratio="f"/>
              <v:textbox inset="0mm,0mm,0mm,0mm" style="mso-fit-shape-to-text:t;">
                <w:txbxContent>
                  <w:p w14:paraId="7B48FAC7">
                    <w:pPr>
                      <w:pStyle w:val="16"/>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6D434">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F0B0126">
                          <w:pPr>
                            <w:pStyle w:val="16"/>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czWjAxAgAAY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nM1owMQIAAGMEAAAOAAAAAAAAAAEAIAAAAB8BAABkcnMvZTJvRG9jLnhtbFBLBQYA&#10;AAAABgAGAFkBAADCBQAAAAA=&#10;">
              <v:fill on="f" focussize="0,0"/>
              <v:stroke on="f" weight="0.5pt"/>
              <v:imagedata o:title=""/>
              <o:lock v:ext="edit" aspectratio="f"/>
              <v:textbox inset="0mm,0mm,0mm,0mm" style="mso-fit-shape-to-text:t;">
                <w:txbxContent>
                  <w:p w14:paraId="6F0B0126">
                    <w:pPr>
                      <w:pStyle w:val="16"/>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7D5F7">
    <w:pPr>
      <w:spacing w:line="188" w:lineRule="auto"/>
      <w:ind w:left="4195"/>
      <w:rPr>
        <w:rFonts w:ascii="Calibri" w:hAnsi="Calibri" w:eastAsia="Calibri" w:cs="Calibri"/>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D0351D5">
                          <w:pPr>
                            <w:pStyle w:val="16"/>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uUsyAgAAYwQAAA4AAABkcnMvZTJvRG9jLnhtbK1UzY7TMBC+I/EO&#10;lu80bRGlqp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f65SzICAABjBAAADgAAAAAAAAABACAAAAAfAQAAZHJzL2Uyb0RvYy54bWxQSwUG&#10;AAAAAAYABgBZAQAAwwUAAAAA&#10;">
              <v:fill on="f" focussize="0,0"/>
              <v:stroke on="f" weight="0.5pt"/>
              <v:imagedata o:title=""/>
              <o:lock v:ext="edit" aspectratio="f"/>
              <v:textbox inset="0mm,0mm,0mm,0mm" style="mso-fit-shape-to-text:t;">
                <w:txbxContent>
                  <w:p w14:paraId="6D0351D5">
                    <w:pPr>
                      <w:pStyle w:val="16"/>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2F155">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68A085">
                          <w:pPr>
                            <w:pStyle w:val="16"/>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2v9QIxAgAAYw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dr/UCMQIAAGMEAAAOAAAAAAAAAAEAIAAAAB8BAABkcnMvZTJvRG9jLnhtbFBLBQYA&#10;AAAABgAGAFkBAADCBQAAAAA=&#10;">
              <v:fill on="f" focussize="0,0"/>
              <v:stroke on="f" weight="0.5pt"/>
              <v:imagedata o:title=""/>
              <o:lock v:ext="edit" aspectratio="f"/>
              <v:textbox inset="0mm,0mm,0mm,0mm" style="mso-fit-shape-to-text:t;">
                <w:txbxContent>
                  <w:p w14:paraId="7C68A085">
                    <w:pPr>
                      <w:pStyle w:val="16"/>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B4692">
    <w:pPr>
      <w:spacing w:line="188" w:lineRule="auto"/>
      <w:ind w:left="4829"/>
      <w:rPr>
        <w:rFonts w:ascii="Calibri" w:hAnsi="Calibri" w:eastAsia="Calibri" w:cs="Calibri"/>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DB71633">
                          <w:pPr>
                            <w:pStyle w:val="16"/>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3lPQyAgAAY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7eU9DICAABjBAAADgAAAAAAAAABACAAAAAfAQAAZHJzL2Uyb0RvYy54bWxQSwUG&#10;AAAAAAYABgBZAQAAwwUAAAAA&#10;">
              <v:fill on="f" focussize="0,0"/>
              <v:stroke on="f" weight="0.5pt"/>
              <v:imagedata o:title=""/>
              <o:lock v:ext="edit" aspectratio="f"/>
              <v:textbox inset="0mm,0mm,0mm,0mm" style="mso-fit-shape-to-text:t;">
                <w:txbxContent>
                  <w:p w14:paraId="1DB71633">
                    <w:pPr>
                      <w:pStyle w:val="16"/>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96AE7">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45583F0">
                          <w:pPr>
                            <w:pStyle w:val="16"/>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WTfs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mD3Lwlbv&#10;LI/QUR5vV8cAOZPKUZROCXQnbjB9qU/9S4nj/ec+RT3+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1Fk37MQIAAGUEAAAOAAAAAAAAAAEAIAAAAB8BAABkcnMvZTJvRG9jLnhtbFBLBQYA&#10;AAAABgAGAFkBAADCBQAAAAA=&#10;">
              <v:fill on="f" focussize="0,0"/>
              <v:stroke on="f" weight="0.5pt"/>
              <v:imagedata o:title=""/>
              <o:lock v:ext="edit" aspectratio="f"/>
              <v:textbox inset="0mm,0mm,0mm,0mm" style="mso-fit-shape-to-text:t;">
                <w:txbxContent>
                  <w:p w14:paraId="345583F0">
                    <w:pPr>
                      <w:pStyle w:val="16"/>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DEA06">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77C2E0D">
                          <w:pPr>
                            <w:pStyle w:val="16"/>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sitU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EGbPsrDV&#10;O8sjdJTH29UxQM6kchSlUwLdiQdMX+pTvylxvP88p6jHf4fl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rLIrVMQIAAGUEAAAOAAAAAAAAAAEAIAAAAB8BAABkcnMvZTJvRG9jLnhtbFBLBQYA&#10;AAAABgAGAFkBAADCBQAAAAA=&#10;">
              <v:fill on="f" focussize="0,0"/>
              <v:stroke on="f" weight="0.5pt"/>
              <v:imagedata o:title=""/>
              <o:lock v:ext="edit" aspectratio="f"/>
              <v:textbox inset="0mm,0mm,0mm,0mm" style="mso-fit-shape-to-text:t;">
                <w:txbxContent>
                  <w:p w14:paraId="077C2E0D">
                    <w:pPr>
                      <w:pStyle w:val="16"/>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E7F97">
    <w:pPr>
      <w:spacing w:line="188" w:lineRule="auto"/>
      <w:ind w:left="4226"/>
      <w:rPr>
        <w:rFonts w:ascii="Calibri" w:hAnsi="Calibri" w:eastAsia="Calibri" w:cs="Calibri"/>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68F4CF7">
                          <w:pPr>
                            <w:pStyle w:val="16"/>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FyM8y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cXIzzICAABlBAAADgAAAAAAAAABACAAAAAfAQAAZHJzL2Uyb0RvYy54bWxQSwUG&#10;AAAAAAYABgBZAQAAwwUAAAAA&#10;">
              <v:fill on="f" focussize="0,0"/>
              <v:stroke on="f" weight="0.5pt"/>
              <v:imagedata o:title=""/>
              <o:lock v:ext="edit" aspectratio="f"/>
              <v:textbox inset="0mm,0mm,0mm,0mm" style="mso-fit-shape-to-text:t;">
                <w:txbxContent>
                  <w:p w14:paraId="168F4CF7">
                    <w:pPr>
                      <w:pStyle w:val="16"/>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C9CA4">
    <w:pPr>
      <w:spacing w:line="188" w:lineRule="auto"/>
      <w:ind w:left="4820"/>
      <w:rPr>
        <w:rFonts w:ascii="Calibri" w:hAnsi="Calibri" w:eastAsia="Calibri" w:cs="Calibri"/>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FEFB2FB">
                          <w:pPr>
                            <w:pStyle w:val="16"/>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dYBIgy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1gEiDICAABlBAAADgAAAAAAAAABACAAAAAfAQAAZHJzL2Uyb0RvYy54bWxQSwUG&#10;AAAAAAYABgBZAQAAwwUAAAAA&#10;">
              <v:fill on="f" focussize="0,0"/>
              <v:stroke on="f" weight="0.5pt"/>
              <v:imagedata o:title=""/>
              <o:lock v:ext="edit" aspectratio="f"/>
              <v:textbox inset="0mm,0mm,0mm,0mm" style="mso-fit-shape-to-text:t;">
                <w:txbxContent>
                  <w:p w14:paraId="4FEFB2FB">
                    <w:pPr>
                      <w:pStyle w:val="16"/>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F7760">
    <w:pPr>
      <w:spacing w:line="188" w:lineRule="auto"/>
      <w:ind w:left="4815"/>
      <w:rPr>
        <w:rFonts w:ascii="Calibri" w:hAnsi="Calibri" w:eastAsia="Calibri" w:cs="Calibri"/>
        <w:sz w:val="17"/>
        <w:szCs w:val="17"/>
      </w:rPr>
    </w:pPr>
    <w:r>
      <w:rPr>
        <w:sz w:val="17"/>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E33E80C">
                          <w:pPr>
                            <w:pStyle w:val="16"/>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4E33E80C">
                    <w:pPr>
                      <w:pStyle w:val="16"/>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EDA88">
    <w:pPr>
      <w:spacing w:line="188"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8FC07D2">
                          <w:pPr>
                            <w:pStyle w:val="16"/>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liw6Yy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WLDpjICAABlBAAADgAAAAAAAAABACAAAAAfAQAAZHJzL2Uyb0RvYy54bWxQSwUG&#10;AAAAAAYABgBZAQAAwwUAAAAA&#10;">
              <v:fill on="f" focussize="0,0"/>
              <v:stroke on="f" weight="0.5pt"/>
              <v:imagedata o:title=""/>
              <o:lock v:ext="edit" aspectratio="f"/>
              <v:textbox inset="0mm,0mm,0mm,0mm" style="mso-fit-shape-to-text:t;">
                <w:txbxContent>
                  <w:p w14:paraId="58FC07D2">
                    <w:pPr>
                      <w:pStyle w:val="16"/>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2E0C3">
    <w:pPr>
      <w:spacing w:line="186" w:lineRule="auto"/>
      <w:ind w:left="4359"/>
      <w:rPr>
        <w:rFonts w:ascii="Calibri" w:hAnsi="Calibri" w:eastAsia="Calibri" w:cs="Calibri"/>
        <w:sz w:val="17"/>
        <w:szCs w:val="17"/>
      </w:rPr>
    </w:pPr>
    <w:r>
      <w:rPr>
        <w:sz w:val="17"/>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8B4EA39">
                          <w:pPr>
                            <w:pStyle w:val="16"/>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GDM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wuxZFrZ6&#10;Z3mEjvJ4uzoGyJlUjqJ0SqA78YDpS33qNyWO95/nFPX47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vsRgzMQIAAGUEAAAOAAAAAAAAAAEAIAAAAB8BAABkcnMvZTJvRG9jLnhtbFBLBQYA&#10;AAAABgAGAFkBAADCBQAAAAA=&#10;">
              <v:fill on="f" focussize="0,0"/>
              <v:stroke on="f" weight="0.5pt"/>
              <v:imagedata o:title=""/>
              <o:lock v:ext="edit" aspectratio="f"/>
              <v:textbox inset="0mm,0mm,0mm,0mm" style="mso-fit-shape-to-text:t;">
                <w:txbxContent>
                  <w:p w14:paraId="68B4EA39">
                    <w:pPr>
                      <w:pStyle w:val="16"/>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C4775">
    <w:pPr>
      <w:spacing w:line="188"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48FEEF8">
                          <w:pPr>
                            <w:pStyle w:val="16"/>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YWiky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VhaKTICAABlBAAADgAAAAAAAAABACAAAAAfAQAAZHJzL2Uyb0RvYy54bWxQSwUG&#10;AAAAAAYABgBZAQAAwwUAAAAA&#10;">
              <v:fill on="f" focussize="0,0"/>
              <v:stroke on="f" weight="0.5pt"/>
              <v:imagedata o:title=""/>
              <o:lock v:ext="edit" aspectratio="f"/>
              <v:textbox inset="0mm,0mm,0mm,0mm" style="mso-fit-shape-to-text:t;">
                <w:txbxContent>
                  <w:p w14:paraId="348FEEF8">
                    <w:pPr>
                      <w:pStyle w:val="16"/>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3D783">
    <w:pPr>
      <w:spacing w:line="188" w:lineRule="auto"/>
      <w:ind w:left="4466"/>
      <w:rPr>
        <w:rFonts w:ascii="Calibri" w:hAnsi="Calibri" w:eastAsia="Calibri" w:cs="Calibri"/>
        <w:sz w:val="17"/>
        <w:szCs w:val="17"/>
      </w:rPr>
    </w:pPr>
    <w:r>
      <w:rPr>
        <w:sz w:val="17"/>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0BA40D6">
                          <w:pPr>
                            <w:pStyle w:val="16"/>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ZE8m0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IMyeZWGr&#10;d5ZH6CiPt6tjgJxJ5ShKpwS6Ew+YvtSnflPieP95TlGP/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2RPJtMQIAAGUEAAAOAAAAAAAAAAEAIAAAAB8BAABkcnMvZTJvRG9jLnhtbFBLBQYA&#10;AAAABgAGAFkBAADCBQAAAAA=&#10;">
              <v:fill on="f" focussize="0,0"/>
              <v:stroke on="f" weight="0.5pt"/>
              <v:imagedata o:title=""/>
              <o:lock v:ext="edit" aspectratio="f"/>
              <v:textbox inset="0mm,0mm,0mm,0mm" style="mso-fit-shape-to-text:t;">
                <w:txbxContent>
                  <w:p w14:paraId="60BA40D6">
                    <w:pPr>
                      <w:pStyle w:val="16"/>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38C80">
    <w:pPr>
      <w:spacing w:line="188" w:lineRule="auto"/>
      <w:ind w:left="7337"/>
      <w:rPr>
        <w:rFonts w:ascii="Calibri" w:hAnsi="Calibri" w:eastAsia="Calibri" w:cs="Calibri"/>
        <w:sz w:val="17"/>
        <w:szCs w:val="17"/>
      </w:rPr>
    </w:pPr>
    <w:r>
      <w:rPr>
        <w:sz w:val="17"/>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5C41A91">
                          <w:pPr>
                            <w:pStyle w:val="1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ytsHc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dYwVaRp6mEipKz1aod23&#10;Pc+9Kc6g6Uw3Kd7yTY1StsyHB+YwGigfjyfcYymlQUrTW5RUxn3513mMR8fgpaTBqOVU42VRIt9r&#10;dBKAYTDcYOwHQx/VncHsojmoJZm44IIczNIZ9RkvahVzwMU0R6achsG8C92440VysVqlIMyeZWGr&#10;d5ZH6CiPt6tjgJxJ5ShKpwS6EzeYvtSn/qXE8f5zn6I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8rbB3MQIAAGUEAAAOAAAAAAAAAAEAIAAAAB8BAABkcnMvZTJvRG9jLnhtbFBLBQYA&#10;AAAABgAGAFkBAADCBQAAAAA=&#10;">
              <v:fill on="f" focussize="0,0"/>
              <v:stroke on="f" weight="0.5pt"/>
              <v:imagedata o:title=""/>
              <o:lock v:ext="edit" aspectratio="f"/>
              <v:textbox inset="0mm,0mm,0mm,0mm" style="mso-fit-shape-to-text:t;">
                <w:txbxContent>
                  <w:p w14:paraId="35C41A91">
                    <w:pPr>
                      <w:pStyle w:val="16"/>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C7382">
    <w:pPr>
      <w:spacing w:line="186" w:lineRule="auto"/>
      <w:ind w:left="4803"/>
      <w:rPr>
        <w:rFonts w:ascii="Calibri" w:hAnsi="Calibri" w:eastAsia="Calibri" w:cs="Calibri"/>
        <w:sz w:val="17"/>
        <w:szCs w:val="17"/>
      </w:rPr>
    </w:pPr>
    <w:r>
      <w:rPr>
        <w:sz w:val="17"/>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F18C90">
                          <w:pPr>
                            <w:pStyle w:val="16"/>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Xd1k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pd3WTICAABlBAAADgAAAAAAAAABACAAAAAfAQAAZHJzL2Uyb0RvYy54bWxQSwUG&#10;AAAAAAYABgBZAQAAwwUAAAAA&#10;">
              <v:fill on="f" focussize="0,0"/>
              <v:stroke on="f" weight="0.5pt"/>
              <v:imagedata o:title=""/>
              <o:lock v:ext="edit" aspectratio="f"/>
              <v:textbox inset="0mm,0mm,0mm,0mm" style="mso-fit-shape-to-text:t;">
                <w:txbxContent>
                  <w:p w14:paraId="77F18C90">
                    <w:pPr>
                      <w:pStyle w:val="16"/>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D896D">
    <w:pPr>
      <w:spacing w:line="186" w:lineRule="auto"/>
      <w:ind w:left="4803"/>
      <w:rPr>
        <w:rFonts w:ascii="Calibri" w:hAnsi="Calibri" w:eastAsia="Calibri" w:cs="Calibri"/>
        <w:sz w:val="17"/>
        <w:szCs w:val="17"/>
      </w:rPr>
    </w:pPr>
    <w:r>
      <w:rPr>
        <w:sz w:val="17"/>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039193B">
                          <w:pPr>
                            <w:pStyle w:val="16"/>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DZPioz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DZPiozAgAAZQQAAA4AAAAAAAAAAQAgAAAAHwEAAGRycy9lMm9Eb2MueG1sUEsF&#10;BgAAAAAGAAYAWQEAAMQFAAAAAA==&#10;">
              <v:fill on="f" focussize="0,0"/>
              <v:stroke on="f" weight="0.5pt"/>
              <v:imagedata o:title=""/>
              <o:lock v:ext="edit" aspectratio="f"/>
              <v:textbox inset="0mm,0mm,0mm,0mm" style="mso-fit-shape-to-text:t;">
                <w:txbxContent>
                  <w:p w14:paraId="3039193B">
                    <w:pPr>
                      <w:pStyle w:val="16"/>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9EC70">
    <w:pPr>
      <w:spacing w:line="188" w:lineRule="auto"/>
      <w:ind w:left="4661"/>
      <w:rPr>
        <w:rFonts w:ascii="Calibri" w:hAnsi="Calibri" w:eastAsia="Calibri" w:cs="Calibri"/>
        <w:sz w:val="17"/>
        <w:szCs w:val="17"/>
      </w:rPr>
    </w:pPr>
    <w:r>
      <w:rPr>
        <w:sz w:val="17"/>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4774F86">
                          <w:pPr>
                            <w:pStyle w:val="16"/>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QKux4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QKux4zAgAAZQQAAA4AAAAAAAAAAQAgAAAAHwEAAGRycy9lMm9Eb2MueG1sUEsF&#10;BgAAAAAGAAYAWQEAAMQFAAAAAA==&#10;">
              <v:fill on="f" focussize="0,0"/>
              <v:stroke on="f" weight="0.5pt"/>
              <v:imagedata o:title=""/>
              <o:lock v:ext="edit" aspectratio="f"/>
              <v:textbox inset="0mm,0mm,0mm,0mm" style="mso-fit-shape-to-text:t;">
                <w:txbxContent>
                  <w:p w14:paraId="74774F86">
                    <w:pPr>
                      <w:pStyle w:val="16"/>
                    </w:pPr>
                    <w:r>
                      <w:fldChar w:fldCharType="begin"/>
                    </w:r>
                    <w:r>
                      <w:instrText xml:space="preserve"> PAGE  \* MERGEFORMAT </w:instrText>
                    </w:r>
                    <w:r>
                      <w:fldChar w:fldCharType="separate"/>
                    </w:r>
                    <w:r>
                      <w:t>67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80F009"/>
    <w:multiLevelType w:val="singleLevel"/>
    <w:tmpl w:val="8A80F009"/>
    <w:lvl w:ilvl="0" w:tentative="0">
      <w:start w:val="3"/>
      <w:numFmt w:val="decimal"/>
      <w:lvlText w:val="%1."/>
      <w:lvlJc w:val="left"/>
      <w:pPr>
        <w:tabs>
          <w:tab w:val="left" w:pos="312"/>
        </w:tabs>
      </w:pPr>
    </w:lvl>
  </w:abstractNum>
  <w:abstractNum w:abstractNumId="1">
    <w:nsid w:val="968B0875"/>
    <w:multiLevelType w:val="singleLevel"/>
    <w:tmpl w:val="968B0875"/>
    <w:lvl w:ilvl="0" w:tentative="0">
      <w:start w:val="4"/>
      <w:numFmt w:val="decimal"/>
      <w:suff w:val="nothing"/>
      <w:lvlText w:val="%1、"/>
      <w:lvlJc w:val="left"/>
    </w:lvl>
  </w:abstractNum>
  <w:abstractNum w:abstractNumId="2">
    <w:nsid w:val="FDD94E94"/>
    <w:multiLevelType w:val="singleLevel"/>
    <w:tmpl w:val="FDD94E94"/>
    <w:lvl w:ilvl="0" w:tentative="0">
      <w:start w:val="1"/>
      <w:numFmt w:val="decimal"/>
      <w:suff w:val="nothing"/>
      <w:lvlText w:val="%1）"/>
      <w:lvlJc w:val="left"/>
    </w:lvl>
  </w:abstractNum>
  <w:abstractNum w:abstractNumId="3">
    <w:nsid w:val="66C570E6"/>
    <w:multiLevelType w:val="multilevel"/>
    <w:tmpl w:val="66C570E6"/>
    <w:lvl w:ilvl="0" w:tentative="0">
      <w:start w:val="1"/>
      <w:numFmt w:val="chineseCounting"/>
      <w:suff w:val="nothing"/>
      <w:lvlText w:val="第%1章 "/>
      <w:lvlJc w:val="left"/>
      <w:pPr>
        <w:ind w:left="432" w:hanging="432"/>
      </w:pPr>
      <w:rPr>
        <w:rFonts w:hint="eastAsia"/>
      </w:rPr>
    </w:lvl>
    <w:lvl w:ilvl="1" w:tentative="0">
      <w:start w:val="1"/>
      <w:numFmt w:val="decimal"/>
      <w:isLgl/>
      <w:lvlText w:val="%1.%2."/>
      <w:lvlJc w:val="left"/>
      <w:pPr>
        <w:ind w:left="575" w:hanging="575"/>
      </w:pPr>
      <w:rPr>
        <w:rFonts w:hint="eastAsia"/>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pStyle w:val="6"/>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4">
    <w:nsid w:val="6C179287"/>
    <w:multiLevelType w:val="singleLevel"/>
    <w:tmpl w:val="6C179287"/>
    <w:lvl w:ilvl="0" w:tentative="0">
      <w:start w:val="1"/>
      <w:numFmt w:val="decimal"/>
      <w:suff w:val="nothing"/>
      <w:lvlText w:val="%1、"/>
      <w:lvlJc w:val="left"/>
    </w:lvl>
  </w:abstractNum>
  <w:abstractNum w:abstractNumId="5">
    <w:nsid w:val="7574CCA9"/>
    <w:multiLevelType w:val="multilevel"/>
    <w:tmpl w:val="7574CCA9"/>
    <w:lvl w:ilvl="0" w:tentative="0">
      <w:start w:val="1"/>
      <w:numFmt w:val="chineseCounting"/>
      <w:suff w:val="nothing"/>
      <w:lvlText w:val="%1、"/>
      <w:lvlJc w:val="left"/>
      <w:pPr>
        <w:tabs>
          <w:tab w:val="left" w:pos="0"/>
        </w:tabs>
        <w:ind w:left="0" w:firstLine="0"/>
      </w:pPr>
      <w:rPr>
        <w:rFonts w:hint="eastAsia" w:ascii="宋体" w:hAnsi="宋体" w:eastAsia="宋体" w:cs="宋体"/>
        <w:sz w:val="24"/>
        <w:szCs w:val="24"/>
      </w:rPr>
    </w:lvl>
    <w:lvl w:ilvl="1" w:tentative="0">
      <w:start w:val="1"/>
      <w:numFmt w:val="chineseCounting"/>
      <w:pStyle w:val="3"/>
      <w:suff w:val="nothing"/>
      <w:lvlText w:val="（%2）"/>
      <w:lvlJc w:val="left"/>
      <w:pPr>
        <w:ind w:left="0" w:firstLine="0"/>
      </w:pPr>
      <w:rPr>
        <w:rFonts w:hint="eastAsia" w:ascii="宋体" w:hAnsi="宋体" w:eastAsia="宋体" w:cs="宋体"/>
        <w:sz w:val="24"/>
        <w:szCs w:val="24"/>
      </w:rPr>
    </w:lvl>
    <w:lvl w:ilvl="2" w:tentative="0">
      <w:start w:val="1"/>
      <w:numFmt w:val="decimal"/>
      <w:suff w:val="nothing"/>
      <w:lvlText w:val="%3．"/>
      <w:lvlJc w:val="left"/>
      <w:pPr>
        <w:ind w:left="210" w:firstLine="400"/>
      </w:pPr>
      <w:rPr>
        <w:rFonts w:hint="eastAsia" w:ascii="宋体" w:hAnsi="宋体" w:eastAsia="宋体" w:cs="宋体"/>
        <w:sz w:val="24"/>
        <w:szCs w:val="24"/>
      </w:rPr>
    </w:lvl>
    <w:lvl w:ilvl="3" w:tentative="0">
      <w:start w:val="1"/>
      <w:numFmt w:val="decimal"/>
      <w:suff w:val="nothing"/>
      <w:lvlText w:val="（%4）"/>
      <w:lvlJc w:val="left"/>
      <w:pPr>
        <w:ind w:left="0" w:firstLine="0"/>
      </w:pPr>
      <w:rPr>
        <w:rFonts w:hint="eastAsia" w:ascii="宋体" w:hAnsi="宋体" w:eastAsia="宋体" w:cs="宋体"/>
        <w:sz w:val="24"/>
        <w:szCs w:val="24"/>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7D12ACBE"/>
    <w:multiLevelType w:val="singleLevel"/>
    <w:tmpl w:val="7D12ACBE"/>
    <w:lvl w:ilvl="0" w:tentative="0">
      <w:start w:val="4"/>
      <w:numFmt w:val="chineseCounting"/>
      <w:suff w:val="nothing"/>
      <w:lvlText w:val="%1、"/>
      <w:lvlJc w:val="left"/>
      <w:rPr>
        <w:rFonts w:hint="eastAsia"/>
      </w:rPr>
    </w:lvl>
  </w:abstractNum>
  <w:num w:numId="1">
    <w:abstractNumId w:val="5"/>
  </w:num>
  <w:num w:numId="2">
    <w:abstractNumId w:val="3"/>
  </w:num>
  <w:num w:numId="3">
    <w:abstractNumId w:val="0"/>
  </w:num>
  <w:num w:numId="4">
    <w:abstractNumId w:val="6"/>
  </w:num>
  <w:num w:numId="5">
    <w:abstractNumId w:val="2"/>
  </w:num>
  <w:num w:numId="6">
    <w:abstractNumId w:val="1"/>
  </w:num>
  <w:num w:numId="7">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DELL">
    <w15:presenceInfo w15:providerId="None" w15:userId="DELL"/>
  </w15:person>
  <w15:person w15:author="XH">
    <w15:presenceInfo w15:providerId="None" w15:userId="X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5ZjUzY2VhMDhkODI5ZjQzOTJiMTQ3ZjQyNjZlMTYifQ=="/>
  </w:docVars>
  <w:rsids>
    <w:rsidRoot w:val="00702EC5"/>
    <w:rsid w:val="00055130"/>
    <w:rsid w:val="00060497"/>
    <w:rsid w:val="00064B23"/>
    <w:rsid w:val="00074692"/>
    <w:rsid w:val="000A6356"/>
    <w:rsid w:val="000B3A92"/>
    <w:rsid w:val="000E44F2"/>
    <w:rsid w:val="000E4CB5"/>
    <w:rsid w:val="000F6453"/>
    <w:rsid w:val="00113FF6"/>
    <w:rsid w:val="00141809"/>
    <w:rsid w:val="00165366"/>
    <w:rsid w:val="00195915"/>
    <w:rsid w:val="001B77A0"/>
    <w:rsid w:val="001C2B10"/>
    <w:rsid w:val="001C3966"/>
    <w:rsid w:val="001E4522"/>
    <w:rsid w:val="001E675A"/>
    <w:rsid w:val="001E69D3"/>
    <w:rsid w:val="002117B2"/>
    <w:rsid w:val="00211E3B"/>
    <w:rsid w:val="00224277"/>
    <w:rsid w:val="0023617D"/>
    <w:rsid w:val="002363AC"/>
    <w:rsid w:val="002721BB"/>
    <w:rsid w:val="0027596A"/>
    <w:rsid w:val="00285F6C"/>
    <w:rsid w:val="00295364"/>
    <w:rsid w:val="002C3AC3"/>
    <w:rsid w:val="002D4792"/>
    <w:rsid w:val="002F1197"/>
    <w:rsid w:val="002F16F5"/>
    <w:rsid w:val="002F1733"/>
    <w:rsid w:val="002F4D4C"/>
    <w:rsid w:val="00310156"/>
    <w:rsid w:val="0031567A"/>
    <w:rsid w:val="003340F8"/>
    <w:rsid w:val="00336164"/>
    <w:rsid w:val="00352B65"/>
    <w:rsid w:val="00363B93"/>
    <w:rsid w:val="003A5A8B"/>
    <w:rsid w:val="003B2432"/>
    <w:rsid w:val="003B4F63"/>
    <w:rsid w:val="003C3100"/>
    <w:rsid w:val="003C57EF"/>
    <w:rsid w:val="003E2060"/>
    <w:rsid w:val="003E6637"/>
    <w:rsid w:val="003F7FF4"/>
    <w:rsid w:val="00404B6B"/>
    <w:rsid w:val="00442846"/>
    <w:rsid w:val="004534ED"/>
    <w:rsid w:val="004744D6"/>
    <w:rsid w:val="004857AB"/>
    <w:rsid w:val="004A40FC"/>
    <w:rsid w:val="004A5C0A"/>
    <w:rsid w:val="004B321D"/>
    <w:rsid w:val="004B63E0"/>
    <w:rsid w:val="004D6462"/>
    <w:rsid w:val="004E1221"/>
    <w:rsid w:val="00505F50"/>
    <w:rsid w:val="00517719"/>
    <w:rsid w:val="0052392E"/>
    <w:rsid w:val="00535583"/>
    <w:rsid w:val="0055058D"/>
    <w:rsid w:val="00596F50"/>
    <w:rsid w:val="005974DB"/>
    <w:rsid w:val="005B1814"/>
    <w:rsid w:val="005E46AE"/>
    <w:rsid w:val="005F7FCB"/>
    <w:rsid w:val="006237C7"/>
    <w:rsid w:val="00633E75"/>
    <w:rsid w:val="00637A03"/>
    <w:rsid w:val="00661ADD"/>
    <w:rsid w:val="006629CA"/>
    <w:rsid w:val="006629E1"/>
    <w:rsid w:val="00664EC4"/>
    <w:rsid w:val="00665145"/>
    <w:rsid w:val="00695F6A"/>
    <w:rsid w:val="006A202E"/>
    <w:rsid w:val="006A2DDD"/>
    <w:rsid w:val="006A4113"/>
    <w:rsid w:val="006A4998"/>
    <w:rsid w:val="006B5715"/>
    <w:rsid w:val="006C5E78"/>
    <w:rsid w:val="006C62F2"/>
    <w:rsid w:val="00702EC5"/>
    <w:rsid w:val="00707744"/>
    <w:rsid w:val="00707EEE"/>
    <w:rsid w:val="007369E8"/>
    <w:rsid w:val="00761332"/>
    <w:rsid w:val="007854FB"/>
    <w:rsid w:val="007A29CA"/>
    <w:rsid w:val="007D5CB5"/>
    <w:rsid w:val="007D6130"/>
    <w:rsid w:val="007D733A"/>
    <w:rsid w:val="0081079F"/>
    <w:rsid w:val="00844A95"/>
    <w:rsid w:val="00845837"/>
    <w:rsid w:val="00851C97"/>
    <w:rsid w:val="00854820"/>
    <w:rsid w:val="00881540"/>
    <w:rsid w:val="008D3ED5"/>
    <w:rsid w:val="00914972"/>
    <w:rsid w:val="0092089C"/>
    <w:rsid w:val="00924094"/>
    <w:rsid w:val="00942A60"/>
    <w:rsid w:val="00953DA3"/>
    <w:rsid w:val="0097383F"/>
    <w:rsid w:val="0097490A"/>
    <w:rsid w:val="00996B87"/>
    <w:rsid w:val="009B0DEE"/>
    <w:rsid w:val="009D1D05"/>
    <w:rsid w:val="009D78B5"/>
    <w:rsid w:val="009E03DA"/>
    <w:rsid w:val="009E0AF8"/>
    <w:rsid w:val="009E42B7"/>
    <w:rsid w:val="00A200B0"/>
    <w:rsid w:val="00A54ED8"/>
    <w:rsid w:val="00A570A3"/>
    <w:rsid w:val="00A656E6"/>
    <w:rsid w:val="00A80CD8"/>
    <w:rsid w:val="00AA5562"/>
    <w:rsid w:val="00AA603F"/>
    <w:rsid w:val="00AC51F4"/>
    <w:rsid w:val="00AC544D"/>
    <w:rsid w:val="00AC5EB2"/>
    <w:rsid w:val="00AD43DB"/>
    <w:rsid w:val="00AD5BBD"/>
    <w:rsid w:val="00AF4B12"/>
    <w:rsid w:val="00AF621B"/>
    <w:rsid w:val="00B062A7"/>
    <w:rsid w:val="00B17FC1"/>
    <w:rsid w:val="00B23CD9"/>
    <w:rsid w:val="00B27DBE"/>
    <w:rsid w:val="00B3096B"/>
    <w:rsid w:val="00B3153B"/>
    <w:rsid w:val="00B36BE4"/>
    <w:rsid w:val="00B42DD7"/>
    <w:rsid w:val="00B65DB0"/>
    <w:rsid w:val="00B8171D"/>
    <w:rsid w:val="00B8778E"/>
    <w:rsid w:val="00B93FE8"/>
    <w:rsid w:val="00B94061"/>
    <w:rsid w:val="00BA2D12"/>
    <w:rsid w:val="00BC6842"/>
    <w:rsid w:val="00BD64EE"/>
    <w:rsid w:val="00C0077D"/>
    <w:rsid w:val="00C0176B"/>
    <w:rsid w:val="00C135C9"/>
    <w:rsid w:val="00C223D0"/>
    <w:rsid w:val="00C4692C"/>
    <w:rsid w:val="00C92566"/>
    <w:rsid w:val="00C95E01"/>
    <w:rsid w:val="00CB45B8"/>
    <w:rsid w:val="00CC0E0C"/>
    <w:rsid w:val="00CF6F87"/>
    <w:rsid w:val="00D15922"/>
    <w:rsid w:val="00D30C95"/>
    <w:rsid w:val="00D348D5"/>
    <w:rsid w:val="00D42191"/>
    <w:rsid w:val="00D42ECF"/>
    <w:rsid w:val="00D44B95"/>
    <w:rsid w:val="00D50A34"/>
    <w:rsid w:val="00D55A1B"/>
    <w:rsid w:val="00D60E98"/>
    <w:rsid w:val="00D6553D"/>
    <w:rsid w:val="00D72134"/>
    <w:rsid w:val="00D8309E"/>
    <w:rsid w:val="00D93FD8"/>
    <w:rsid w:val="00D96289"/>
    <w:rsid w:val="00DB199B"/>
    <w:rsid w:val="00DB3DF9"/>
    <w:rsid w:val="00DD773A"/>
    <w:rsid w:val="00DE725A"/>
    <w:rsid w:val="00E230ED"/>
    <w:rsid w:val="00E2643D"/>
    <w:rsid w:val="00E2659F"/>
    <w:rsid w:val="00E44905"/>
    <w:rsid w:val="00E77AEE"/>
    <w:rsid w:val="00EA368A"/>
    <w:rsid w:val="00EA672E"/>
    <w:rsid w:val="00EC25C7"/>
    <w:rsid w:val="00ED3341"/>
    <w:rsid w:val="00EF0426"/>
    <w:rsid w:val="00F3189B"/>
    <w:rsid w:val="00F323A3"/>
    <w:rsid w:val="00F55E9F"/>
    <w:rsid w:val="00F565CB"/>
    <w:rsid w:val="00F83E99"/>
    <w:rsid w:val="00F97B09"/>
    <w:rsid w:val="00FD5E49"/>
    <w:rsid w:val="00FD6761"/>
    <w:rsid w:val="00FE00D0"/>
    <w:rsid w:val="00FE1A17"/>
    <w:rsid w:val="00FE4755"/>
    <w:rsid w:val="00FF4145"/>
    <w:rsid w:val="00FF4B2D"/>
    <w:rsid w:val="01B178BD"/>
    <w:rsid w:val="01D135E1"/>
    <w:rsid w:val="026A1D55"/>
    <w:rsid w:val="026F5B57"/>
    <w:rsid w:val="028D0A46"/>
    <w:rsid w:val="04766B8E"/>
    <w:rsid w:val="04C52EB3"/>
    <w:rsid w:val="06391410"/>
    <w:rsid w:val="06A422C1"/>
    <w:rsid w:val="06E30A67"/>
    <w:rsid w:val="071A223E"/>
    <w:rsid w:val="074C16C1"/>
    <w:rsid w:val="07577971"/>
    <w:rsid w:val="07A57A0B"/>
    <w:rsid w:val="087B7D1C"/>
    <w:rsid w:val="09591518"/>
    <w:rsid w:val="096123AA"/>
    <w:rsid w:val="099F74D5"/>
    <w:rsid w:val="0A167EEE"/>
    <w:rsid w:val="0A4422E6"/>
    <w:rsid w:val="0AB434A8"/>
    <w:rsid w:val="0ACD491F"/>
    <w:rsid w:val="0B750762"/>
    <w:rsid w:val="0C06291C"/>
    <w:rsid w:val="0C200898"/>
    <w:rsid w:val="0C34691B"/>
    <w:rsid w:val="0C843ED8"/>
    <w:rsid w:val="0DD36B0A"/>
    <w:rsid w:val="0DE21250"/>
    <w:rsid w:val="0E8A0CB9"/>
    <w:rsid w:val="0E90655E"/>
    <w:rsid w:val="0ECD5466"/>
    <w:rsid w:val="0F4F5DCA"/>
    <w:rsid w:val="1036208E"/>
    <w:rsid w:val="11626F76"/>
    <w:rsid w:val="11902A8A"/>
    <w:rsid w:val="13BC2A04"/>
    <w:rsid w:val="15B70E67"/>
    <w:rsid w:val="16135CB4"/>
    <w:rsid w:val="172E3207"/>
    <w:rsid w:val="17A2005D"/>
    <w:rsid w:val="18AA2E4C"/>
    <w:rsid w:val="19357F94"/>
    <w:rsid w:val="1AAC73E4"/>
    <w:rsid w:val="1B6B1AEF"/>
    <w:rsid w:val="1BDD5652"/>
    <w:rsid w:val="1DD21F75"/>
    <w:rsid w:val="20382650"/>
    <w:rsid w:val="219B1DC8"/>
    <w:rsid w:val="23345E0D"/>
    <w:rsid w:val="23E5465A"/>
    <w:rsid w:val="246675A5"/>
    <w:rsid w:val="24783253"/>
    <w:rsid w:val="256571E6"/>
    <w:rsid w:val="25A423C1"/>
    <w:rsid w:val="26687ABC"/>
    <w:rsid w:val="26FF0060"/>
    <w:rsid w:val="276430B3"/>
    <w:rsid w:val="2774532B"/>
    <w:rsid w:val="27A845FA"/>
    <w:rsid w:val="2813795E"/>
    <w:rsid w:val="282B09BF"/>
    <w:rsid w:val="28AE4D9C"/>
    <w:rsid w:val="291D2772"/>
    <w:rsid w:val="293E7988"/>
    <w:rsid w:val="294B2E3C"/>
    <w:rsid w:val="29637A48"/>
    <w:rsid w:val="2BAF435C"/>
    <w:rsid w:val="2C310437"/>
    <w:rsid w:val="2C544A30"/>
    <w:rsid w:val="2D237326"/>
    <w:rsid w:val="2E140CC6"/>
    <w:rsid w:val="30546F8C"/>
    <w:rsid w:val="31461C62"/>
    <w:rsid w:val="31D64091"/>
    <w:rsid w:val="32011BB7"/>
    <w:rsid w:val="32133CF7"/>
    <w:rsid w:val="336F1825"/>
    <w:rsid w:val="33C80F54"/>
    <w:rsid w:val="34CD235C"/>
    <w:rsid w:val="34ED75C6"/>
    <w:rsid w:val="359B2E07"/>
    <w:rsid w:val="359F35A9"/>
    <w:rsid w:val="361A710E"/>
    <w:rsid w:val="38B82F9B"/>
    <w:rsid w:val="38E460B6"/>
    <w:rsid w:val="3A114B27"/>
    <w:rsid w:val="3A37321C"/>
    <w:rsid w:val="3ADA13B3"/>
    <w:rsid w:val="3B807132"/>
    <w:rsid w:val="3B90026A"/>
    <w:rsid w:val="3E2E12B0"/>
    <w:rsid w:val="3EA00259"/>
    <w:rsid w:val="3EBB33D7"/>
    <w:rsid w:val="408E7C87"/>
    <w:rsid w:val="422E2D6F"/>
    <w:rsid w:val="426D10E9"/>
    <w:rsid w:val="429E7072"/>
    <w:rsid w:val="434A0E97"/>
    <w:rsid w:val="43717EA4"/>
    <w:rsid w:val="43C24475"/>
    <w:rsid w:val="454509A3"/>
    <w:rsid w:val="46052A03"/>
    <w:rsid w:val="46431172"/>
    <w:rsid w:val="490F7AD2"/>
    <w:rsid w:val="498565F7"/>
    <w:rsid w:val="49CF5019"/>
    <w:rsid w:val="4AFE54BB"/>
    <w:rsid w:val="4B230C48"/>
    <w:rsid w:val="4B4E1C30"/>
    <w:rsid w:val="4BAA1B73"/>
    <w:rsid w:val="4BD45878"/>
    <w:rsid w:val="4C394EB9"/>
    <w:rsid w:val="4C71246E"/>
    <w:rsid w:val="4C9E4913"/>
    <w:rsid w:val="4E000105"/>
    <w:rsid w:val="4E41488C"/>
    <w:rsid w:val="4E5E6EAB"/>
    <w:rsid w:val="4F0C4261"/>
    <w:rsid w:val="4F7D3EEC"/>
    <w:rsid w:val="4F97146B"/>
    <w:rsid w:val="518C436B"/>
    <w:rsid w:val="51A92185"/>
    <w:rsid w:val="52E2243E"/>
    <w:rsid w:val="560D1A88"/>
    <w:rsid w:val="56795364"/>
    <w:rsid w:val="56DB74E9"/>
    <w:rsid w:val="57173E1F"/>
    <w:rsid w:val="57E914FA"/>
    <w:rsid w:val="5ABB5515"/>
    <w:rsid w:val="5ACB367E"/>
    <w:rsid w:val="5B745980"/>
    <w:rsid w:val="5E04409B"/>
    <w:rsid w:val="5F3D3DDE"/>
    <w:rsid w:val="5F620619"/>
    <w:rsid w:val="5F6A180B"/>
    <w:rsid w:val="5F9A3EA5"/>
    <w:rsid w:val="60FF1DBE"/>
    <w:rsid w:val="61A04593"/>
    <w:rsid w:val="62130227"/>
    <w:rsid w:val="62F862D0"/>
    <w:rsid w:val="63520F1A"/>
    <w:rsid w:val="647C785E"/>
    <w:rsid w:val="64F5A826"/>
    <w:rsid w:val="654D3011"/>
    <w:rsid w:val="657B3001"/>
    <w:rsid w:val="66482351"/>
    <w:rsid w:val="66E171AD"/>
    <w:rsid w:val="670F6ACA"/>
    <w:rsid w:val="673A725B"/>
    <w:rsid w:val="6741244D"/>
    <w:rsid w:val="67504BB9"/>
    <w:rsid w:val="67D8655F"/>
    <w:rsid w:val="680A6658"/>
    <w:rsid w:val="690B6809"/>
    <w:rsid w:val="6B9214FC"/>
    <w:rsid w:val="6CAA0DE2"/>
    <w:rsid w:val="6D64153F"/>
    <w:rsid w:val="6DAA1891"/>
    <w:rsid w:val="6E44425D"/>
    <w:rsid w:val="6E72625A"/>
    <w:rsid w:val="6EA30463"/>
    <w:rsid w:val="702C4469"/>
    <w:rsid w:val="71990196"/>
    <w:rsid w:val="72090A3F"/>
    <w:rsid w:val="739F5796"/>
    <w:rsid w:val="742D4A93"/>
    <w:rsid w:val="745A1D82"/>
    <w:rsid w:val="77815D46"/>
    <w:rsid w:val="79860170"/>
    <w:rsid w:val="7AD454F6"/>
    <w:rsid w:val="7ADB20C9"/>
    <w:rsid w:val="7B8258EB"/>
    <w:rsid w:val="7C0E4E4C"/>
    <w:rsid w:val="7C5E2F38"/>
    <w:rsid w:val="7D970D8B"/>
    <w:rsid w:val="7EDC1C00"/>
    <w:rsid w:val="7F5F24F7"/>
    <w:rsid w:val="CFDF19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qFormat="1" w:uiPriority="9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link w:val="43"/>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numPr>
        <w:ilvl w:val="1"/>
        <w:numId w:val="1"/>
      </w:numPr>
      <w:tabs>
        <w:tab w:val="left" w:pos="360"/>
        <w:tab w:val="left" w:pos="420"/>
      </w:tabs>
      <w:spacing w:line="360" w:lineRule="auto"/>
      <w:outlineLvl w:val="1"/>
    </w:pPr>
    <w:rPr>
      <w:rFonts w:ascii="Arial" w:hAnsi="Arial" w:eastAsia="宋体"/>
      <w:b/>
      <w:sz w:val="24"/>
      <w:szCs w:val="20"/>
    </w:rPr>
  </w:style>
  <w:style w:type="paragraph" w:styleId="4">
    <w:name w:val="heading 3"/>
    <w:basedOn w:val="1"/>
    <w:next w:val="1"/>
    <w:qFormat/>
    <w:uiPriority w:val="9"/>
    <w:pPr>
      <w:keepNext/>
      <w:keepLines/>
      <w:tabs>
        <w:tab w:val="left" w:pos="643"/>
        <w:tab w:val="left" w:pos="2651"/>
      </w:tabs>
      <w:spacing w:before="260" w:after="260" w:line="416" w:lineRule="auto"/>
      <w:ind w:left="1418" w:hanging="567"/>
      <w:outlineLvl w:val="2"/>
    </w:pPr>
    <w:rPr>
      <w:b/>
      <w:sz w:val="32"/>
      <w:szCs w:val="20"/>
    </w:rPr>
  </w:style>
  <w:style w:type="paragraph" w:styleId="5">
    <w:name w:val="heading 4"/>
    <w:basedOn w:val="1"/>
    <w:next w:val="1"/>
    <w:unhideWhenUsed/>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6">
    <w:name w:val="heading 5"/>
    <w:basedOn w:val="1"/>
    <w:next w:val="1"/>
    <w:qFormat/>
    <w:uiPriority w:val="0"/>
    <w:pPr>
      <w:keepNext/>
      <w:keepLines/>
      <w:numPr>
        <w:ilvl w:val="4"/>
        <w:numId w:val="2"/>
      </w:numPr>
      <w:spacing w:before="280" w:after="290" w:line="372" w:lineRule="auto"/>
      <w:ind w:firstLine="0"/>
      <w:outlineLvl w:val="4"/>
    </w:pPr>
    <w:rPr>
      <w:b/>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styleId="7">
    <w:name w:val="annotation text"/>
    <w:basedOn w:val="1"/>
    <w:link w:val="46"/>
    <w:qFormat/>
    <w:uiPriority w:val="0"/>
    <w:pPr>
      <w:widowControl w:val="0"/>
    </w:pPr>
    <w:rPr>
      <w:rFonts w:ascii="Times New Roman" w:hAnsi="Times New Roman" w:eastAsia="宋体" w:cs="Times New Roman"/>
      <w:kern w:val="2"/>
      <w:szCs w:val="24"/>
    </w:rPr>
  </w:style>
  <w:style w:type="paragraph" w:styleId="8">
    <w:name w:val="Body Text"/>
    <w:basedOn w:val="1"/>
    <w:next w:val="9"/>
    <w:qFormat/>
    <w:uiPriority w:val="0"/>
    <w:pPr>
      <w:spacing w:after="120"/>
    </w:pPr>
    <w:rPr>
      <w:sz w:val="20"/>
    </w:rPr>
  </w:style>
  <w:style w:type="paragraph" w:styleId="9">
    <w:name w:val="toc 2"/>
    <w:basedOn w:val="1"/>
    <w:next w:val="1"/>
    <w:unhideWhenUsed/>
    <w:qFormat/>
    <w:uiPriority w:val="39"/>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styleId="10">
    <w:name w:val="Body Text Indent"/>
    <w:basedOn w:val="1"/>
    <w:next w:val="11"/>
    <w:qFormat/>
    <w:uiPriority w:val="0"/>
    <w:pPr>
      <w:spacing w:line="500" w:lineRule="atLeast"/>
      <w:ind w:firstLine="510"/>
    </w:pPr>
    <w:rPr>
      <w:rFonts w:ascii="仿宋_GB2312" w:eastAsia="仿宋_GB2312"/>
      <w:sz w:val="24"/>
      <w:szCs w:val="20"/>
    </w:rPr>
  </w:style>
  <w:style w:type="paragraph" w:styleId="11">
    <w:name w:val="Body Text First Indent 2"/>
    <w:basedOn w:val="10"/>
    <w:unhideWhenUsed/>
    <w:qFormat/>
    <w:uiPriority w:val="99"/>
    <w:pPr>
      <w:spacing w:line="200" w:lineRule="atLeast"/>
      <w:ind w:firstLine="420"/>
    </w:pPr>
    <w:rPr>
      <w:rFonts w:ascii="宋体" w:hAnsi="Courier New"/>
      <w:spacing w:val="-4"/>
      <w:sz w:val="18"/>
    </w:rPr>
  </w:style>
  <w:style w:type="paragraph" w:styleId="12">
    <w:name w:val="toc 3"/>
    <w:basedOn w:val="1"/>
    <w:next w:val="1"/>
    <w:unhideWhenUsed/>
    <w:qFormat/>
    <w:uiPriority w:val="39"/>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3">
    <w:name w:val="Plain Text"/>
    <w:basedOn w:val="1"/>
    <w:unhideWhenUsed/>
    <w:qFormat/>
    <w:uiPriority w:val="99"/>
    <w:pPr>
      <w:autoSpaceDN/>
      <w:adjustRightInd/>
      <w:jc w:val="both"/>
    </w:pPr>
    <w:rPr>
      <w:rFonts w:ascii="宋体" w:hAnsi="Courier New"/>
      <w:sz w:val="20"/>
      <w:szCs w:val="20"/>
    </w:rPr>
  </w:style>
  <w:style w:type="paragraph" w:styleId="14">
    <w:name w:val="Date"/>
    <w:basedOn w:val="1"/>
    <w:next w:val="1"/>
    <w:qFormat/>
    <w:uiPriority w:val="0"/>
    <w:rPr>
      <w:rFonts w:ascii="宋体"/>
      <w:szCs w:val="20"/>
    </w:rPr>
  </w:style>
  <w:style w:type="paragraph" w:styleId="15">
    <w:name w:val="Balloon Text"/>
    <w:basedOn w:val="1"/>
    <w:link w:val="47"/>
    <w:qFormat/>
    <w:uiPriority w:val="0"/>
    <w:rPr>
      <w:sz w:val="18"/>
      <w:szCs w:val="18"/>
    </w:rPr>
  </w:style>
  <w:style w:type="paragraph" w:styleId="16">
    <w:name w:val="footer"/>
    <w:basedOn w:val="1"/>
    <w:link w:val="48"/>
    <w:qFormat/>
    <w:uiPriority w:val="0"/>
    <w:pPr>
      <w:tabs>
        <w:tab w:val="center" w:pos="4153"/>
        <w:tab w:val="right" w:pos="8306"/>
      </w:tabs>
    </w:pPr>
    <w:rPr>
      <w:sz w:val="18"/>
      <w:szCs w:val="18"/>
    </w:rPr>
  </w:style>
  <w:style w:type="paragraph" w:styleId="17">
    <w:name w:val="header"/>
    <w:basedOn w:val="1"/>
    <w:link w:val="49"/>
    <w:qFormat/>
    <w:uiPriority w:val="0"/>
    <w:pPr>
      <w:pBdr>
        <w:bottom w:val="single" w:color="auto" w:sz="6" w:space="1"/>
      </w:pBdr>
      <w:tabs>
        <w:tab w:val="center" w:pos="4153"/>
        <w:tab w:val="right" w:pos="8306"/>
      </w:tabs>
      <w:jc w:val="center"/>
    </w:pPr>
    <w:rPr>
      <w:sz w:val="18"/>
      <w:szCs w:val="18"/>
    </w:rPr>
  </w:style>
  <w:style w:type="paragraph" w:styleId="18">
    <w:name w:val="toc 1"/>
    <w:basedOn w:val="1"/>
    <w:next w:val="1"/>
    <w:unhideWhenUsed/>
    <w:qFormat/>
    <w:uiPriority w:val="39"/>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19">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0">
    <w:name w:val="toc 6"/>
    <w:basedOn w:val="1"/>
    <w:next w:val="1"/>
    <w:unhideWhenUsed/>
    <w:qFormat/>
    <w:uiPriority w:val="99"/>
    <w:pPr>
      <w:autoSpaceDN/>
      <w:adjustRightInd/>
      <w:spacing w:before="100" w:beforeAutospacing="1" w:after="100" w:afterAutospacing="1"/>
      <w:ind w:left="2100" w:leftChars="1000"/>
      <w:jc w:val="both"/>
    </w:pPr>
    <w:rPr>
      <w:kern w:val="2"/>
      <w:sz w:val="21"/>
      <w:szCs w:val="21"/>
    </w:rPr>
  </w:style>
  <w:style w:type="paragraph" w:styleId="21">
    <w:name w:val="Body Text 2"/>
    <w:basedOn w:val="1"/>
    <w:qFormat/>
    <w:uiPriority w:val="0"/>
    <w:pPr>
      <w:widowControl/>
      <w:snapToGrid w:val="0"/>
      <w:spacing w:before="50" w:afterLines="50" w:line="400" w:lineRule="atLeast"/>
      <w:jc w:val="left"/>
    </w:pPr>
    <w:rPr>
      <w:rFonts w:ascii="宋体" w:hAnsi="宋体"/>
      <w:color w:val="000000"/>
      <w:sz w:val="24"/>
    </w:rPr>
  </w:style>
  <w:style w:type="paragraph" w:styleId="22">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3">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4">
    <w:name w:val="Title"/>
    <w:basedOn w:val="1"/>
    <w:next w:val="1"/>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25">
    <w:name w:val="annotation subject"/>
    <w:basedOn w:val="7"/>
    <w:next w:val="7"/>
    <w:link w:val="50"/>
    <w:qFormat/>
    <w:uiPriority w:val="0"/>
    <w:rPr>
      <w:b/>
      <w:bCs/>
    </w:rPr>
  </w:style>
  <w:style w:type="paragraph" w:styleId="26">
    <w:name w:val="Body Text First Indent"/>
    <w:basedOn w:val="8"/>
    <w:next w:val="20"/>
    <w:unhideWhenUsed/>
    <w:qFormat/>
    <w:uiPriority w:val="99"/>
    <w:pPr>
      <w:ind w:firstLine="420" w:firstLineChars="100"/>
    </w:p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qFormat/>
    <w:uiPriority w:val="0"/>
    <w:rPr>
      <w:b/>
      <w:bCs/>
    </w:rPr>
  </w:style>
  <w:style w:type="character" w:styleId="31">
    <w:name w:val="FollowedHyperlink"/>
    <w:basedOn w:val="29"/>
    <w:qFormat/>
    <w:uiPriority w:val="0"/>
    <w:rPr>
      <w:color w:val="800080"/>
      <w:u w:val="none"/>
    </w:rPr>
  </w:style>
  <w:style w:type="character" w:styleId="32">
    <w:name w:val="Emphasis"/>
    <w:basedOn w:val="29"/>
    <w:qFormat/>
    <w:uiPriority w:val="0"/>
    <w:rPr>
      <w:b/>
      <w:bCs/>
    </w:rPr>
  </w:style>
  <w:style w:type="character" w:styleId="33">
    <w:name w:val="HTML Definition"/>
    <w:basedOn w:val="29"/>
    <w:qFormat/>
    <w:uiPriority w:val="0"/>
  </w:style>
  <w:style w:type="character" w:styleId="34">
    <w:name w:val="HTML Typewriter"/>
    <w:basedOn w:val="29"/>
    <w:qFormat/>
    <w:uiPriority w:val="0"/>
    <w:rPr>
      <w:rFonts w:hint="default" w:ascii="monospace" w:hAnsi="monospace" w:eastAsia="monospace" w:cs="monospace"/>
      <w:sz w:val="20"/>
    </w:rPr>
  </w:style>
  <w:style w:type="character" w:styleId="35">
    <w:name w:val="HTML Acronym"/>
    <w:basedOn w:val="29"/>
    <w:qFormat/>
    <w:uiPriority w:val="0"/>
  </w:style>
  <w:style w:type="character" w:styleId="36">
    <w:name w:val="HTML Variable"/>
    <w:basedOn w:val="29"/>
    <w:qFormat/>
    <w:uiPriority w:val="0"/>
  </w:style>
  <w:style w:type="character" w:styleId="37">
    <w:name w:val="Hyperlink"/>
    <w:basedOn w:val="29"/>
    <w:qFormat/>
    <w:uiPriority w:val="0"/>
    <w:rPr>
      <w:color w:val="0000FF"/>
      <w:u w:val="single"/>
    </w:rPr>
  </w:style>
  <w:style w:type="character" w:styleId="38">
    <w:name w:val="HTML Code"/>
    <w:basedOn w:val="29"/>
    <w:qFormat/>
    <w:uiPriority w:val="0"/>
    <w:rPr>
      <w:rFonts w:hint="default" w:ascii="monospace" w:hAnsi="monospace" w:eastAsia="monospace" w:cs="monospace"/>
      <w:sz w:val="20"/>
    </w:rPr>
  </w:style>
  <w:style w:type="character" w:styleId="39">
    <w:name w:val="annotation reference"/>
    <w:basedOn w:val="29"/>
    <w:qFormat/>
    <w:uiPriority w:val="0"/>
    <w:rPr>
      <w:sz w:val="21"/>
      <w:szCs w:val="21"/>
    </w:rPr>
  </w:style>
  <w:style w:type="character" w:styleId="40">
    <w:name w:val="HTML Cite"/>
    <w:basedOn w:val="29"/>
    <w:qFormat/>
    <w:uiPriority w:val="0"/>
  </w:style>
  <w:style w:type="character" w:styleId="41">
    <w:name w:val="HTML Keyboard"/>
    <w:basedOn w:val="29"/>
    <w:qFormat/>
    <w:uiPriority w:val="0"/>
    <w:rPr>
      <w:rFonts w:ascii="monospace" w:hAnsi="monospace" w:eastAsia="monospace" w:cs="monospace"/>
      <w:sz w:val="20"/>
    </w:rPr>
  </w:style>
  <w:style w:type="character" w:styleId="42">
    <w:name w:val="HTML Sample"/>
    <w:basedOn w:val="29"/>
    <w:qFormat/>
    <w:uiPriority w:val="0"/>
    <w:rPr>
      <w:rFonts w:hint="default" w:ascii="monospace" w:hAnsi="monospace" w:eastAsia="monospace" w:cs="monospace"/>
    </w:rPr>
  </w:style>
  <w:style w:type="character" w:customStyle="1" w:styleId="43">
    <w:name w:val="标题 1 Char"/>
    <w:basedOn w:val="29"/>
    <w:link w:val="2"/>
    <w:qFormat/>
    <w:uiPriority w:val="0"/>
    <w:rPr>
      <w:rFonts w:ascii="Arial" w:hAnsi="Arial" w:eastAsia="Arial" w:cs="Arial"/>
      <w:b/>
      <w:bCs/>
      <w:snapToGrid w:val="0"/>
      <w:color w:val="000000"/>
      <w:kern w:val="44"/>
      <w:sz w:val="44"/>
      <w:szCs w:val="44"/>
    </w:rPr>
  </w:style>
  <w:style w:type="paragraph" w:customStyle="1" w:styleId="44">
    <w:name w:val="标书正文格式"/>
    <w:qFormat/>
    <w:uiPriority w:val="0"/>
    <w:pPr>
      <w:tabs>
        <w:tab w:val="left" w:pos="2025"/>
      </w:tabs>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4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6">
    <w:name w:val="批注文字 Char1"/>
    <w:basedOn w:val="29"/>
    <w:link w:val="7"/>
    <w:qFormat/>
    <w:uiPriority w:val="0"/>
    <w:rPr>
      <w:kern w:val="2"/>
      <w:sz w:val="21"/>
      <w:szCs w:val="24"/>
    </w:rPr>
  </w:style>
  <w:style w:type="character" w:customStyle="1" w:styleId="47">
    <w:name w:val="批注框文本 Char"/>
    <w:basedOn w:val="29"/>
    <w:link w:val="15"/>
    <w:qFormat/>
    <w:uiPriority w:val="0"/>
    <w:rPr>
      <w:rFonts w:ascii="Arial" w:hAnsi="Arial" w:eastAsia="Arial" w:cs="Arial"/>
      <w:snapToGrid w:val="0"/>
      <w:color w:val="000000"/>
      <w:sz w:val="18"/>
      <w:szCs w:val="18"/>
    </w:rPr>
  </w:style>
  <w:style w:type="character" w:customStyle="1" w:styleId="48">
    <w:name w:val="页脚 Char"/>
    <w:basedOn w:val="29"/>
    <w:link w:val="16"/>
    <w:qFormat/>
    <w:uiPriority w:val="0"/>
    <w:rPr>
      <w:rFonts w:ascii="Arial" w:hAnsi="Arial" w:eastAsia="Arial" w:cs="Arial"/>
      <w:snapToGrid w:val="0"/>
      <w:color w:val="000000"/>
      <w:sz w:val="18"/>
      <w:szCs w:val="18"/>
    </w:rPr>
  </w:style>
  <w:style w:type="character" w:customStyle="1" w:styleId="49">
    <w:name w:val="页眉 Char"/>
    <w:basedOn w:val="29"/>
    <w:link w:val="17"/>
    <w:qFormat/>
    <w:uiPriority w:val="0"/>
    <w:rPr>
      <w:rFonts w:ascii="Arial" w:hAnsi="Arial" w:eastAsia="Arial" w:cs="Arial"/>
      <w:snapToGrid w:val="0"/>
      <w:color w:val="000000"/>
      <w:sz w:val="18"/>
      <w:szCs w:val="18"/>
    </w:rPr>
  </w:style>
  <w:style w:type="character" w:customStyle="1" w:styleId="50">
    <w:name w:val="批注主题 Char"/>
    <w:basedOn w:val="51"/>
    <w:link w:val="25"/>
    <w:qFormat/>
    <w:uiPriority w:val="0"/>
    <w:rPr>
      <w:rFonts w:ascii="Arial" w:hAnsi="Arial" w:eastAsia="Arial" w:cs="Arial"/>
      <w:b/>
      <w:bCs/>
      <w:snapToGrid w:val="0"/>
      <w:color w:val="000000"/>
      <w:sz w:val="21"/>
      <w:szCs w:val="21"/>
    </w:rPr>
  </w:style>
  <w:style w:type="character" w:customStyle="1" w:styleId="51">
    <w:name w:val="批注文字 Char"/>
    <w:basedOn w:val="29"/>
    <w:qFormat/>
    <w:uiPriority w:val="0"/>
    <w:rPr>
      <w:rFonts w:ascii="Arial" w:hAnsi="Arial" w:eastAsia="Arial" w:cs="Arial"/>
      <w:snapToGrid w:val="0"/>
      <w:color w:val="000000"/>
      <w:sz w:val="21"/>
      <w:szCs w:val="21"/>
    </w:rPr>
  </w:style>
  <w:style w:type="paragraph" w:customStyle="1" w:styleId="52">
    <w:name w:val="Heading1"/>
    <w:basedOn w:val="1"/>
    <w:next w:val="1"/>
    <w:qFormat/>
    <w:uiPriority w:val="0"/>
    <w:pPr>
      <w:keepNext/>
      <w:keepLines/>
      <w:spacing w:before="340" w:after="330" w:line="576" w:lineRule="auto"/>
    </w:pPr>
    <w:rPr>
      <w:b/>
      <w:bCs/>
      <w:kern w:val="44"/>
      <w:sz w:val="44"/>
      <w:szCs w:val="44"/>
    </w:rPr>
  </w:style>
  <w:style w:type="table" w:customStyle="1" w:styleId="53">
    <w:name w:val="Table Normal"/>
    <w:unhideWhenUsed/>
    <w:qFormat/>
    <w:uiPriority w:val="0"/>
    <w:tblPr>
      <w:tblCellMar>
        <w:top w:w="0" w:type="dxa"/>
        <w:left w:w="0" w:type="dxa"/>
        <w:bottom w:w="0" w:type="dxa"/>
        <w:right w:w="0" w:type="dxa"/>
      </w:tblCellMar>
    </w:tblPr>
  </w:style>
  <w:style w:type="paragraph" w:customStyle="1" w:styleId="54">
    <w:name w:val="TOC 标题1"/>
    <w:basedOn w:val="2"/>
    <w:next w:val="1"/>
    <w:unhideWhenUsed/>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55">
    <w:name w:val="正文，首行缩进:"/>
    <w:basedOn w:val="1"/>
    <w:qFormat/>
    <w:uiPriority w:val="0"/>
    <w:pPr>
      <w:spacing w:line="460" w:lineRule="exact"/>
      <w:ind w:firstLine="480" w:firstLineChars="200"/>
    </w:pPr>
    <w:rPr>
      <w:rFonts w:ascii="宋体" w:hAnsi="宋体" w:cs="宋体"/>
    </w:rPr>
  </w:style>
  <w:style w:type="paragraph" w:customStyle="1" w:styleId="56">
    <w:name w:val="Table Paragraph"/>
    <w:basedOn w:val="1"/>
    <w:qFormat/>
    <w:uiPriority w:val="1"/>
    <w:pPr>
      <w:ind w:firstLine="126" w:firstLineChars="60"/>
    </w:pPr>
  </w:style>
  <w:style w:type="paragraph" w:styleId="57">
    <w:name w:val="List Paragraph"/>
    <w:basedOn w:val="1"/>
    <w:qFormat/>
    <w:uiPriority w:val="0"/>
    <w:pPr>
      <w:spacing w:line="440" w:lineRule="exact"/>
      <w:ind w:firstLine="420" w:firstLineChars="200"/>
    </w:pPr>
    <w:rPr>
      <w:szCs w:val="20"/>
    </w:rPr>
  </w:style>
  <w:style w:type="paragraph" w:customStyle="1" w:styleId="58">
    <w:name w:val="正文1"/>
    <w:qFormat/>
    <w:uiPriority w:val="0"/>
    <w:pPr>
      <w:jc w:val="both"/>
    </w:pPr>
    <w:rPr>
      <w:rFonts w:ascii="Calibri" w:hAnsi="Calibri" w:eastAsia="宋体" w:cs="Calibri"/>
      <w:kern w:val="2"/>
      <w:sz w:val="21"/>
      <w:szCs w:val="21"/>
      <w:lang w:val="en-US" w:eastAsia="zh-CN" w:bidi="ar-SA"/>
    </w:rPr>
  </w:style>
  <w:style w:type="paragraph" w:customStyle="1" w:styleId="59">
    <w:name w:val="修订1"/>
    <w:unhideWhenUsed/>
    <w:qFormat/>
    <w:uiPriority w:val="99"/>
    <w:rPr>
      <w:rFonts w:ascii="Arial" w:hAnsi="Arial" w:eastAsia="Arial" w:cs="Arial"/>
      <w:snapToGrid w:val="0"/>
      <w:color w:val="000000"/>
      <w:sz w:val="21"/>
      <w:szCs w:val="21"/>
      <w:lang w:val="en-US" w:eastAsia="zh-CN" w:bidi="ar-SA"/>
    </w:rPr>
  </w:style>
  <w:style w:type="character" w:customStyle="1" w:styleId="60">
    <w:name w:val="19"/>
    <w:qFormat/>
    <w:uiPriority w:val="0"/>
    <w:rPr>
      <w:rFonts w:hint="default" w:ascii="Times New Roman" w:hAnsi="Times New Roman" w:cs="Times New Roman"/>
      <w:sz w:val="21"/>
      <w:szCs w:val="21"/>
    </w:rPr>
  </w:style>
  <w:style w:type="paragraph" w:customStyle="1" w:styleId="61">
    <w:name w:val="目录 71"/>
    <w:next w:val="1"/>
    <w:qFormat/>
    <w:uiPriority w:val="0"/>
    <w:pPr>
      <w:wordWrap w:val="0"/>
      <w:ind w:left="2550"/>
      <w:jc w:val="both"/>
    </w:pPr>
    <w:rPr>
      <w:rFonts w:ascii="宋体" w:hAnsi="宋体" w:eastAsia="Times New Roman" w:cs="Times New Roman"/>
      <w:sz w:val="21"/>
      <w:lang w:val="en-US" w:eastAsia="zh-CN" w:bidi="ar-SA"/>
    </w:rPr>
  </w:style>
  <w:style w:type="paragraph" w:customStyle="1" w:styleId="62">
    <w:name w:val="表格内容"/>
    <w:basedOn w:val="1"/>
    <w:qFormat/>
    <w:uiPriority w:val="0"/>
    <w:pPr>
      <w:jc w:val="left"/>
    </w:pPr>
    <w:rPr>
      <w:rFonts w:hint="eastAsia"/>
      <w:sz w:val="21"/>
      <w:szCs w:val="21"/>
    </w:rPr>
  </w:style>
  <w:style w:type="paragraph" w:customStyle="1" w:styleId="63">
    <w:name w:val="列表段落1"/>
    <w:basedOn w:val="1"/>
    <w:qFormat/>
    <w:uiPriority w:val="34"/>
    <w:pPr>
      <w:ind w:firstLine="420"/>
    </w:pPr>
  </w:style>
  <w:style w:type="character" w:customStyle="1" w:styleId="64">
    <w:name w:val="font31"/>
    <w:basedOn w:val="29"/>
    <w:qFormat/>
    <w:uiPriority w:val="0"/>
    <w:rPr>
      <w:rFonts w:hint="eastAsia" w:ascii="宋体" w:hAnsi="宋体" w:eastAsia="宋体" w:cs="宋体"/>
      <w:color w:val="000000"/>
      <w:sz w:val="24"/>
      <w:szCs w:val="24"/>
      <w:u w:val="none"/>
    </w:rPr>
  </w:style>
  <w:style w:type="character" w:customStyle="1" w:styleId="65">
    <w:name w:val="font41"/>
    <w:basedOn w:val="29"/>
    <w:qFormat/>
    <w:uiPriority w:val="0"/>
    <w:rPr>
      <w:rFonts w:hint="eastAsia" w:ascii="宋体" w:hAnsi="宋体" w:eastAsia="宋体" w:cs="宋体"/>
      <w:color w:val="00B050"/>
      <w:sz w:val="24"/>
      <w:szCs w:val="24"/>
      <w:u w:val="none"/>
    </w:rPr>
  </w:style>
  <w:style w:type="character" w:customStyle="1" w:styleId="66">
    <w:name w:val="font11"/>
    <w:basedOn w:val="29"/>
    <w:qFormat/>
    <w:uiPriority w:val="0"/>
    <w:rPr>
      <w:rFonts w:hint="eastAsia" w:ascii="宋体" w:hAnsi="宋体" w:eastAsia="宋体" w:cs="宋体"/>
      <w:color w:val="000000"/>
      <w:sz w:val="24"/>
      <w:szCs w:val="24"/>
      <w:u w:val="none"/>
    </w:rPr>
  </w:style>
  <w:style w:type="character" w:customStyle="1" w:styleId="67">
    <w:name w:val="font91"/>
    <w:basedOn w:val="29"/>
    <w:qFormat/>
    <w:uiPriority w:val="0"/>
    <w:rPr>
      <w:rFonts w:hint="default" w:ascii="仿宋" w:hAnsi="仿宋" w:eastAsia="仿宋" w:cs="仿宋"/>
      <w:color w:val="FF0000"/>
      <w:sz w:val="20"/>
      <w:szCs w:val="20"/>
      <w:u w:val="none"/>
    </w:rPr>
  </w:style>
  <w:style w:type="character" w:customStyle="1" w:styleId="68">
    <w:name w:val="font101"/>
    <w:basedOn w:val="29"/>
    <w:qFormat/>
    <w:uiPriority w:val="0"/>
    <w:rPr>
      <w:rFonts w:hint="eastAsia" w:ascii="宋体" w:hAnsi="宋体" w:eastAsia="宋体" w:cs="宋体"/>
      <w:color w:val="000000"/>
      <w:sz w:val="20"/>
      <w:szCs w:val="20"/>
      <w:u w:val="none"/>
    </w:rPr>
  </w:style>
  <w:style w:type="character" w:customStyle="1" w:styleId="69">
    <w:name w:val="font112"/>
    <w:basedOn w:val="29"/>
    <w:qFormat/>
    <w:uiPriority w:val="0"/>
    <w:rPr>
      <w:rFonts w:hint="eastAsia" w:ascii="宋体" w:hAnsi="宋体" w:eastAsia="宋体" w:cs="宋体"/>
      <w:color w:val="00B0F0"/>
      <w:sz w:val="20"/>
      <w:szCs w:val="20"/>
      <w:u w:val="none"/>
    </w:rPr>
  </w:style>
  <w:style w:type="character" w:customStyle="1" w:styleId="70">
    <w:name w:val="font21"/>
    <w:basedOn w:val="29"/>
    <w:qFormat/>
    <w:uiPriority w:val="0"/>
    <w:rPr>
      <w:rFonts w:ascii="宋体" w:hAnsi="宋体" w:eastAsia="宋体" w:cs="宋体"/>
      <w:color w:val="000000"/>
      <w:sz w:val="20"/>
      <w:szCs w:val="20"/>
      <w:u w:val="none"/>
    </w:rPr>
  </w:style>
  <w:style w:type="character" w:customStyle="1" w:styleId="71">
    <w:name w:val="font61"/>
    <w:basedOn w:val="29"/>
    <w:qFormat/>
    <w:uiPriority w:val="0"/>
    <w:rPr>
      <w:rFonts w:ascii="MS Gothic" w:hAnsi="MS Gothic" w:eastAsia="MS Gothic" w:cs="MS Gothic"/>
      <w:color w:val="000000"/>
      <w:sz w:val="20"/>
      <w:szCs w:val="20"/>
      <w:u w:val="none"/>
    </w:rPr>
  </w:style>
  <w:style w:type="paragraph" w:styleId="72">
    <w:name w:val="No Spacing"/>
    <w:qFormat/>
    <w:uiPriority w:val="1"/>
    <w:rPr>
      <w:rFonts w:ascii="Calibri" w:hAnsi="Calibri" w:eastAsia="宋体" w:cs="Times New Roman"/>
      <w:sz w:val="22"/>
      <w:szCs w:val="22"/>
      <w:lang w:val="en-US" w:eastAsia="zh-CN" w:bidi="ar-SA"/>
    </w:rPr>
  </w:style>
  <w:style w:type="paragraph" w:customStyle="1" w:styleId="73">
    <w:name w:val="_Style 3"/>
    <w:qFormat/>
    <w:uiPriority w:val="1"/>
    <w:pPr>
      <w:widowControl w:val="0"/>
      <w:jc w:val="both"/>
    </w:pPr>
    <w:rPr>
      <w:rFonts w:ascii="Times New Roman" w:hAnsi="Times New Roman" w:eastAsia="宋体" w:cs="Times New Roman"/>
      <w:kern w:val="2"/>
      <w:sz w:val="21"/>
      <w:szCs w:val="22"/>
      <w:lang w:val="en-US" w:eastAsia="zh-CN" w:bidi="ar-SA"/>
    </w:rPr>
  </w:style>
  <w:style w:type="character" w:customStyle="1" w:styleId="74">
    <w:name w:val="mini-outputtext1"/>
    <w:basedOn w:val="29"/>
    <w:qFormat/>
    <w:uiPriority w:val="0"/>
  </w:style>
  <w:style w:type="character" w:customStyle="1" w:styleId="75">
    <w:name w:val="font71"/>
    <w:basedOn w:val="29"/>
    <w:qFormat/>
    <w:uiPriority w:val="0"/>
    <w:rPr>
      <w:rFonts w:hint="eastAsia" w:ascii="宋体" w:hAnsi="宋体" w:eastAsia="宋体" w:cs="宋体"/>
      <w:color w:val="000000"/>
      <w:sz w:val="18"/>
      <w:szCs w:val="18"/>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8" Type="http://schemas.microsoft.com/office/2011/relationships/people" Target="people.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334</Pages>
  <Words>1512</Words>
  <Characters>1615</Characters>
  <Lines>349</Lines>
  <Paragraphs>98</Paragraphs>
  <TotalTime>0</TotalTime>
  <ScaleCrop>false</ScaleCrop>
  <LinksUpToDate>false</LinksUpToDate>
  <CharactersWithSpaces>1683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2024-10-21T06:57:00Z</dcterms:created>
  <dc:creator>微软系统</dc:creator>
  <cp:lastModifiedBy>G</cp:lastModifiedBy>
  <cp:lastPrinted>2025-06-12T12:25:00Z</cp:lastPrinted>
  <dcterms:modified xsi:type="dcterms:W3CDTF">2026-08-25T07:07:11Z</dcterms:modified>
  <dc:title>（项目名称）         标段服务招标</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2052-12.1.0.28043</vt:lpwstr>
  </property>
  <property fmtid="{D5CDD505-2E9C-101B-9397-08002B2CF9AE}" pid="5" name="ICV">
    <vt:lpwstr>A69443CFCC3B4ADE89D23EF67728EBCC_13</vt:lpwstr>
  </property>
  <property fmtid="{D5CDD505-2E9C-101B-9397-08002B2CF9AE}" pid="6" name="KSOTemplateDocerSaveRecord">
    <vt:lpwstr>eyJoZGlkIjoiZGYyZjllY2I2YjQ2NTNiODg2ODllYmNlN2MxODRhYjIiLCJ1c2VySWQiOiIyMTgzOTgxNTkifQ==</vt:lpwstr>
  </property>
</Properties>
</file>