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900381">
      <w:pPr>
        <w:kinsoku/>
        <w:topLinePunct/>
        <w:spacing w:line="258" w:lineRule="auto"/>
        <w:jc w:val="both"/>
        <w:rPr>
          <w:color w:val="auto"/>
          <w:highlight w:val="none"/>
        </w:rPr>
      </w:pPr>
    </w:p>
    <w:p w14:paraId="7A86AC11">
      <w:pPr>
        <w:widowControl w:val="0"/>
        <w:overflowPunct w:val="0"/>
        <w:spacing w:line="360" w:lineRule="auto"/>
        <w:ind w:firstLine="480" w:firstLineChars="200"/>
        <w:jc w:val="both"/>
        <w:rPr>
          <w:rFonts w:ascii="宋体" w:hAnsi="宋体" w:eastAsia="宋体" w:cs="宋体"/>
          <w:color w:val="auto"/>
          <w:kern w:val="2"/>
          <w:sz w:val="24"/>
          <w:szCs w:val="20"/>
          <w:highlight w:val="none"/>
          <w:lang w:val="en-US" w:eastAsia="zh-CN" w:bidi="ar-SA"/>
        </w:rPr>
      </w:pPr>
    </w:p>
    <w:p w14:paraId="2D6D3413">
      <w:pPr>
        <w:widowControl/>
        <w:kinsoku/>
        <w:topLinePunct/>
        <w:autoSpaceDE w:val="0"/>
        <w:autoSpaceDN w:val="0"/>
        <w:adjustRightInd w:val="0"/>
        <w:snapToGrid w:val="0"/>
        <w:spacing w:line="245" w:lineRule="auto"/>
        <w:jc w:val="both"/>
        <w:textAlignment w:val="baseline"/>
        <w:rPr>
          <w:rFonts w:ascii="Arial" w:hAnsi="Arial" w:eastAsia="Arial" w:cs="Arial"/>
          <w:snapToGrid w:val="0"/>
          <w:color w:val="auto"/>
          <w:kern w:val="0"/>
          <w:szCs w:val="21"/>
          <w:highlight w:val="none"/>
        </w:rPr>
      </w:pPr>
    </w:p>
    <w:p w14:paraId="2EB4288F">
      <w:pPr>
        <w:widowControl/>
        <w:kinsoku/>
        <w:topLinePunct/>
        <w:autoSpaceDE w:val="0"/>
        <w:autoSpaceDN w:val="0"/>
        <w:adjustRightInd w:val="0"/>
        <w:snapToGrid w:val="0"/>
        <w:spacing w:line="245" w:lineRule="auto"/>
        <w:jc w:val="both"/>
        <w:textAlignment w:val="baseline"/>
        <w:rPr>
          <w:rFonts w:ascii="Arial" w:hAnsi="Arial" w:eastAsia="宋体" w:cs="Arial"/>
          <w:snapToGrid w:val="0"/>
          <w:color w:val="auto"/>
          <w:kern w:val="0"/>
          <w:szCs w:val="21"/>
          <w:highlight w:val="none"/>
        </w:rPr>
      </w:pPr>
    </w:p>
    <w:p w14:paraId="2EFABCE2">
      <w:pPr>
        <w:widowControl/>
        <w:kinsoku/>
        <w:topLinePunct/>
        <w:autoSpaceDE w:val="0"/>
        <w:autoSpaceDN w:val="0"/>
        <w:adjustRightInd w:val="0"/>
        <w:snapToGrid w:val="0"/>
        <w:spacing w:line="500" w:lineRule="atLeast"/>
        <w:ind w:firstLine="510"/>
        <w:jc w:val="both"/>
        <w:textAlignment w:val="baseline"/>
        <w:rPr>
          <w:rFonts w:ascii="仿宋_GB2312" w:hAnsi="Arial" w:eastAsia="仿宋_GB2312" w:cs="Arial"/>
          <w:snapToGrid w:val="0"/>
          <w:color w:val="auto"/>
          <w:kern w:val="0"/>
          <w:sz w:val="24"/>
          <w:szCs w:val="20"/>
          <w:highlight w:val="none"/>
          <w:lang w:val="en-US" w:eastAsia="zh-CN" w:bidi="ar-SA"/>
        </w:rPr>
      </w:pPr>
    </w:p>
    <w:p w14:paraId="6B577231">
      <w:pPr>
        <w:keepNext w:val="0"/>
        <w:keepLines w:val="0"/>
        <w:pageBreakBefore w:val="0"/>
        <w:widowControl/>
        <w:tabs>
          <w:tab w:val="left" w:pos="2909"/>
        </w:tabs>
        <w:kinsoku/>
        <w:wordWrap/>
        <w:overflowPunct/>
        <w:topLinePunct/>
        <w:autoSpaceDE w:val="0"/>
        <w:autoSpaceDN w:val="0"/>
        <w:bidi w:val="0"/>
        <w:adjustRightInd w:val="0"/>
        <w:snapToGrid w:val="0"/>
        <w:spacing w:before="114" w:line="227" w:lineRule="auto"/>
        <w:ind w:left="138"/>
        <w:jc w:val="center"/>
        <w:textAlignment w:val="baseline"/>
        <w:outlineLvl w:val="9"/>
        <w:rPr>
          <w:rFonts w:hint="eastAsia" w:ascii="华文中宋" w:hAnsi="华文中宋" w:eastAsia="华文中宋" w:cs="华文中宋"/>
          <w:b/>
          <w:bCs/>
          <w:snapToGrid w:val="0"/>
          <w:color w:val="auto"/>
          <w:kern w:val="0"/>
          <w:sz w:val="52"/>
          <w:szCs w:val="52"/>
          <w:highlight w:val="none"/>
        </w:rPr>
      </w:pPr>
      <w:bookmarkStart w:id="0" w:name="_Toc24728"/>
      <w:bookmarkStart w:id="1" w:name="_Toc13273"/>
      <w:bookmarkStart w:id="2" w:name="_Toc30535"/>
      <w:bookmarkStart w:id="3" w:name="_Toc30998"/>
      <w:bookmarkStart w:id="4" w:name="_Toc25828"/>
      <w:bookmarkStart w:id="5" w:name="_Toc29858"/>
      <w:bookmarkStart w:id="6" w:name="_Toc32607"/>
      <w:bookmarkStart w:id="7" w:name="_Toc12993"/>
      <w:bookmarkStart w:id="8" w:name="_Toc24002"/>
      <w:bookmarkStart w:id="9" w:name="_Toc14978"/>
      <w:bookmarkStart w:id="10" w:name="_Toc5871"/>
      <w:bookmarkStart w:id="11" w:name="_Toc5325"/>
      <w:bookmarkStart w:id="12" w:name="_Toc17360"/>
      <w:bookmarkStart w:id="13" w:name="_Toc23572"/>
      <w:bookmarkStart w:id="14" w:name="_Toc28763"/>
      <w:bookmarkStart w:id="15" w:name="_Toc3352"/>
      <w:bookmarkStart w:id="16" w:name="_Toc29890"/>
      <w:bookmarkStart w:id="17" w:name="_Toc5466"/>
      <w:r>
        <w:rPr>
          <w:rFonts w:hint="eastAsia" w:ascii="华文中宋" w:hAnsi="华文中宋" w:eastAsia="华文中宋" w:cs="华文中宋"/>
          <w:b/>
          <w:bCs/>
          <w:snapToGrid w:val="0"/>
          <w:color w:val="auto"/>
          <w:kern w:val="0"/>
          <w:sz w:val="52"/>
          <w:szCs w:val="52"/>
          <w:highlight w:val="none"/>
          <w:u w:val="none"/>
        </w:rPr>
        <w:t>浙江镜岭水库工程阀门等</w:t>
      </w:r>
      <w:r>
        <w:rPr>
          <w:rFonts w:hint="eastAsia" w:ascii="华文中宋" w:hAnsi="华文中宋" w:eastAsia="华文中宋" w:cs="华文中宋"/>
          <w:b/>
          <w:bCs/>
          <w:snapToGrid w:val="0"/>
          <w:color w:val="auto"/>
          <w:kern w:val="0"/>
          <w:sz w:val="52"/>
          <w:szCs w:val="52"/>
          <w:highlight w:val="none"/>
          <w:u w:val="none"/>
          <w:lang w:eastAsia="zh-CN"/>
        </w:rPr>
        <w:t>设备</w:t>
      </w:r>
      <w:r>
        <w:rPr>
          <w:rFonts w:hint="eastAsia" w:ascii="华文中宋" w:hAnsi="华文中宋" w:eastAsia="华文中宋" w:cs="华文中宋"/>
          <w:b/>
          <w:bCs/>
          <w:snapToGrid w:val="0"/>
          <w:color w:val="auto"/>
          <w:kern w:val="0"/>
          <w:sz w:val="52"/>
          <w:szCs w:val="52"/>
          <w:highlight w:val="none"/>
        </w:rPr>
        <w:t>采购</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499C8A3A">
      <w:pPr>
        <w:keepNext w:val="0"/>
        <w:keepLines w:val="0"/>
        <w:pageBreakBefore w:val="0"/>
        <w:widowControl/>
        <w:kinsoku/>
        <w:wordWrap/>
        <w:overflowPunct/>
        <w:topLinePunct/>
        <w:autoSpaceDE w:val="0"/>
        <w:autoSpaceDN w:val="0"/>
        <w:bidi w:val="0"/>
        <w:adjustRightInd w:val="0"/>
        <w:snapToGrid w:val="0"/>
        <w:spacing w:line="250" w:lineRule="auto"/>
        <w:jc w:val="both"/>
        <w:textAlignment w:val="baseline"/>
        <w:outlineLvl w:val="9"/>
        <w:rPr>
          <w:rFonts w:ascii="Arial" w:hAnsi="Arial" w:eastAsia="Arial" w:cs="Arial"/>
          <w:snapToGrid w:val="0"/>
          <w:color w:val="auto"/>
          <w:kern w:val="0"/>
          <w:szCs w:val="21"/>
          <w:highlight w:val="none"/>
        </w:rPr>
      </w:pPr>
    </w:p>
    <w:p w14:paraId="101C60C7">
      <w:pPr>
        <w:keepNext w:val="0"/>
        <w:keepLines w:val="0"/>
        <w:pageBreakBefore w:val="0"/>
        <w:widowControl/>
        <w:kinsoku/>
        <w:wordWrap/>
        <w:overflowPunct/>
        <w:topLinePunct/>
        <w:autoSpaceDE w:val="0"/>
        <w:autoSpaceDN w:val="0"/>
        <w:bidi w:val="0"/>
        <w:adjustRightInd w:val="0"/>
        <w:snapToGrid w:val="0"/>
        <w:spacing w:line="250" w:lineRule="auto"/>
        <w:jc w:val="both"/>
        <w:textAlignment w:val="baseline"/>
        <w:outlineLvl w:val="9"/>
        <w:rPr>
          <w:rFonts w:ascii="Arial" w:hAnsi="Arial" w:eastAsia="Arial" w:cs="Arial"/>
          <w:snapToGrid w:val="0"/>
          <w:color w:val="auto"/>
          <w:kern w:val="0"/>
          <w:szCs w:val="21"/>
          <w:highlight w:val="none"/>
        </w:rPr>
      </w:pPr>
    </w:p>
    <w:p w14:paraId="4166CE53">
      <w:pPr>
        <w:keepNext w:val="0"/>
        <w:keepLines w:val="0"/>
        <w:pageBreakBefore w:val="0"/>
        <w:widowControl/>
        <w:kinsoku/>
        <w:wordWrap/>
        <w:overflowPunct/>
        <w:topLinePunct/>
        <w:autoSpaceDE w:val="0"/>
        <w:autoSpaceDN w:val="0"/>
        <w:bidi w:val="0"/>
        <w:adjustRightInd w:val="0"/>
        <w:snapToGrid w:val="0"/>
        <w:spacing w:line="250" w:lineRule="auto"/>
        <w:jc w:val="both"/>
        <w:textAlignment w:val="baseline"/>
        <w:outlineLvl w:val="9"/>
        <w:rPr>
          <w:rFonts w:ascii="Arial" w:hAnsi="Arial" w:eastAsia="Arial" w:cs="Arial"/>
          <w:snapToGrid w:val="0"/>
          <w:color w:val="auto"/>
          <w:kern w:val="0"/>
          <w:szCs w:val="21"/>
          <w:highlight w:val="none"/>
        </w:rPr>
      </w:pPr>
    </w:p>
    <w:p w14:paraId="0D1BA2B3">
      <w:pPr>
        <w:keepNext w:val="0"/>
        <w:keepLines w:val="0"/>
        <w:pageBreakBefore w:val="0"/>
        <w:widowControl/>
        <w:kinsoku/>
        <w:wordWrap/>
        <w:overflowPunct/>
        <w:topLinePunct/>
        <w:autoSpaceDE w:val="0"/>
        <w:autoSpaceDN w:val="0"/>
        <w:bidi w:val="0"/>
        <w:adjustRightInd w:val="0"/>
        <w:snapToGrid w:val="0"/>
        <w:spacing w:line="250" w:lineRule="auto"/>
        <w:jc w:val="both"/>
        <w:textAlignment w:val="baseline"/>
        <w:outlineLvl w:val="9"/>
        <w:rPr>
          <w:rFonts w:ascii="Arial" w:hAnsi="Arial" w:eastAsia="宋体" w:cs="Arial"/>
          <w:snapToGrid w:val="0"/>
          <w:color w:val="auto"/>
          <w:kern w:val="0"/>
          <w:szCs w:val="21"/>
          <w:highlight w:val="none"/>
        </w:rPr>
      </w:pPr>
    </w:p>
    <w:p w14:paraId="3470ADCB">
      <w:pPr>
        <w:keepNext w:val="0"/>
        <w:keepLines w:val="0"/>
        <w:pageBreakBefore w:val="0"/>
        <w:widowControl/>
        <w:kinsoku/>
        <w:wordWrap/>
        <w:overflowPunct/>
        <w:topLinePunct/>
        <w:autoSpaceDE w:val="0"/>
        <w:autoSpaceDN w:val="0"/>
        <w:bidi w:val="0"/>
        <w:adjustRightInd w:val="0"/>
        <w:snapToGrid w:val="0"/>
        <w:spacing w:line="250" w:lineRule="auto"/>
        <w:jc w:val="both"/>
        <w:textAlignment w:val="baseline"/>
        <w:outlineLvl w:val="9"/>
        <w:rPr>
          <w:rFonts w:ascii="Arial" w:hAnsi="Arial" w:eastAsia="Arial" w:cs="Arial"/>
          <w:snapToGrid w:val="0"/>
          <w:color w:val="auto"/>
          <w:kern w:val="0"/>
          <w:szCs w:val="21"/>
          <w:highlight w:val="none"/>
        </w:rPr>
      </w:pPr>
    </w:p>
    <w:p w14:paraId="7CE3C9BF">
      <w:pPr>
        <w:keepNext w:val="0"/>
        <w:keepLines w:val="0"/>
        <w:pageBreakBefore w:val="0"/>
        <w:widowControl/>
        <w:kinsoku/>
        <w:wordWrap/>
        <w:overflowPunct/>
        <w:topLinePunct/>
        <w:autoSpaceDE w:val="0"/>
        <w:autoSpaceDN w:val="0"/>
        <w:bidi w:val="0"/>
        <w:adjustRightInd w:val="0"/>
        <w:snapToGrid w:val="0"/>
        <w:spacing w:line="251" w:lineRule="auto"/>
        <w:jc w:val="both"/>
        <w:textAlignment w:val="baseline"/>
        <w:outlineLvl w:val="9"/>
        <w:rPr>
          <w:rFonts w:ascii="Arial" w:hAnsi="Arial" w:eastAsia="Arial" w:cs="Arial"/>
          <w:snapToGrid w:val="0"/>
          <w:color w:val="auto"/>
          <w:kern w:val="0"/>
          <w:szCs w:val="21"/>
          <w:highlight w:val="none"/>
        </w:rPr>
      </w:pPr>
    </w:p>
    <w:p w14:paraId="2F8CFBE1">
      <w:pPr>
        <w:keepNext w:val="0"/>
        <w:keepLines w:val="0"/>
        <w:pageBreakBefore w:val="0"/>
        <w:widowControl/>
        <w:tabs>
          <w:tab w:val="left" w:pos="2909"/>
        </w:tabs>
        <w:kinsoku/>
        <w:wordWrap/>
        <w:overflowPunct/>
        <w:topLinePunct/>
        <w:autoSpaceDE w:val="0"/>
        <w:autoSpaceDN w:val="0"/>
        <w:bidi w:val="0"/>
        <w:adjustRightInd w:val="0"/>
        <w:snapToGrid w:val="0"/>
        <w:spacing w:before="114" w:line="227" w:lineRule="auto"/>
        <w:ind w:left="138"/>
        <w:jc w:val="center"/>
        <w:textAlignment w:val="baseline"/>
        <w:outlineLvl w:val="9"/>
        <w:rPr>
          <w:rFonts w:hint="eastAsia" w:ascii="华文中宋" w:hAnsi="华文中宋" w:eastAsia="华文中宋" w:cs="华文中宋"/>
          <w:b/>
          <w:bCs/>
          <w:snapToGrid w:val="0"/>
          <w:color w:val="auto"/>
          <w:kern w:val="0"/>
          <w:sz w:val="72"/>
          <w:szCs w:val="72"/>
          <w:highlight w:val="none"/>
          <w:u w:val="none"/>
          <w:lang w:eastAsia="zh-CN"/>
        </w:rPr>
      </w:pPr>
      <w:r>
        <w:rPr>
          <w:rFonts w:hint="eastAsia" w:ascii="华文中宋" w:hAnsi="华文中宋" w:eastAsia="华文中宋" w:cs="华文中宋"/>
          <w:b/>
          <w:bCs/>
          <w:snapToGrid w:val="0"/>
          <w:color w:val="auto"/>
          <w:kern w:val="0"/>
          <w:sz w:val="72"/>
          <w:szCs w:val="72"/>
          <w:highlight w:val="none"/>
          <w:u w:val="none"/>
        </w:rPr>
        <w:t>招</w:t>
      </w:r>
      <w:r>
        <w:rPr>
          <w:rFonts w:hint="eastAsia" w:ascii="华文中宋" w:hAnsi="华文中宋" w:eastAsia="华文中宋" w:cs="华文中宋"/>
          <w:b/>
          <w:bCs/>
          <w:snapToGrid w:val="0"/>
          <w:color w:val="auto"/>
          <w:kern w:val="0"/>
          <w:sz w:val="72"/>
          <w:szCs w:val="72"/>
          <w:highlight w:val="none"/>
          <w:u w:val="none"/>
          <w:lang w:val="en-US" w:eastAsia="zh-CN"/>
        </w:rPr>
        <w:t xml:space="preserve"> </w:t>
      </w:r>
      <w:r>
        <w:rPr>
          <w:rFonts w:hint="eastAsia" w:ascii="华文中宋" w:hAnsi="华文中宋" w:eastAsia="华文中宋" w:cs="华文中宋"/>
          <w:b/>
          <w:bCs/>
          <w:snapToGrid w:val="0"/>
          <w:color w:val="auto"/>
          <w:kern w:val="0"/>
          <w:sz w:val="72"/>
          <w:szCs w:val="72"/>
          <w:highlight w:val="none"/>
          <w:u w:val="none"/>
        </w:rPr>
        <w:t>标</w:t>
      </w:r>
      <w:r>
        <w:rPr>
          <w:rFonts w:hint="eastAsia" w:ascii="华文中宋" w:hAnsi="华文中宋" w:eastAsia="华文中宋" w:cs="华文中宋"/>
          <w:b/>
          <w:bCs/>
          <w:snapToGrid w:val="0"/>
          <w:color w:val="auto"/>
          <w:kern w:val="0"/>
          <w:sz w:val="72"/>
          <w:szCs w:val="72"/>
          <w:highlight w:val="none"/>
          <w:u w:val="none"/>
          <w:lang w:val="en-US" w:eastAsia="zh-CN"/>
        </w:rPr>
        <w:t xml:space="preserve"> </w:t>
      </w:r>
      <w:r>
        <w:rPr>
          <w:rFonts w:hint="eastAsia" w:ascii="华文中宋" w:hAnsi="华文中宋" w:eastAsia="华文中宋" w:cs="华文中宋"/>
          <w:b/>
          <w:bCs/>
          <w:snapToGrid w:val="0"/>
          <w:color w:val="auto"/>
          <w:kern w:val="0"/>
          <w:sz w:val="72"/>
          <w:szCs w:val="72"/>
          <w:highlight w:val="none"/>
          <w:u w:val="none"/>
        </w:rPr>
        <w:t>文</w:t>
      </w:r>
      <w:r>
        <w:rPr>
          <w:rFonts w:hint="eastAsia" w:ascii="华文中宋" w:hAnsi="华文中宋" w:eastAsia="华文中宋" w:cs="华文中宋"/>
          <w:b/>
          <w:bCs/>
          <w:snapToGrid w:val="0"/>
          <w:color w:val="auto"/>
          <w:kern w:val="0"/>
          <w:sz w:val="72"/>
          <w:szCs w:val="72"/>
          <w:highlight w:val="none"/>
          <w:u w:val="none"/>
          <w:lang w:val="en-US" w:eastAsia="zh-CN"/>
        </w:rPr>
        <w:t xml:space="preserve"> </w:t>
      </w:r>
      <w:r>
        <w:rPr>
          <w:rFonts w:hint="eastAsia" w:ascii="华文中宋" w:hAnsi="华文中宋" w:eastAsia="华文中宋" w:cs="华文中宋"/>
          <w:b/>
          <w:bCs/>
          <w:snapToGrid w:val="0"/>
          <w:color w:val="auto"/>
          <w:kern w:val="0"/>
          <w:sz w:val="72"/>
          <w:szCs w:val="72"/>
          <w:highlight w:val="none"/>
          <w:u w:val="none"/>
        </w:rPr>
        <w:t>件</w:t>
      </w:r>
    </w:p>
    <w:p w14:paraId="39EE6E38">
      <w:pPr>
        <w:widowControl/>
        <w:kinsoku/>
        <w:topLinePunct/>
        <w:autoSpaceDE w:val="0"/>
        <w:autoSpaceDN w:val="0"/>
        <w:adjustRightInd w:val="0"/>
        <w:snapToGrid w:val="0"/>
        <w:spacing w:line="247" w:lineRule="auto"/>
        <w:jc w:val="both"/>
        <w:textAlignment w:val="baseline"/>
        <w:rPr>
          <w:rFonts w:ascii="Arial" w:hAnsi="Arial" w:eastAsia="Arial" w:cs="Arial"/>
          <w:snapToGrid w:val="0"/>
          <w:color w:val="auto"/>
          <w:kern w:val="0"/>
          <w:szCs w:val="21"/>
          <w:highlight w:val="none"/>
        </w:rPr>
      </w:pPr>
    </w:p>
    <w:p w14:paraId="3C6735DF">
      <w:pPr>
        <w:widowControl/>
        <w:kinsoku/>
        <w:topLinePunct/>
        <w:autoSpaceDE w:val="0"/>
        <w:autoSpaceDN w:val="0"/>
        <w:adjustRightInd w:val="0"/>
        <w:snapToGrid w:val="0"/>
        <w:spacing w:line="247" w:lineRule="auto"/>
        <w:jc w:val="both"/>
        <w:textAlignment w:val="baseline"/>
        <w:rPr>
          <w:rFonts w:ascii="Arial" w:hAnsi="Arial" w:eastAsia="Arial" w:cs="Arial"/>
          <w:snapToGrid w:val="0"/>
          <w:color w:val="auto"/>
          <w:kern w:val="0"/>
          <w:szCs w:val="21"/>
          <w:highlight w:val="none"/>
        </w:rPr>
      </w:pPr>
    </w:p>
    <w:p w14:paraId="710CD587">
      <w:pPr>
        <w:widowControl/>
        <w:kinsoku/>
        <w:topLinePunct/>
        <w:autoSpaceDE w:val="0"/>
        <w:autoSpaceDN w:val="0"/>
        <w:adjustRightInd w:val="0"/>
        <w:snapToGrid w:val="0"/>
        <w:spacing w:line="247" w:lineRule="auto"/>
        <w:jc w:val="both"/>
        <w:textAlignment w:val="baseline"/>
        <w:rPr>
          <w:rFonts w:ascii="Arial" w:hAnsi="Arial" w:eastAsia="Arial" w:cs="Arial"/>
          <w:snapToGrid w:val="0"/>
          <w:color w:val="auto"/>
          <w:kern w:val="0"/>
          <w:szCs w:val="21"/>
          <w:highlight w:val="none"/>
        </w:rPr>
      </w:pPr>
    </w:p>
    <w:p w14:paraId="201678B5">
      <w:pPr>
        <w:widowControl/>
        <w:kinsoku/>
        <w:topLinePunct/>
        <w:autoSpaceDE w:val="0"/>
        <w:autoSpaceDN w:val="0"/>
        <w:adjustRightInd w:val="0"/>
        <w:snapToGrid w:val="0"/>
        <w:spacing w:line="247" w:lineRule="auto"/>
        <w:jc w:val="both"/>
        <w:textAlignment w:val="baseline"/>
        <w:rPr>
          <w:rFonts w:ascii="Arial" w:hAnsi="Arial" w:eastAsia="Arial" w:cs="Arial"/>
          <w:snapToGrid w:val="0"/>
          <w:color w:val="auto"/>
          <w:kern w:val="0"/>
          <w:szCs w:val="21"/>
          <w:highlight w:val="none"/>
        </w:rPr>
      </w:pPr>
    </w:p>
    <w:p w14:paraId="4A0F38FF">
      <w:pPr>
        <w:widowControl/>
        <w:kinsoku/>
        <w:topLinePunct/>
        <w:autoSpaceDE w:val="0"/>
        <w:autoSpaceDN w:val="0"/>
        <w:adjustRightInd w:val="0"/>
        <w:snapToGrid w:val="0"/>
        <w:spacing w:line="247" w:lineRule="auto"/>
        <w:jc w:val="both"/>
        <w:textAlignment w:val="baseline"/>
        <w:rPr>
          <w:rFonts w:ascii="Arial" w:hAnsi="Arial" w:eastAsia="Arial" w:cs="Arial"/>
          <w:snapToGrid w:val="0"/>
          <w:color w:val="auto"/>
          <w:kern w:val="0"/>
          <w:szCs w:val="21"/>
          <w:highlight w:val="none"/>
        </w:rPr>
      </w:pPr>
    </w:p>
    <w:p w14:paraId="0676924B">
      <w:pPr>
        <w:widowControl/>
        <w:kinsoku/>
        <w:topLinePunct/>
        <w:autoSpaceDE w:val="0"/>
        <w:autoSpaceDN w:val="0"/>
        <w:adjustRightInd w:val="0"/>
        <w:snapToGrid w:val="0"/>
        <w:spacing w:line="247" w:lineRule="auto"/>
        <w:jc w:val="both"/>
        <w:textAlignment w:val="baseline"/>
        <w:rPr>
          <w:rFonts w:ascii="Arial" w:hAnsi="Arial" w:eastAsia="Arial" w:cs="Arial"/>
          <w:snapToGrid w:val="0"/>
          <w:color w:val="auto"/>
          <w:kern w:val="0"/>
          <w:szCs w:val="21"/>
          <w:highlight w:val="none"/>
        </w:rPr>
      </w:pPr>
    </w:p>
    <w:p w14:paraId="7540432D">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29D8B713">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015C5675">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15E57283">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142B18D6">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216743FA">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1E3435F6">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1BD193A6">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7E007877">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6BFE9310">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33C361DC">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160B22C6">
      <w:pPr>
        <w:widowControl/>
        <w:kinsoku/>
        <w:topLinePunct/>
        <w:autoSpaceDE w:val="0"/>
        <w:autoSpaceDN w:val="0"/>
        <w:adjustRightInd w:val="0"/>
        <w:snapToGrid w:val="0"/>
        <w:spacing w:line="248" w:lineRule="auto"/>
        <w:jc w:val="both"/>
        <w:textAlignment w:val="baseline"/>
        <w:rPr>
          <w:rFonts w:ascii="Arial" w:hAnsi="Arial" w:eastAsia="Arial" w:cs="Arial"/>
          <w:snapToGrid w:val="0"/>
          <w:color w:val="auto"/>
          <w:kern w:val="0"/>
          <w:szCs w:val="21"/>
          <w:highlight w:val="none"/>
        </w:rPr>
      </w:pPr>
    </w:p>
    <w:p w14:paraId="4E668F9F">
      <w:pPr>
        <w:widowControl/>
        <w:kinsoku/>
        <w:topLinePunct/>
        <w:autoSpaceDE w:val="0"/>
        <w:autoSpaceDN w:val="0"/>
        <w:adjustRightInd w:val="0"/>
        <w:snapToGrid w:val="0"/>
        <w:spacing w:line="248" w:lineRule="auto"/>
        <w:jc w:val="both"/>
        <w:textAlignment w:val="baseline"/>
        <w:rPr>
          <w:rFonts w:hint="eastAsia" w:ascii="Arial" w:hAnsi="Arial" w:eastAsia="宋体" w:cs="Arial"/>
          <w:snapToGrid w:val="0"/>
          <w:color w:val="auto"/>
          <w:kern w:val="0"/>
          <w:szCs w:val="21"/>
          <w:highlight w:val="none"/>
        </w:rPr>
      </w:pPr>
      <w:r>
        <w:rPr>
          <w:rFonts w:hint="eastAsia" w:ascii="Arial" w:hAnsi="Arial" w:eastAsia="宋体" w:cs="Arial"/>
          <w:snapToGrid w:val="0"/>
          <w:color w:val="auto"/>
          <w:kern w:val="0"/>
          <w:szCs w:val="21"/>
          <w:highlight w:val="none"/>
          <w:lang w:val="en-US" w:eastAsia="zh-CN"/>
        </w:rPr>
        <w:t xml:space="preserve"> </w:t>
      </w:r>
    </w:p>
    <w:p w14:paraId="402DEFFC">
      <w:pPr>
        <w:keepNext w:val="0"/>
        <w:keepLines w:val="0"/>
        <w:pageBreakBefore w:val="0"/>
        <w:widowControl w:val="0"/>
        <w:tabs>
          <w:tab w:val="left" w:pos="2593"/>
        </w:tabs>
        <w:kinsoku/>
        <w:wordWrap/>
        <w:overflowPunct/>
        <w:topLinePunct w:val="0"/>
        <w:autoSpaceDE w:val="0"/>
        <w:autoSpaceDN w:val="0"/>
        <w:bidi w:val="0"/>
        <w:adjustRightInd/>
        <w:snapToGrid/>
        <w:spacing w:after="120"/>
        <w:ind w:firstLine="560" w:firstLineChars="200"/>
        <w:jc w:val="distribute"/>
        <w:textAlignment w:val="auto"/>
        <w:rPr>
          <w:rFonts w:ascii="Calibri" w:hAnsi="Calibri" w:eastAsia="宋体" w:cs="Times New Roman"/>
          <w:b w:val="0"/>
          <w:bCs w:val="0"/>
          <w:snapToGrid w:val="0"/>
          <w:color w:val="auto"/>
          <w:kern w:val="0"/>
          <w:sz w:val="28"/>
          <w:szCs w:val="28"/>
          <w:highlight w:val="none"/>
          <w:lang w:val="en-US" w:eastAsia="zh-CN" w:bidi="ar-SA"/>
        </w:rPr>
      </w:pPr>
      <w:r>
        <w:rPr>
          <w:rFonts w:hint="eastAsia" w:ascii="Calibri" w:hAnsi="Calibri" w:eastAsia="宋体" w:cs="Times New Roman"/>
          <w:b w:val="0"/>
          <w:bCs w:val="0"/>
          <w:snapToGrid w:val="0"/>
          <w:color w:val="auto"/>
          <w:kern w:val="0"/>
          <w:sz w:val="28"/>
          <w:szCs w:val="28"/>
          <w:highlight w:val="none"/>
          <w:lang w:val="en-US" w:eastAsia="zh-CN" w:bidi="ar-SA"/>
        </w:rPr>
        <w:t xml:space="preserve">招   标   人： </w:t>
      </w:r>
      <w:r>
        <w:rPr>
          <w:rFonts w:hint="eastAsia" w:ascii="Calibri" w:hAnsi="Calibri" w:eastAsia="宋体" w:cs="Times New Roman"/>
          <w:b w:val="0"/>
          <w:bCs w:val="0"/>
          <w:snapToGrid w:val="0"/>
          <w:color w:val="auto"/>
          <w:kern w:val="0"/>
          <w:sz w:val="28"/>
          <w:szCs w:val="28"/>
          <w:highlight w:val="none"/>
          <w:u w:val="single"/>
          <w:lang w:val="en-US" w:eastAsia="zh-CN" w:bidi="ar-SA"/>
        </w:rPr>
        <w:t xml:space="preserve">     浙江镜岭水库有限公司        </w:t>
      </w:r>
      <w:r>
        <w:rPr>
          <w:rFonts w:hint="eastAsia" w:ascii="Calibri" w:hAnsi="Calibri" w:eastAsia="宋体" w:cs="Times New Roman"/>
          <w:b w:val="0"/>
          <w:bCs w:val="0"/>
          <w:snapToGrid w:val="0"/>
          <w:color w:val="auto"/>
          <w:kern w:val="0"/>
          <w:sz w:val="28"/>
          <w:szCs w:val="28"/>
          <w:highlight w:val="none"/>
          <w:lang w:val="en-US" w:eastAsia="zh-CN" w:bidi="ar-SA"/>
        </w:rPr>
        <w:t>（单位盖章）</w:t>
      </w:r>
    </w:p>
    <w:p w14:paraId="525106D5">
      <w:pPr>
        <w:widowControl w:val="0"/>
        <w:tabs>
          <w:tab w:val="left" w:pos="9360"/>
        </w:tabs>
        <w:kinsoku/>
        <w:autoSpaceDE/>
        <w:autoSpaceDN/>
        <w:adjustRightInd/>
        <w:snapToGrid w:val="0"/>
        <w:spacing w:after="120" w:line="360" w:lineRule="auto"/>
        <w:ind w:firstLine="0" w:firstLineChars="0"/>
        <w:jc w:val="distribute"/>
        <w:textAlignment w:val="baseline"/>
        <w:rPr>
          <w:rFonts w:ascii="Calibri" w:hAnsi="Calibri" w:eastAsia="宋体" w:cs="Times New Roman"/>
          <w:b w:val="0"/>
          <w:bCs w:val="0"/>
          <w:snapToGrid w:val="0"/>
          <w:color w:val="auto"/>
          <w:kern w:val="0"/>
          <w:sz w:val="21"/>
          <w:szCs w:val="24"/>
          <w:highlight w:val="none"/>
          <w:lang w:val="en-US" w:eastAsia="zh-CN" w:bidi="ar-SA"/>
        </w:rPr>
      </w:pPr>
    </w:p>
    <w:p w14:paraId="07BAA7A7">
      <w:pPr>
        <w:keepNext w:val="0"/>
        <w:keepLines w:val="0"/>
        <w:pageBreakBefore w:val="0"/>
        <w:widowControl w:val="0"/>
        <w:tabs>
          <w:tab w:val="left" w:pos="2593"/>
        </w:tabs>
        <w:kinsoku/>
        <w:wordWrap/>
        <w:overflowPunct/>
        <w:topLinePunct w:val="0"/>
        <w:autoSpaceDE w:val="0"/>
        <w:autoSpaceDN w:val="0"/>
        <w:bidi w:val="0"/>
        <w:adjustRightInd/>
        <w:snapToGrid/>
        <w:spacing w:after="120"/>
        <w:ind w:firstLine="560" w:firstLineChars="200"/>
        <w:jc w:val="distribute"/>
        <w:textAlignment w:val="auto"/>
        <w:rPr>
          <w:rFonts w:ascii="Calibri" w:hAnsi="Calibri" w:eastAsia="宋体" w:cs="Times New Roman"/>
          <w:b w:val="0"/>
          <w:bCs w:val="0"/>
          <w:snapToGrid w:val="0"/>
          <w:color w:val="auto"/>
          <w:kern w:val="0"/>
          <w:sz w:val="28"/>
          <w:szCs w:val="28"/>
          <w:highlight w:val="none"/>
          <w:lang w:val="en-US" w:eastAsia="zh-CN" w:bidi="ar-SA"/>
        </w:rPr>
      </w:pPr>
      <w:r>
        <w:rPr>
          <w:rFonts w:hint="eastAsia" w:ascii="Calibri" w:hAnsi="Calibri" w:eastAsia="宋体" w:cs="Times New Roman"/>
          <w:b w:val="0"/>
          <w:bCs w:val="0"/>
          <w:snapToGrid w:val="0"/>
          <w:color w:val="auto"/>
          <w:kern w:val="0"/>
          <w:sz w:val="28"/>
          <w:szCs w:val="28"/>
          <w:highlight w:val="none"/>
          <w:lang w:val="en-US" w:eastAsia="zh-CN" w:bidi="ar-SA"/>
        </w:rPr>
        <w:t>招标代理机构：</w:t>
      </w:r>
      <w:r>
        <w:rPr>
          <w:rFonts w:hint="eastAsia" w:ascii="Calibri" w:hAnsi="Calibri" w:eastAsia="宋体" w:cs="Times New Roman"/>
          <w:b w:val="0"/>
          <w:bCs w:val="0"/>
          <w:snapToGrid w:val="0"/>
          <w:color w:val="auto"/>
          <w:kern w:val="0"/>
          <w:sz w:val="28"/>
          <w:szCs w:val="28"/>
          <w:highlight w:val="none"/>
          <w:u w:val="single"/>
          <w:lang w:val="en-US" w:eastAsia="zh-CN" w:bidi="ar-SA"/>
        </w:rPr>
        <w:t xml:space="preserve"> 长江勘测规划设计研究有限责任公司 </w:t>
      </w:r>
      <w:r>
        <w:rPr>
          <w:rFonts w:hint="eastAsia" w:ascii="Calibri" w:hAnsi="Calibri" w:eastAsia="宋体" w:cs="Times New Roman"/>
          <w:b w:val="0"/>
          <w:bCs w:val="0"/>
          <w:snapToGrid w:val="0"/>
          <w:color w:val="auto"/>
          <w:kern w:val="0"/>
          <w:sz w:val="28"/>
          <w:szCs w:val="28"/>
          <w:highlight w:val="none"/>
          <w:lang w:val="en-US" w:eastAsia="zh-CN" w:bidi="ar-SA"/>
        </w:rPr>
        <w:t>（单位盖章）</w:t>
      </w:r>
    </w:p>
    <w:p w14:paraId="279D55F9">
      <w:pPr>
        <w:widowControl w:val="0"/>
        <w:kinsoku w:val="0"/>
        <w:autoSpaceDE w:val="0"/>
        <w:autoSpaceDN w:val="0"/>
        <w:adjustRightInd/>
        <w:snapToGrid w:val="0"/>
        <w:spacing w:after="120"/>
        <w:jc w:val="center"/>
        <w:textAlignment w:val="baseline"/>
        <w:rPr>
          <w:rFonts w:ascii="Calibri" w:hAnsi="Calibri" w:eastAsia="宋体" w:cs="Times New Roman"/>
          <w:b w:val="0"/>
          <w:bCs w:val="0"/>
          <w:snapToGrid w:val="0"/>
          <w:color w:val="auto"/>
          <w:kern w:val="0"/>
          <w:sz w:val="23"/>
          <w:szCs w:val="23"/>
          <w:highlight w:val="none"/>
          <w:lang w:val="en-US" w:eastAsia="zh-CN" w:bidi="ar-SA"/>
        </w:rPr>
      </w:pPr>
    </w:p>
    <w:p w14:paraId="679E6E12">
      <w:pPr>
        <w:keepNext w:val="0"/>
        <w:keepLines w:val="0"/>
        <w:pageBreakBefore w:val="0"/>
        <w:widowControl w:val="0"/>
        <w:kinsoku/>
        <w:wordWrap/>
        <w:overflowPunct/>
        <w:topLinePunct w:val="0"/>
        <w:autoSpaceDE w:val="0"/>
        <w:autoSpaceDN w:val="0"/>
        <w:bidi w:val="0"/>
        <w:adjustRightInd/>
        <w:snapToGrid/>
        <w:spacing w:after="120"/>
        <w:ind w:firstLine="560" w:firstLineChars="200"/>
        <w:jc w:val="center"/>
        <w:textAlignment w:val="auto"/>
        <w:rPr>
          <w:rFonts w:ascii="Calibri" w:hAnsi="Calibri" w:eastAsia="宋体" w:cs="Times New Roman"/>
          <w:snapToGrid/>
          <w:color w:val="auto"/>
          <w:kern w:val="2"/>
          <w:szCs w:val="24"/>
          <w:highlight w:val="none"/>
        </w:rPr>
      </w:pPr>
      <w:r>
        <w:rPr>
          <w:rFonts w:hint="eastAsia" w:ascii="Calibri" w:hAnsi="Calibri" w:eastAsia="宋体" w:cs="Times New Roman"/>
          <w:b w:val="0"/>
          <w:bCs w:val="0"/>
          <w:snapToGrid w:val="0"/>
          <w:color w:val="auto"/>
          <w:kern w:val="0"/>
          <w:sz w:val="28"/>
          <w:szCs w:val="28"/>
          <w:highlight w:val="none"/>
          <w:u w:val="single"/>
          <w:lang w:val="en-US" w:eastAsia="zh-CN" w:bidi="ar-SA"/>
        </w:rPr>
        <w:t xml:space="preserve">  2026    </w:t>
      </w:r>
      <w:r>
        <w:rPr>
          <w:rFonts w:hint="eastAsia" w:ascii="Calibri" w:hAnsi="Calibri" w:eastAsia="宋体" w:cs="Times New Roman"/>
          <w:b w:val="0"/>
          <w:bCs w:val="0"/>
          <w:snapToGrid w:val="0"/>
          <w:color w:val="auto"/>
          <w:kern w:val="0"/>
          <w:sz w:val="28"/>
          <w:szCs w:val="28"/>
          <w:highlight w:val="none"/>
          <w:lang w:val="en-US" w:eastAsia="zh-CN" w:bidi="ar-SA"/>
        </w:rPr>
        <w:t>年</w:t>
      </w:r>
      <w:r>
        <w:rPr>
          <w:rFonts w:hint="eastAsia" w:ascii="Calibri" w:hAnsi="Calibri" w:eastAsia="宋体" w:cs="Times New Roman"/>
          <w:b w:val="0"/>
          <w:bCs w:val="0"/>
          <w:snapToGrid w:val="0"/>
          <w:color w:val="auto"/>
          <w:kern w:val="0"/>
          <w:sz w:val="28"/>
          <w:szCs w:val="28"/>
          <w:highlight w:val="none"/>
          <w:u w:val="single"/>
          <w:lang w:val="en-US" w:eastAsia="zh-CN" w:bidi="ar-SA"/>
        </w:rPr>
        <w:t xml:space="preserve">      </w:t>
      </w:r>
      <w:r>
        <w:rPr>
          <w:rFonts w:hint="eastAsia" w:ascii="Calibri" w:hAnsi="Calibri" w:eastAsia="宋体" w:cs="Times New Roman"/>
          <w:b w:val="0"/>
          <w:bCs w:val="0"/>
          <w:snapToGrid w:val="0"/>
          <w:color w:val="auto"/>
          <w:kern w:val="0"/>
          <w:sz w:val="28"/>
          <w:szCs w:val="28"/>
          <w:highlight w:val="none"/>
          <w:lang w:val="en-US" w:eastAsia="zh-CN" w:bidi="ar-SA"/>
        </w:rPr>
        <w:t>月</w:t>
      </w:r>
      <w:r>
        <w:rPr>
          <w:rFonts w:hint="eastAsia" w:ascii="Calibri" w:hAnsi="Calibri" w:eastAsia="宋体" w:cs="Times New Roman"/>
          <w:b w:val="0"/>
          <w:bCs w:val="0"/>
          <w:snapToGrid w:val="0"/>
          <w:color w:val="auto"/>
          <w:kern w:val="0"/>
          <w:sz w:val="28"/>
          <w:szCs w:val="28"/>
          <w:highlight w:val="none"/>
          <w:u w:val="single"/>
          <w:lang w:val="en-US" w:eastAsia="zh-CN" w:bidi="ar-SA"/>
        </w:rPr>
        <w:t xml:space="preserve">      </w:t>
      </w:r>
      <w:r>
        <w:rPr>
          <w:rFonts w:hint="eastAsia" w:ascii="Calibri" w:hAnsi="Calibri" w:eastAsia="宋体" w:cs="Times New Roman"/>
          <w:b w:val="0"/>
          <w:bCs w:val="0"/>
          <w:snapToGrid w:val="0"/>
          <w:color w:val="auto"/>
          <w:kern w:val="0"/>
          <w:sz w:val="28"/>
          <w:szCs w:val="28"/>
          <w:highlight w:val="none"/>
          <w:lang w:val="en-US" w:eastAsia="zh-CN" w:bidi="ar-SA"/>
        </w:rPr>
        <w:t>日</w:t>
      </w:r>
    </w:p>
    <w:p w14:paraId="5A2688C2">
      <w:pPr>
        <w:tabs>
          <w:tab w:val="left" w:pos="3427"/>
        </w:tabs>
        <w:kinsoku/>
        <w:topLinePunct w:val="0"/>
        <w:autoSpaceDE/>
        <w:autoSpaceDN/>
        <w:spacing w:before="0" w:line="360" w:lineRule="auto"/>
        <w:ind w:left="244" w:firstLine="3576" w:firstLineChars="1200"/>
        <w:jc w:val="both"/>
        <w:rPr>
          <w:rFonts w:ascii="宋体" w:hAnsi="宋体" w:eastAsia="宋体" w:cs="宋体"/>
          <w:color w:val="auto"/>
          <w:spacing w:val="-1"/>
          <w:sz w:val="30"/>
          <w:szCs w:val="30"/>
          <w:highlight w:val="none"/>
        </w:rPr>
      </w:pPr>
    </w:p>
    <w:p w14:paraId="0DF60490">
      <w:pPr>
        <w:tabs>
          <w:tab w:val="left" w:pos="3427"/>
        </w:tabs>
        <w:kinsoku/>
        <w:topLinePunct w:val="0"/>
        <w:autoSpaceDE/>
        <w:autoSpaceDN/>
        <w:spacing w:before="0" w:line="360" w:lineRule="auto"/>
        <w:ind w:left="244" w:firstLine="3576" w:firstLineChars="1200"/>
        <w:jc w:val="both"/>
        <w:rPr>
          <w:rFonts w:ascii="宋体" w:hAnsi="宋体" w:eastAsia="宋体" w:cs="宋体"/>
          <w:color w:val="auto"/>
          <w:spacing w:val="-1"/>
          <w:sz w:val="30"/>
          <w:szCs w:val="30"/>
          <w:highlight w:val="none"/>
        </w:rPr>
      </w:pPr>
    </w:p>
    <w:p w14:paraId="2B0DDFA3">
      <w:pPr>
        <w:widowControl w:val="0"/>
        <w:autoSpaceDE/>
        <w:autoSpaceDN/>
        <w:adjustRightInd w:val="0"/>
        <w:snapToGrid w:val="0"/>
        <w:spacing w:after="0" w:line="460" w:lineRule="exact"/>
        <w:jc w:val="center"/>
        <w:rPr>
          <w:rFonts w:hint="eastAsia" w:ascii="华文中宋" w:hAnsi="华文中宋" w:eastAsia="华文中宋" w:cs="华文中宋"/>
          <w:b/>
          <w:bCs/>
          <w:color w:val="auto"/>
          <w:sz w:val="36"/>
          <w:szCs w:val="36"/>
          <w:highlight w:val="none"/>
          <w:lang w:val="en-US" w:eastAsia="zh-CN" w:bidi="ar-SA"/>
        </w:rPr>
      </w:pPr>
      <w:r>
        <w:rPr>
          <w:rFonts w:hint="eastAsia" w:ascii="华文中宋" w:hAnsi="华文中宋" w:eastAsia="华文中宋" w:cs="华文中宋"/>
          <w:b/>
          <w:bCs/>
          <w:color w:val="auto"/>
          <w:sz w:val="36"/>
          <w:szCs w:val="36"/>
          <w:highlight w:val="none"/>
          <w:lang w:val="en-US" w:eastAsia="zh-CN" w:bidi="ar-SA"/>
        </w:rPr>
        <w:br w:type="page"/>
      </w:r>
      <w:r>
        <w:rPr>
          <w:rFonts w:hint="eastAsia" w:ascii="华文中宋" w:hAnsi="华文中宋" w:eastAsia="华文中宋" w:cs="华文中宋"/>
          <w:b/>
          <w:bCs/>
          <w:color w:val="auto"/>
          <w:sz w:val="36"/>
          <w:szCs w:val="36"/>
          <w:highlight w:val="none"/>
          <w:lang w:val="en-US" w:eastAsia="zh-CN" w:bidi="ar-SA"/>
        </w:rPr>
        <w:t>目    录</w:t>
      </w:r>
    </w:p>
    <w:p w14:paraId="044B26F7">
      <w:pPr>
        <w:widowControl w:val="0"/>
        <w:autoSpaceDE/>
        <w:autoSpaceDN/>
        <w:adjustRightInd w:val="0"/>
        <w:snapToGrid w:val="0"/>
        <w:spacing w:after="0" w:line="460" w:lineRule="exact"/>
        <w:jc w:val="center"/>
        <w:rPr>
          <w:rFonts w:hint="eastAsia" w:ascii="华文中宋" w:hAnsi="华文中宋" w:eastAsia="华文中宋" w:cs="华文中宋"/>
          <w:b w:val="0"/>
          <w:bCs w:val="0"/>
          <w:color w:val="auto"/>
          <w:sz w:val="36"/>
          <w:szCs w:val="36"/>
          <w:highlight w:val="none"/>
          <w:lang w:val="en-US" w:eastAsia="zh-CN" w:bidi="ar-SA"/>
        </w:rPr>
      </w:pPr>
    </w:p>
    <w:p w14:paraId="0B8A19FC">
      <w:pPr>
        <w:pStyle w:val="13"/>
        <w:tabs>
          <w:tab w:val="right" w:leader="dot" w:pos="9072"/>
        </w:tabs>
      </w:pPr>
      <w:r>
        <w:rPr>
          <w:rFonts w:hint="default" w:ascii="Arial" w:hAnsi="Arial" w:eastAsia="宋体" w:cs="Arial"/>
          <w:color w:val="auto"/>
          <w:sz w:val="24"/>
          <w:szCs w:val="24"/>
          <w:highlight w:val="none"/>
        </w:rPr>
        <w:fldChar w:fldCharType="begin"/>
      </w:r>
      <w:r>
        <w:rPr>
          <w:rFonts w:hint="default" w:ascii="Arial" w:hAnsi="Arial" w:eastAsia="宋体" w:cs="Arial"/>
          <w:color w:val="auto"/>
          <w:sz w:val="24"/>
          <w:szCs w:val="24"/>
          <w:highlight w:val="none"/>
        </w:rPr>
        <w:instrText xml:space="preserve">TOC \o "1-2" \h \u </w:instrText>
      </w:r>
      <w:r>
        <w:rPr>
          <w:rFonts w:hint="default" w:ascii="Arial" w:hAnsi="Arial" w:eastAsia="宋体" w:cs="Arial"/>
          <w:color w:val="auto"/>
          <w:sz w:val="24"/>
          <w:szCs w:val="24"/>
          <w:highlight w:val="none"/>
        </w:rPr>
        <w:fldChar w:fldCharType="separate"/>
      </w: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_Toc32633 </w:instrText>
      </w:r>
      <w:r>
        <w:rPr>
          <w:rFonts w:hint="default" w:ascii="Arial" w:hAnsi="Arial" w:eastAsia="宋体" w:cs="Arial"/>
          <w:szCs w:val="24"/>
          <w:highlight w:val="none"/>
        </w:rPr>
        <w:fldChar w:fldCharType="separate"/>
      </w:r>
      <w:r>
        <w:rPr>
          <w:rFonts w:ascii="宋体" w:hAnsi="宋体" w:eastAsia="宋体" w:cs="宋体"/>
          <w:bCs/>
          <w:szCs w:val="36"/>
          <w:highlight w:val="none"/>
        </w:rPr>
        <w:t>第一章</w:t>
      </w:r>
      <w:r>
        <w:rPr>
          <w:rFonts w:hint="eastAsia" w:ascii="宋体" w:hAnsi="宋体" w:eastAsia="宋体" w:cs="宋体"/>
          <w:bCs/>
          <w:szCs w:val="36"/>
          <w:highlight w:val="none"/>
          <w:lang w:val="en-US" w:eastAsia="zh-CN"/>
        </w:rPr>
        <w:t xml:space="preserve">  </w:t>
      </w:r>
      <w:r>
        <w:rPr>
          <w:rFonts w:ascii="宋体" w:hAnsi="宋体" w:eastAsia="宋体" w:cs="宋体"/>
          <w:bCs/>
          <w:szCs w:val="36"/>
          <w:highlight w:val="none"/>
        </w:rPr>
        <w:t>招标公告</w:t>
      </w:r>
      <w:r>
        <w:tab/>
      </w:r>
      <w:r>
        <w:fldChar w:fldCharType="begin"/>
      </w:r>
      <w:r>
        <w:instrText xml:space="preserve"> PAGEREF _Toc32633 \h </w:instrText>
      </w:r>
      <w:r>
        <w:fldChar w:fldCharType="separate"/>
      </w:r>
      <w:r>
        <w:t>1</w:t>
      </w:r>
      <w:r>
        <w:fldChar w:fldCharType="end"/>
      </w:r>
      <w:r>
        <w:rPr>
          <w:rFonts w:hint="default" w:ascii="Arial" w:hAnsi="Arial" w:eastAsia="宋体" w:cs="Arial"/>
          <w:color w:val="auto"/>
          <w:szCs w:val="24"/>
          <w:highlight w:val="none"/>
        </w:rPr>
        <w:fldChar w:fldCharType="end"/>
      </w:r>
    </w:p>
    <w:p w14:paraId="28F06FB4">
      <w:pPr>
        <w:pStyle w:val="13"/>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_Toc26904 </w:instrText>
      </w:r>
      <w:r>
        <w:rPr>
          <w:rFonts w:hint="default" w:ascii="Arial" w:hAnsi="Arial" w:eastAsia="宋体" w:cs="Arial"/>
          <w:szCs w:val="24"/>
          <w:highlight w:val="none"/>
        </w:rPr>
        <w:fldChar w:fldCharType="separate"/>
      </w:r>
      <w:r>
        <w:rPr>
          <w:rFonts w:ascii="宋体" w:hAnsi="宋体" w:eastAsia="宋体" w:cs="宋体"/>
          <w:bCs/>
          <w:szCs w:val="36"/>
          <w:highlight w:val="none"/>
        </w:rPr>
        <w:t>第二章</w:t>
      </w:r>
      <w:r>
        <w:rPr>
          <w:rFonts w:hint="eastAsia" w:ascii="宋体" w:hAnsi="宋体" w:eastAsia="宋体" w:cs="宋体"/>
          <w:bCs/>
          <w:szCs w:val="36"/>
          <w:highlight w:val="none"/>
          <w:lang w:val="en-US" w:eastAsia="zh-CN"/>
        </w:rPr>
        <w:t xml:space="preserve">  </w:t>
      </w:r>
      <w:r>
        <w:rPr>
          <w:rFonts w:ascii="宋体" w:hAnsi="宋体" w:eastAsia="宋体" w:cs="宋体"/>
          <w:bCs/>
          <w:szCs w:val="36"/>
          <w:highlight w:val="none"/>
        </w:rPr>
        <w:t>投标人须知</w:t>
      </w:r>
      <w:r>
        <w:tab/>
      </w:r>
      <w:r>
        <w:fldChar w:fldCharType="begin"/>
      </w:r>
      <w:r>
        <w:instrText xml:space="preserve"> PAGEREF _Toc26904 \h </w:instrText>
      </w:r>
      <w:r>
        <w:fldChar w:fldCharType="separate"/>
      </w:r>
      <w:r>
        <w:t>7</w:t>
      </w:r>
      <w:r>
        <w:fldChar w:fldCharType="end"/>
      </w:r>
      <w:r>
        <w:rPr>
          <w:rFonts w:hint="default" w:ascii="Arial" w:hAnsi="Arial" w:eastAsia="宋体" w:cs="Arial"/>
          <w:color w:val="auto"/>
          <w:szCs w:val="24"/>
          <w:highlight w:val="none"/>
        </w:rPr>
        <w:fldChar w:fldCharType="end"/>
      </w:r>
    </w:p>
    <w:p w14:paraId="08D94BD1">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_Toc180 </w:instrText>
      </w:r>
      <w:r>
        <w:rPr>
          <w:rFonts w:hint="default" w:ascii="Arial" w:hAnsi="Arial" w:eastAsia="宋体" w:cs="Arial"/>
          <w:szCs w:val="24"/>
          <w:highlight w:val="none"/>
        </w:rPr>
        <w:fldChar w:fldCharType="separate"/>
      </w:r>
      <w:r>
        <w:rPr>
          <w:rFonts w:ascii="宋体" w:hAnsi="宋体" w:eastAsia="宋体" w:cs="宋体"/>
          <w:szCs w:val="28"/>
          <w:highlight w:val="none"/>
        </w:rPr>
        <w:t>第一节投标人须知前附表</w:t>
      </w:r>
      <w:r>
        <w:tab/>
      </w:r>
      <w:r>
        <w:fldChar w:fldCharType="begin"/>
      </w:r>
      <w:r>
        <w:instrText xml:space="preserve"> PAGEREF _Toc180 \h </w:instrText>
      </w:r>
      <w:r>
        <w:fldChar w:fldCharType="separate"/>
      </w:r>
      <w:r>
        <w:t>7</w:t>
      </w:r>
      <w:r>
        <w:fldChar w:fldCharType="end"/>
      </w:r>
      <w:r>
        <w:rPr>
          <w:rFonts w:hint="default" w:ascii="Arial" w:hAnsi="Arial" w:eastAsia="宋体" w:cs="Arial"/>
          <w:color w:val="auto"/>
          <w:szCs w:val="24"/>
          <w:highlight w:val="none"/>
        </w:rPr>
        <w:fldChar w:fldCharType="end"/>
      </w:r>
    </w:p>
    <w:p w14:paraId="5B888C94">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_Toc22694 </w:instrText>
      </w:r>
      <w:r>
        <w:rPr>
          <w:rFonts w:hint="default" w:ascii="Arial" w:hAnsi="Arial" w:eastAsia="宋体" w:cs="Arial"/>
          <w:szCs w:val="24"/>
          <w:highlight w:val="none"/>
        </w:rPr>
        <w:fldChar w:fldCharType="separate"/>
      </w:r>
      <w:r>
        <w:rPr>
          <w:rFonts w:ascii="宋体" w:hAnsi="宋体" w:eastAsia="宋体" w:cs="宋体"/>
          <w:szCs w:val="28"/>
          <w:highlight w:val="none"/>
        </w:rPr>
        <w:t>第二节投标人须知</w:t>
      </w:r>
      <w:r>
        <w:tab/>
      </w:r>
      <w:r>
        <w:fldChar w:fldCharType="begin"/>
      </w:r>
      <w:r>
        <w:instrText xml:space="preserve"> PAGEREF _Toc22694 \h </w:instrText>
      </w:r>
      <w:r>
        <w:fldChar w:fldCharType="separate"/>
      </w:r>
      <w:r>
        <w:t>22</w:t>
      </w:r>
      <w:r>
        <w:fldChar w:fldCharType="end"/>
      </w:r>
      <w:r>
        <w:rPr>
          <w:rFonts w:hint="default" w:ascii="Arial" w:hAnsi="Arial" w:eastAsia="宋体" w:cs="Arial"/>
          <w:color w:val="auto"/>
          <w:szCs w:val="24"/>
          <w:highlight w:val="none"/>
        </w:rPr>
        <w:fldChar w:fldCharType="end"/>
      </w:r>
    </w:p>
    <w:p w14:paraId="6D9B10D1">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_Toc24563 </w:instrText>
      </w:r>
      <w:r>
        <w:rPr>
          <w:rFonts w:hint="default" w:ascii="Arial" w:hAnsi="Arial" w:eastAsia="宋体" w:cs="Arial"/>
          <w:szCs w:val="24"/>
          <w:highlight w:val="none"/>
        </w:rPr>
        <w:fldChar w:fldCharType="separate"/>
      </w:r>
      <w:r>
        <w:rPr>
          <w:rFonts w:hint="eastAsia" w:ascii="宋体" w:hAnsi="宋体" w:eastAsia="宋体" w:cs="宋体"/>
          <w:strike w:val="0"/>
          <w:szCs w:val="24"/>
          <w:highlight w:val="none"/>
        </w:rPr>
        <w:t>附表一：开标记录表</w:t>
      </w:r>
      <w:r>
        <w:tab/>
      </w:r>
      <w:r>
        <w:fldChar w:fldCharType="begin"/>
      </w:r>
      <w:r>
        <w:instrText xml:space="preserve"> PAGEREF _Toc24563 \h </w:instrText>
      </w:r>
      <w:r>
        <w:fldChar w:fldCharType="separate"/>
      </w:r>
      <w:r>
        <w:t>38</w:t>
      </w:r>
      <w:r>
        <w:fldChar w:fldCharType="end"/>
      </w:r>
      <w:r>
        <w:rPr>
          <w:rFonts w:hint="default" w:ascii="Arial" w:hAnsi="Arial" w:eastAsia="宋体" w:cs="Arial"/>
          <w:color w:val="auto"/>
          <w:szCs w:val="24"/>
          <w:highlight w:val="none"/>
        </w:rPr>
        <w:fldChar w:fldCharType="end"/>
      </w:r>
    </w:p>
    <w:p w14:paraId="0669CCD6">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_Toc6737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附表二：问题澄清通知</w:t>
      </w:r>
      <w:r>
        <w:tab/>
      </w:r>
      <w:r>
        <w:fldChar w:fldCharType="begin"/>
      </w:r>
      <w:r>
        <w:instrText xml:space="preserve"> PAGEREF _Toc6737 \h </w:instrText>
      </w:r>
      <w:r>
        <w:fldChar w:fldCharType="separate"/>
      </w:r>
      <w:r>
        <w:t>39</w:t>
      </w:r>
      <w:r>
        <w:fldChar w:fldCharType="end"/>
      </w:r>
      <w:r>
        <w:rPr>
          <w:rFonts w:hint="default" w:ascii="Arial" w:hAnsi="Arial" w:eastAsia="宋体" w:cs="Arial"/>
          <w:color w:val="auto"/>
          <w:szCs w:val="24"/>
          <w:highlight w:val="none"/>
        </w:rPr>
        <w:fldChar w:fldCharType="end"/>
      </w:r>
    </w:p>
    <w:p w14:paraId="0ED449A9">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_Toc16728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附表三：问题的澄清</w:t>
      </w:r>
      <w:r>
        <w:tab/>
      </w:r>
      <w:r>
        <w:fldChar w:fldCharType="begin"/>
      </w:r>
      <w:r>
        <w:instrText xml:space="preserve"> PAGEREF _Toc16728 \h </w:instrText>
      </w:r>
      <w:r>
        <w:fldChar w:fldCharType="separate"/>
      </w:r>
      <w:r>
        <w:t>40</w:t>
      </w:r>
      <w:r>
        <w:fldChar w:fldCharType="end"/>
      </w:r>
      <w:r>
        <w:rPr>
          <w:rFonts w:hint="default" w:ascii="Arial" w:hAnsi="Arial" w:eastAsia="宋体" w:cs="Arial"/>
          <w:color w:val="auto"/>
          <w:szCs w:val="24"/>
          <w:highlight w:val="none"/>
        </w:rPr>
        <w:fldChar w:fldCharType="end"/>
      </w:r>
    </w:p>
    <w:p w14:paraId="4DF18CF0">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_Toc7664 </w:instrText>
      </w:r>
      <w:r>
        <w:rPr>
          <w:rFonts w:hint="default" w:ascii="Arial" w:hAnsi="Arial" w:eastAsia="宋体" w:cs="Arial"/>
          <w:szCs w:val="24"/>
          <w:highlight w:val="none"/>
        </w:rPr>
        <w:fldChar w:fldCharType="separate"/>
      </w:r>
      <w:r>
        <w:rPr>
          <w:rFonts w:hint="eastAsia" w:ascii="宋体" w:hAnsi="宋体" w:eastAsia="宋体" w:cs="宋体"/>
          <w:strike w:val="0"/>
          <w:szCs w:val="24"/>
          <w:highlight w:val="none"/>
        </w:rPr>
        <w:t>附表四：中标通知书</w:t>
      </w:r>
      <w:r>
        <w:tab/>
      </w:r>
      <w:r>
        <w:fldChar w:fldCharType="begin"/>
      </w:r>
      <w:r>
        <w:instrText xml:space="preserve"> PAGEREF _Toc7664 \h </w:instrText>
      </w:r>
      <w:r>
        <w:fldChar w:fldCharType="separate"/>
      </w:r>
      <w:r>
        <w:t>41</w:t>
      </w:r>
      <w:r>
        <w:fldChar w:fldCharType="end"/>
      </w:r>
      <w:r>
        <w:rPr>
          <w:rFonts w:hint="default" w:ascii="Arial" w:hAnsi="Arial" w:eastAsia="宋体" w:cs="Arial"/>
          <w:color w:val="auto"/>
          <w:szCs w:val="24"/>
          <w:highlight w:val="none"/>
        </w:rPr>
        <w:fldChar w:fldCharType="end"/>
      </w:r>
    </w:p>
    <w:p w14:paraId="1C7C5044">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_Toc23526 </w:instrText>
      </w:r>
      <w:r>
        <w:rPr>
          <w:rFonts w:hint="default" w:ascii="Arial" w:hAnsi="Arial" w:eastAsia="宋体" w:cs="Arial"/>
          <w:szCs w:val="24"/>
          <w:highlight w:val="none"/>
        </w:rPr>
        <w:fldChar w:fldCharType="separate"/>
      </w:r>
      <w:r>
        <w:rPr>
          <w:rFonts w:hint="eastAsia" w:ascii="宋体" w:hAnsi="宋体" w:eastAsia="宋体" w:cs="宋体"/>
          <w:strike w:val="0"/>
          <w:szCs w:val="24"/>
          <w:highlight w:val="none"/>
        </w:rPr>
        <w:t>附表五：确认通知</w:t>
      </w:r>
      <w:r>
        <w:tab/>
      </w:r>
      <w:r>
        <w:fldChar w:fldCharType="begin"/>
      </w:r>
      <w:r>
        <w:instrText xml:space="preserve"> PAGEREF _Toc23526 \h </w:instrText>
      </w:r>
      <w:r>
        <w:fldChar w:fldCharType="separate"/>
      </w:r>
      <w:r>
        <w:t>42</w:t>
      </w:r>
      <w:r>
        <w:fldChar w:fldCharType="end"/>
      </w:r>
      <w:r>
        <w:rPr>
          <w:rFonts w:hint="default" w:ascii="Arial" w:hAnsi="Arial" w:eastAsia="宋体" w:cs="Arial"/>
          <w:color w:val="auto"/>
          <w:szCs w:val="24"/>
          <w:highlight w:val="none"/>
        </w:rPr>
        <w:fldChar w:fldCharType="end"/>
      </w:r>
    </w:p>
    <w:p w14:paraId="22E01E31">
      <w:pPr>
        <w:pStyle w:val="13"/>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_Toc10808 </w:instrText>
      </w:r>
      <w:r>
        <w:rPr>
          <w:rFonts w:hint="default" w:ascii="Arial" w:hAnsi="Arial" w:eastAsia="宋体" w:cs="Arial"/>
          <w:szCs w:val="24"/>
          <w:highlight w:val="none"/>
        </w:rPr>
        <w:fldChar w:fldCharType="separate"/>
      </w:r>
      <w:r>
        <w:rPr>
          <w:rFonts w:ascii="宋体" w:hAnsi="宋体" w:eastAsia="宋体" w:cs="宋体"/>
          <w:bCs/>
          <w:szCs w:val="36"/>
          <w:highlight w:val="none"/>
        </w:rPr>
        <w:t>第三章</w:t>
      </w:r>
      <w:r>
        <w:rPr>
          <w:rFonts w:hint="eastAsia" w:ascii="宋体" w:hAnsi="宋体" w:eastAsia="宋体" w:cs="宋体"/>
          <w:bCs/>
          <w:szCs w:val="36"/>
          <w:highlight w:val="none"/>
          <w:lang w:val="en-US" w:eastAsia="zh-CN"/>
        </w:rPr>
        <w:t xml:space="preserve">  </w:t>
      </w:r>
      <w:r>
        <w:rPr>
          <w:rFonts w:hint="default" w:ascii="宋体" w:hAnsi="宋体" w:eastAsia="宋体" w:cs="宋体"/>
          <w:bCs/>
          <w:szCs w:val="36"/>
          <w:highlight w:val="none"/>
        </w:rPr>
        <w:t>评标定标办法</w:t>
      </w:r>
      <w:r>
        <w:tab/>
      </w:r>
      <w:r>
        <w:fldChar w:fldCharType="begin"/>
      </w:r>
      <w:r>
        <w:instrText xml:space="preserve"> PAGEREF _Toc10808 \h </w:instrText>
      </w:r>
      <w:r>
        <w:fldChar w:fldCharType="separate"/>
      </w:r>
      <w:r>
        <w:t>43</w:t>
      </w:r>
      <w:r>
        <w:fldChar w:fldCharType="end"/>
      </w:r>
      <w:r>
        <w:rPr>
          <w:rFonts w:hint="default" w:ascii="Arial" w:hAnsi="Arial" w:eastAsia="宋体" w:cs="Arial"/>
          <w:color w:val="auto"/>
          <w:szCs w:val="24"/>
          <w:highlight w:val="none"/>
        </w:rPr>
        <w:fldChar w:fldCharType="end"/>
      </w:r>
    </w:p>
    <w:p w14:paraId="2834A80D">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_Toc4306 </w:instrText>
      </w:r>
      <w:r>
        <w:rPr>
          <w:rFonts w:hint="default" w:ascii="Arial" w:hAnsi="Arial" w:eastAsia="宋体" w:cs="Arial"/>
          <w:szCs w:val="24"/>
          <w:highlight w:val="none"/>
        </w:rPr>
        <w:fldChar w:fldCharType="separate"/>
      </w:r>
      <w:r>
        <w:rPr>
          <w:rFonts w:hint="eastAsia" w:ascii="宋体" w:hAnsi="宋体" w:eastAsia="宋体" w:cs="宋体"/>
          <w:snapToGrid/>
          <w:kern w:val="2"/>
          <w:szCs w:val="24"/>
          <w:highlight w:val="none"/>
        </w:rPr>
        <w:t>一、评标办法：</w:t>
      </w:r>
      <w:r>
        <w:tab/>
      </w:r>
      <w:r>
        <w:fldChar w:fldCharType="begin"/>
      </w:r>
      <w:r>
        <w:instrText xml:space="preserve"> PAGEREF _Toc4306 \h </w:instrText>
      </w:r>
      <w:r>
        <w:fldChar w:fldCharType="separate"/>
      </w:r>
      <w:r>
        <w:t>43</w:t>
      </w:r>
      <w:r>
        <w:fldChar w:fldCharType="end"/>
      </w:r>
      <w:r>
        <w:rPr>
          <w:rFonts w:hint="default" w:ascii="Arial" w:hAnsi="Arial" w:eastAsia="宋体" w:cs="Arial"/>
          <w:color w:val="auto"/>
          <w:szCs w:val="24"/>
          <w:highlight w:val="none"/>
        </w:rPr>
        <w:fldChar w:fldCharType="end"/>
      </w:r>
    </w:p>
    <w:p w14:paraId="766E5BEB">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_Toc27072 </w:instrText>
      </w:r>
      <w:r>
        <w:rPr>
          <w:rFonts w:hint="default" w:ascii="Arial" w:hAnsi="Arial" w:eastAsia="宋体" w:cs="Arial"/>
          <w:szCs w:val="24"/>
          <w:highlight w:val="none"/>
        </w:rPr>
        <w:fldChar w:fldCharType="separate"/>
      </w:r>
      <w:r>
        <w:rPr>
          <w:rFonts w:hint="eastAsia" w:ascii="宋体" w:hAnsi="宋体" w:eastAsia="宋体" w:cs="宋体"/>
          <w:snapToGrid/>
          <w:kern w:val="2"/>
          <w:szCs w:val="24"/>
          <w:highlight w:val="none"/>
        </w:rPr>
        <w:t>二、定标办法：</w:t>
      </w:r>
      <w:r>
        <w:tab/>
      </w:r>
      <w:r>
        <w:fldChar w:fldCharType="begin"/>
      </w:r>
      <w:r>
        <w:instrText xml:space="preserve"> PAGEREF _Toc27072 \h </w:instrText>
      </w:r>
      <w:r>
        <w:fldChar w:fldCharType="separate"/>
      </w:r>
      <w:r>
        <w:t>43</w:t>
      </w:r>
      <w:r>
        <w:fldChar w:fldCharType="end"/>
      </w:r>
      <w:r>
        <w:rPr>
          <w:rFonts w:hint="default" w:ascii="Arial" w:hAnsi="Arial" w:eastAsia="宋体" w:cs="Arial"/>
          <w:color w:val="auto"/>
          <w:szCs w:val="24"/>
          <w:highlight w:val="none"/>
        </w:rPr>
        <w:fldChar w:fldCharType="end"/>
      </w:r>
    </w:p>
    <w:p w14:paraId="00C0462B">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_Toc29813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综合评估法</w:t>
      </w:r>
      <w:r>
        <w:tab/>
      </w:r>
      <w:r>
        <w:fldChar w:fldCharType="begin"/>
      </w:r>
      <w:r>
        <w:instrText xml:space="preserve"> PAGEREF _Toc29813 \h </w:instrText>
      </w:r>
      <w:r>
        <w:fldChar w:fldCharType="separate"/>
      </w:r>
      <w:r>
        <w:t>44</w:t>
      </w:r>
      <w:r>
        <w:fldChar w:fldCharType="end"/>
      </w:r>
      <w:r>
        <w:rPr>
          <w:rFonts w:hint="default" w:ascii="Arial" w:hAnsi="Arial" w:eastAsia="宋体" w:cs="Arial"/>
          <w:color w:val="auto"/>
          <w:szCs w:val="24"/>
          <w:highlight w:val="none"/>
        </w:rPr>
        <w:fldChar w:fldCharType="end"/>
      </w:r>
    </w:p>
    <w:p w14:paraId="6E00FB8C">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_Toc8395 </w:instrText>
      </w:r>
      <w:r>
        <w:rPr>
          <w:rFonts w:hint="default" w:ascii="Arial" w:hAnsi="Arial" w:eastAsia="宋体" w:cs="Arial"/>
          <w:szCs w:val="24"/>
          <w:highlight w:val="none"/>
        </w:rPr>
        <w:fldChar w:fldCharType="separate"/>
      </w:r>
      <w:r>
        <w:rPr>
          <w:rFonts w:hint="eastAsia" w:ascii="宋体" w:hAnsi="宋体" w:eastAsia="宋体" w:cs="宋体"/>
          <w:position w:val="2"/>
          <w:szCs w:val="24"/>
          <w:highlight w:val="none"/>
        </w:rPr>
        <w:t>一、评标原则</w:t>
      </w:r>
      <w:r>
        <w:tab/>
      </w:r>
      <w:r>
        <w:fldChar w:fldCharType="begin"/>
      </w:r>
      <w:r>
        <w:instrText xml:space="preserve"> PAGEREF _Toc8395 \h </w:instrText>
      </w:r>
      <w:r>
        <w:fldChar w:fldCharType="separate"/>
      </w:r>
      <w:r>
        <w:t>44</w:t>
      </w:r>
      <w:r>
        <w:fldChar w:fldCharType="end"/>
      </w:r>
      <w:r>
        <w:rPr>
          <w:rFonts w:hint="default" w:ascii="Arial" w:hAnsi="Arial" w:eastAsia="宋体" w:cs="Arial"/>
          <w:color w:val="auto"/>
          <w:szCs w:val="24"/>
          <w:highlight w:val="none"/>
        </w:rPr>
        <w:fldChar w:fldCharType="end"/>
      </w:r>
    </w:p>
    <w:p w14:paraId="41EFD0A9">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_Toc20378 </w:instrText>
      </w:r>
      <w:r>
        <w:rPr>
          <w:rFonts w:hint="default" w:ascii="Arial" w:hAnsi="Arial" w:eastAsia="宋体" w:cs="Arial"/>
          <w:szCs w:val="24"/>
          <w:highlight w:val="none"/>
        </w:rPr>
        <w:fldChar w:fldCharType="separate"/>
      </w:r>
      <w:r>
        <w:rPr>
          <w:rFonts w:hint="eastAsia" w:ascii="宋体" w:hAnsi="宋体" w:eastAsia="宋体" w:cs="宋体"/>
          <w:position w:val="1"/>
          <w:szCs w:val="24"/>
          <w:highlight w:val="none"/>
        </w:rPr>
        <w:t>二、评标组织</w:t>
      </w:r>
      <w:r>
        <w:tab/>
      </w:r>
      <w:r>
        <w:fldChar w:fldCharType="begin"/>
      </w:r>
      <w:r>
        <w:instrText xml:space="preserve"> PAGEREF _Toc20378 \h </w:instrText>
      </w:r>
      <w:r>
        <w:fldChar w:fldCharType="separate"/>
      </w:r>
      <w:r>
        <w:t>44</w:t>
      </w:r>
      <w:r>
        <w:fldChar w:fldCharType="end"/>
      </w:r>
      <w:r>
        <w:rPr>
          <w:rFonts w:hint="default" w:ascii="Arial" w:hAnsi="Arial" w:eastAsia="宋体" w:cs="Arial"/>
          <w:color w:val="auto"/>
          <w:szCs w:val="24"/>
          <w:highlight w:val="none"/>
        </w:rPr>
        <w:fldChar w:fldCharType="end"/>
      </w:r>
    </w:p>
    <w:p w14:paraId="2BF86E8C">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_Toc7208 </w:instrText>
      </w:r>
      <w:r>
        <w:rPr>
          <w:rFonts w:hint="default" w:ascii="Arial" w:hAnsi="Arial" w:eastAsia="宋体" w:cs="Arial"/>
          <w:szCs w:val="24"/>
          <w:highlight w:val="none"/>
        </w:rPr>
        <w:fldChar w:fldCharType="separate"/>
      </w:r>
      <w:r>
        <w:rPr>
          <w:rFonts w:hint="eastAsia" w:ascii="宋体" w:hAnsi="宋体" w:eastAsia="宋体" w:cs="宋体"/>
          <w:position w:val="1"/>
          <w:szCs w:val="24"/>
          <w:highlight w:val="none"/>
        </w:rPr>
        <w:t>三、评标程序和内容</w:t>
      </w:r>
      <w:r>
        <w:tab/>
      </w:r>
      <w:r>
        <w:fldChar w:fldCharType="begin"/>
      </w:r>
      <w:r>
        <w:instrText xml:space="preserve"> PAGEREF _Toc7208 \h </w:instrText>
      </w:r>
      <w:r>
        <w:fldChar w:fldCharType="separate"/>
      </w:r>
      <w:r>
        <w:t>44</w:t>
      </w:r>
      <w:r>
        <w:fldChar w:fldCharType="end"/>
      </w:r>
      <w:r>
        <w:rPr>
          <w:rFonts w:hint="default" w:ascii="Arial" w:hAnsi="Arial" w:eastAsia="宋体" w:cs="Arial"/>
          <w:color w:val="auto"/>
          <w:szCs w:val="24"/>
          <w:highlight w:val="none"/>
        </w:rPr>
        <w:fldChar w:fldCharType="end"/>
      </w:r>
    </w:p>
    <w:p w14:paraId="4DEAD4F8">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_Toc3650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四、评审细则</w:t>
      </w:r>
      <w:r>
        <w:tab/>
      </w:r>
      <w:r>
        <w:fldChar w:fldCharType="begin"/>
      </w:r>
      <w:r>
        <w:instrText xml:space="preserve"> PAGEREF _Toc3650 \h </w:instrText>
      </w:r>
      <w:r>
        <w:fldChar w:fldCharType="separate"/>
      </w:r>
      <w:r>
        <w:t>44</w:t>
      </w:r>
      <w:r>
        <w:fldChar w:fldCharType="end"/>
      </w:r>
      <w:r>
        <w:rPr>
          <w:rFonts w:hint="default" w:ascii="Arial" w:hAnsi="Arial" w:eastAsia="宋体" w:cs="Arial"/>
          <w:color w:val="auto"/>
          <w:szCs w:val="24"/>
          <w:highlight w:val="none"/>
        </w:rPr>
        <w:fldChar w:fldCharType="end"/>
      </w:r>
    </w:p>
    <w:p w14:paraId="6FE4582D">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_Toc18580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五、完成评标报告</w:t>
      </w:r>
      <w:r>
        <w:tab/>
      </w:r>
      <w:r>
        <w:fldChar w:fldCharType="begin"/>
      </w:r>
      <w:r>
        <w:instrText xml:space="preserve"> PAGEREF _Toc18580 \h </w:instrText>
      </w:r>
      <w:r>
        <w:fldChar w:fldCharType="separate"/>
      </w:r>
      <w:r>
        <w:t>51</w:t>
      </w:r>
      <w:r>
        <w:fldChar w:fldCharType="end"/>
      </w:r>
      <w:r>
        <w:rPr>
          <w:rFonts w:hint="default" w:ascii="Arial" w:hAnsi="Arial" w:eastAsia="宋体" w:cs="Arial"/>
          <w:color w:val="auto"/>
          <w:szCs w:val="24"/>
          <w:highlight w:val="none"/>
        </w:rPr>
        <w:fldChar w:fldCharType="end"/>
      </w:r>
    </w:p>
    <w:p w14:paraId="22DAFC87">
      <w:pPr>
        <w:pStyle w:val="13"/>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_Toc24558 </w:instrText>
      </w:r>
      <w:r>
        <w:rPr>
          <w:rFonts w:hint="default" w:ascii="Arial" w:hAnsi="Arial" w:eastAsia="宋体" w:cs="Arial"/>
          <w:szCs w:val="24"/>
          <w:highlight w:val="none"/>
        </w:rPr>
        <w:fldChar w:fldCharType="separate"/>
      </w:r>
      <w:r>
        <w:rPr>
          <w:rFonts w:ascii="宋体" w:hAnsi="宋体" w:eastAsia="宋体" w:cs="宋体"/>
          <w:bCs/>
          <w:szCs w:val="36"/>
          <w:highlight w:val="none"/>
        </w:rPr>
        <w:t>第四章</w:t>
      </w:r>
      <w:r>
        <w:rPr>
          <w:rFonts w:hint="eastAsia" w:ascii="宋体" w:hAnsi="宋体" w:eastAsia="宋体" w:cs="宋体"/>
          <w:bCs/>
          <w:szCs w:val="36"/>
          <w:highlight w:val="none"/>
          <w:lang w:val="en-US" w:eastAsia="zh-CN"/>
        </w:rPr>
        <w:t xml:space="preserve">  </w:t>
      </w:r>
      <w:r>
        <w:rPr>
          <w:rFonts w:ascii="宋体" w:hAnsi="宋体" w:eastAsia="宋体" w:cs="宋体"/>
          <w:bCs/>
          <w:szCs w:val="36"/>
          <w:highlight w:val="none"/>
        </w:rPr>
        <w:t>合同条款及格式</w:t>
      </w:r>
      <w:r>
        <w:tab/>
      </w:r>
      <w:r>
        <w:fldChar w:fldCharType="begin"/>
      </w:r>
      <w:r>
        <w:instrText xml:space="preserve"> PAGEREF _Toc24558 \h </w:instrText>
      </w:r>
      <w:r>
        <w:fldChar w:fldCharType="separate"/>
      </w:r>
      <w:r>
        <w:t>52</w:t>
      </w:r>
      <w:r>
        <w:fldChar w:fldCharType="end"/>
      </w:r>
      <w:r>
        <w:rPr>
          <w:rFonts w:hint="default" w:ascii="Arial" w:hAnsi="Arial" w:eastAsia="宋体" w:cs="Arial"/>
          <w:color w:val="auto"/>
          <w:szCs w:val="24"/>
          <w:highlight w:val="none"/>
        </w:rPr>
        <w:fldChar w:fldCharType="end"/>
      </w:r>
    </w:p>
    <w:p w14:paraId="4FB5B28F">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_Toc3885 </w:instrText>
      </w:r>
      <w:r>
        <w:rPr>
          <w:rFonts w:hint="default" w:ascii="Arial" w:hAnsi="Arial" w:eastAsia="宋体" w:cs="Arial"/>
          <w:szCs w:val="24"/>
          <w:highlight w:val="none"/>
        </w:rPr>
        <w:fldChar w:fldCharType="separate"/>
      </w:r>
      <w:r>
        <w:rPr>
          <w:rFonts w:hint="eastAsia" w:ascii="宋体" w:hAnsi="宋体" w:eastAsia="宋体" w:cs="宋体"/>
          <w:bCs/>
          <w:szCs w:val="24"/>
          <w:highlight w:val="none"/>
          <w:lang w:val="en-US" w:eastAsia="zh-CN" w:bidi="ar"/>
        </w:rPr>
        <w:t>第一部分  合同书</w:t>
      </w:r>
      <w:r>
        <w:tab/>
      </w:r>
      <w:r>
        <w:fldChar w:fldCharType="begin"/>
      </w:r>
      <w:r>
        <w:instrText xml:space="preserve"> PAGEREF _Toc3885 \h </w:instrText>
      </w:r>
      <w:r>
        <w:fldChar w:fldCharType="separate"/>
      </w:r>
      <w:r>
        <w:t>52</w:t>
      </w:r>
      <w:r>
        <w:fldChar w:fldCharType="end"/>
      </w:r>
      <w:r>
        <w:rPr>
          <w:rFonts w:hint="default" w:ascii="Arial" w:hAnsi="Arial" w:eastAsia="宋体" w:cs="Arial"/>
          <w:color w:val="auto"/>
          <w:szCs w:val="24"/>
          <w:highlight w:val="none"/>
        </w:rPr>
        <w:fldChar w:fldCharType="end"/>
      </w:r>
    </w:p>
    <w:p w14:paraId="3B6D0668">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_Toc19270 </w:instrText>
      </w:r>
      <w:r>
        <w:rPr>
          <w:rFonts w:hint="default" w:ascii="Arial" w:hAnsi="Arial" w:eastAsia="宋体" w:cs="Arial"/>
          <w:szCs w:val="24"/>
          <w:highlight w:val="none"/>
        </w:rPr>
        <w:fldChar w:fldCharType="separate"/>
      </w:r>
      <w:r>
        <w:rPr>
          <w:rFonts w:hint="eastAsia" w:ascii="宋体" w:hAnsi="宋体" w:eastAsia="宋体" w:cs="宋体"/>
          <w:bCs/>
          <w:szCs w:val="24"/>
          <w:highlight w:val="none"/>
          <w:lang w:bidi="ar"/>
        </w:rPr>
        <w:t>第</w:t>
      </w:r>
      <w:r>
        <w:rPr>
          <w:rFonts w:hint="eastAsia" w:ascii="宋体" w:hAnsi="宋体" w:eastAsia="宋体" w:cs="宋体"/>
          <w:bCs/>
          <w:szCs w:val="24"/>
          <w:highlight w:val="none"/>
          <w:lang w:val="en-US" w:eastAsia="zh-CN" w:bidi="ar"/>
        </w:rPr>
        <w:t xml:space="preserve">二部分  </w:t>
      </w:r>
      <w:r>
        <w:rPr>
          <w:rFonts w:hint="eastAsia" w:ascii="宋体" w:hAnsi="宋体" w:eastAsia="宋体" w:cs="宋体"/>
          <w:bCs/>
          <w:szCs w:val="24"/>
          <w:highlight w:val="none"/>
          <w:lang w:bidi="ar"/>
        </w:rPr>
        <w:t>通用合同条款</w:t>
      </w:r>
      <w:r>
        <w:tab/>
      </w:r>
      <w:r>
        <w:fldChar w:fldCharType="begin"/>
      </w:r>
      <w:r>
        <w:instrText xml:space="preserve"> PAGEREF _Toc19270 \h </w:instrText>
      </w:r>
      <w:r>
        <w:fldChar w:fldCharType="separate"/>
      </w:r>
      <w:r>
        <w:t>54</w:t>
      </w:r>
      <w:r>
        <w:fldChar w:fldCharType="end"/>
      </w:r>
      <w:r>
        <w:rPr>
          <w:rFonts w:hint="default" w:ascii="Arial" w:hAnsi="Arial" w:eastAsia="宋体" w:cs="Arial"/>
          <w:color w:val="auto"/>
          <w:szCs w:val="24"/>
          <w:highlight w:val="none"/>
        </w:rPr>
        <w:fldChar w:fldCharType="end"/>
      </w:r>
    </w:p>
    <w:p w14:paraId="1B85B32C">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_Toc29378 </w:instrText>
      </w:r>
      <w:r>
        <w:rPr>
          <w:rFonts w:hint="default" w:ascii="Arial" w:hAnsi="Arial" w:eastAsia="宋体" w:cs="Arial"/>
          <w:szCs w:val="24"/>
          <w:highlight w:val="none"/>
        </w:rPr>
        <w:fldChar w:fldCharType="separate"/>
      </w:r>
      <w:r>
        <w:rPr>
          <w:rFonts w:hint="eastAsia" w:ascii="宋体" w:hAnsi="宋体" w:eastAsia="宋体" w:cs="宋体"/>
          <w:bCs/>
          <w:szCs w:val="24"/>
          <w:highlight w:val="none"/>
          <w:lang w:bidi="ar"/>
        </w:rPr>
        <w:t>第</w:t>
      </w:r>
      <w:r>
        <w:rPr>
          <w:rFonts w:hint="eastAsia" w:ascii="宋体" w:hAnsi="宋体" w:eastAsia="宋体" w:cs="宋体"/>
          <w:bCs/>
          <w:szCs w:val="24"/>
          <w:highlight w:val="none"/>
          <w:lang w:val="en-US" w:eastAsia="zh-CN" w:bidi="ar"/>
        </w:rPr>
        <w:t xml:space="preserve">三部分  </w:t>
      </w:r>
      <w:r>
        <w:rPr>
          <w:rFonts w:hint="eastAsia" w:ascii="宋体" w:hAnsi="宋体" w:eastAsia="宋体" w:cs="宋体"/>
          <w:bCs/>
          <w:szCs w:val="24"/>
          <w:highlight w:val="none"/>
          <w:lang w:bidi="ar"/>
        </w:rPr>
        <w:t>专用合同条款</w:t>
      </w:r>
      <w:r>
        <w:tab/>
      </w:r>
      <w:r>
        <w:fldChar w:fldCharType="begin"/>
      </w:r>
      <w:r>
        <w:instrText xml:space="preserve"> PAGEREF _Toc29378 \h </w:instrText>
      </w:r>
      <w:r>
        <w:fldChar w:fldCharType="separate"/>
      </w:r>
      <w:r>
        <w:t>71</w:t>
      </w:r>
      <w:r>
        <w:fldChar w:fldCharType="end"/>
      </w:r>
      <w:r>
        <w:rPr>
          <w:rFonts w:hint="default" w:ascii="Arial" w:hAnsi="Arial" w:eastAsia="宋体" w:cs="Arial"/>
          <w:color w:val="auto"/>
          <w:szCs w:val="24"/>
          <w:highlight w:val="none"/>
        </w:rPr>
        <w:fldChar w:fldCharType="end"/>
      </w:r>
    </w:p>
    <w:p w14:paraId="45E2D959">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_Toc4966 </w:instrText>
      </w:r>
      <w:r>
        <w:rPr>
          <w:rFonts w:hint="default" w:ascii="Arial" w:hAnsi="Arial" w:eastAsia="宋体" w:cs="Arial"/>
          <w:szCs w:val="24"/>
          <w:highlight w:val="none"/>
        </w:rPr>
        <w:fldChar w:fldCharType="separate"/>
      </w:r>
      <w:r>
        <w:rPr>
          <w:rFonts w:hint="eastAsia" w:ascii="宋体" w:hAnsi="宋体" w:eastAsia="宋体" w:cs="宋体"/>
          <w:bCs/>
          <w:snapToGrid/>
          <w:szCs w:val="24"/>
          <w:highlight w:val="none"/>
        </w:rPr>
        <w:t>第</w:t>
      </w:r>
      <w:r>
        <w:rPr>
          <w:rFonts w:hint="eastAsia" w:ascii="宋体" w:hAnsi="宋体" w:eastAsia="宋体" w:cs="宋体"/>
          <w:bCs/>
          <w:snapToGrid/>
          <w:szCs w:val="24"/>
          <w:highlight w:val="none"/>
          <w:lang w:val="en-US" w:eastAsia="zh-CN"/>
        </w:rPr>
        <w:t xml:space="preserve">四部分  </w:t>
      </w:r>
      <w:r>
        <w:rPr>
          <w:rFonts w:hint="eastAsia" w:ascii="宋体" w:hAnsi="宋体" w:eastAsia="宋体" w:cs="宋体"/>
          <w:bCs/>
          <w:snapToGrid/>
          <w:szCs w:val="24"/>
          <w:highlight w:val="none"/>
        </w:rPr>
        <w:t>合同附件格式</w:t>
      </w:r>
      <w:r>
        <w:tab/>
      </w:r>
      <w:r>
        <w:fldChar w:fldCharType="begin"/>
      </w:r>
      <w:r>
        <w:instrText xml:space="preserve"> PAGEREF _Toc4966 \h </w:instrText>
      </w:r>
      <w:r>
        <w:fldChar w:fldCharType="separate"/>
      </w:r>
      <w:r>
        <w:t>103</w:t>
      </w:r>
      <w:r>
        <w:fldChar w:fldCharType="end"/>
      </w:r>
      <w:r>
        <w:rPr>
          <w:rFonts w:hint="default" w:ascii="Arial" w:hAnsi="Arial" w:eastAsia="宋体" w:cs="Arial"/>
          <w:color w:val="auto"/>
          <w:szCs w:val="24"/>
          <w:highlight w:val="none"/>
        </w:rPr>
        <w:fldChar w:fldCharType="end"/>
      </w:r>
    </w:p>
    <w:p w14:paraId="4BF06B85">
      <w:pPr>
        <w:pStyle w:val="13"/>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_Toc11489 </w:instrText>
      </w:r>
      <w:r>
        <w:rPr>
          <w:rFonts w:hint="default" w:ascii="Arial" w:hAnsi="Arial" w:eastAsia="宋体" w:cs="Arial"/>
          <w:szCs w:val="24"/>
          <w:highlight w:val="none"/>
        </w:rPr>
        <w:fldChar w:fldCharType="separate"/>
      </w:r>
      <w:r>
        <w:rPr>
          <w:rFonts w:hint="eastAsia" w:ascii="宋体" w:hAnsi="宋体" w:eastAsia="宋体" w:cs="宋体"/>
          <w:bCs/>
          <w:szCs w:val="36"/>
          <w:highlight w:val="none"/>
        </w:rPr>
        <w:t>第五章  招标内容</w:t>
      </w:r>
      <w:r>
        <w:tab/>
      </w:r>
      <w:r>
        <w:fldChar w:fldCharType="begin"/>
      </w:r>
      <w:r>
        <w:instrText xml:space="preserve"> PAGEREF _Toc11489 \h </w:instrText>
      </w:r>
      <w:r>
        <w:fldChar w:fldCharType="separate"/>
      </w:r>
      <w:r>
        <w:t>115</w:t>
      </w:r>
      <w:r>
        <w:fldChar w:fldCharType="end"/>
      </w:r>
      <w:r>
        <w:rPr>
          <w:rFonts w:hint="default" w:ascii="Arial" w:hAnsi="Arial" w:eastAsia="宋体" w:cs="Arial"/>
          <w:color w:val="auto"/>
          <w:szCs w:val="24"/>
          <w:highlight w:val="none"/>
        </w:rPr>
        <w:fldChar w:fldCharType="end"/>
      </w:r>
    </w:p>
    <w:p w14:paraId="07E8A295">
      <w:pPr>
        <w:pStyle w:val="13"/>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_Toc27691 </w:instrText>
      </w:r>
      <w:r>
        <w:rPr>
          <w:rFonts w:hint="default" w:ascii="Arial" w:hAnsi="Arial" w:eastAsia="宋体" w:cs="Arial"/>
          <w:szCs w:val="24"/>
          <w:highlight w:val="none"/>
        </w:rPr>
        <w:fldChar w:fldCharType="separate"/>
      </w:r>
      <w:r>
        <w:rPr>
          <w:rFonts w:hint="eastAsia" w:ascii="宋体" w:hAnsi="宋体" w:eastAsia="宋体" w:cs="宋体"/>
          <w:bCs/>
          <w:szCs w:val="36"/>
          <w:highlight w:val="none"/>
        </w:rPr>
        <w:t>第</w:t>
      </w:r>
      <w:r>
        <w:rPr>
          <w:rFonts w:hint="eastAsia" w:ascii="宋体" w:hAnsi="宋体" w:eastAsia="宋体" w:cs="宋体"/>
          <w:bCs/>
          <w:szCs w:val="36"/>
          <w:highlight w:val="none"/>
          <w:lang w:val="en-US" w:eastAsia="zh-CN"/>
        </w:rPr>
        <w:t>六</w:t>
      </w:r>
      <w:r>
        <w:rPr>
          <w:rFonts w:hint="eastAsia" w:ascii="宋体" w:hAnsi="宋体" w:eastAsia="宋体" w:cs="宋体"/>
          <w:bCs/>
          <w:szCs w:val="36"/>
          <w:highlight w:val="none"/>
        </w:rPr>
        <w:t>章  技术</w:t>
      </w:r>
      <w:r>
        <w:rPr>
          <w:rFonts w:hint="eastAsia" w:ascii="宋体" w:hAnsi="宋体" w:eastAsia="宋体" w:cs="宋体"/>
          <w:bCs/>
          <w:szCs w:val="36"/>
          <w:highlight w:val="none"/>
          <w:lang w:val="en-US" w:eastAsia="zh-CN"/>
        </w:rPr>
        <w:t>标准和</w:t>
      </w:r>
      <w:r>
        <w:rPr>
          <w:rFonts w:hint="eastAsia" w:ascii="宋体" w:hAnsi="宋体" w:eastAsia="宋体" w:cs="宋体"/>
          <w:bCs/>
          <w:szCs w:val="36"/>
          <w:highlight w:val="none"/>
        </w:rPr>
        <w:t>要求</w:t>
      </w:r>
      <w:r>
        <w:tab/>
      </w:r>
      <w:r>
        <w:fldChar w:fldCharType="begin"/>
      </w:r>
      <w:r>
        <w:instrText xml:space="preserve"> PAGEREF _Toc27691 \h </w:instrText>
      </w:r>
      <w:r>
        <w:fldChar w:fldCharType="separate"/>
      </w:r>
      <w:r>
        <w:t>131</w:t>
      </w:r>
      <w:r>
        <w:fldChar w:fldCharType="end"/>
      </w:r>
      <w:r>
        <w:rPr>
          <w:rFonts w:hint="default" w:ascii="Arial" w:hAnsi="Arial" w:eastAsia="宋体" w:cs="Arial"/>
          <w:color w:val="auto"/>
          <w:szCs w:val="24"/>
          <w:highlight w:val="none"/>
        </w:rPr>
        <w:fldChar w:fldCharType="end"/>
      </w:r>
    </w:p>
    <w:p w14:paraId="20E9AFF5">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_Toc20810 </w:instrText>
      </w:r>
      <w:r>
        <w:rPr>
          <w:rFonts w:hint="default" w:ascii="Arial" w:hAnsi="Arial" w:eastAsia="宋体" w:cs="Arial"/>
          <w:szCs w:val="24"/>
          <w:highlight w:val="none"/>
        </w:rPr>
        <w:fldChar w:fldCharType="separate"/>
      </w:r>
      <w:r>
        <w:rPr>
          <w:rFonts w:hint="eastAsia" w:ascii="宋体" w:hAnsi="宋体" w:eastAsia="宋体" w:cs="宋体"/>
          <w:bCs/>
          <w:snapToGrid/>
          <w:szCs w:val="24"/>
          <w:highlight w:val="none"/>
          <w:lang w:val="en-US" w:eastAsia="zh-CN" w:bidi="en-US"/>
        </w:rPr>
        <w:t xml:space="preserve">一  </w:t>
      </w:r>
      <w:r>
        <w:rPr>
          <w:rFonts w:hint="eastAsia" w:ascii="宋体" w:hAnsi="宋体" w:eastAsia="宋体" w:cs="宋体"/>
          <w:bCs/>
          <w:snapToGrid/>
          <w:szCs w:val="24"/>
          <w:highlight w:val="none"/>
          <w:lang w:bidi="en-US"/>
        </w:rPr>
        <w:t>一般规定</w:t>
      </w:r>
      <w:r>
        <w:tab/>
      </w:r>
      <w:r>
        <w:fldChar w:fldCharType="begin"/>
      </w:r>
      <w:r>
        <w:instrText xml:space="preserve"> PAGEREF _Toc20810 \h </w:instrText>
      </w:r>
      <w:r>
        <w:fldChar w:fldCharType="separate"/>
      </w:r>
      <w:r>
        <w:t>131</w:t>
      </w:r>
      <w:r>
        <w:fldChar w:fldCharType="end"/>
      </w:r>
      <w:r>
        <w:rPr>
          <w:rFonts w:hint="default" w:ascii="Arial" w:hAnsi="Arial" w:eastAsia="宋体" w:cs="Arial"/>
          <w:color w:val="auto"/>
          <w:szCs w:val="24"/>
          <w:highlight w:val="none"/>
        </w:rPr>
        <w:fldChar w:fldCharType="end"/>
      </w:r>
    </w:p>
    <w:p w14:paraId="0FFC39E7">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_Toc9832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 xml:space="preserve">二  </w:t>
      </w:r>
      <w:r>
        <w:rPr>
          <w:rFonts w:hint="eastAsia" w:ascii="宋体" w:hAnsi="宋体" w:eastAsia="宋体" w:cs="宋体"/>
          <w:bCs/>
          <w:snapToGrid/>
          <w:szCs w:val="24"/>
          <w:highlight w:val="none"/>
          <w:lang w:bidi="en-US"/>
        </w:rPr>
        <w:t>引用标准和规程规范</w:t>
      </w:r>
      <w:r>
        <w:tab/>
      </w:r>
      <w:r>
        <w:fldChar w:fldCharType="begin"/>
      </w:r>
      <w:r>
        <w:instrText xml:space="preserve"> PAGEREF _Toc9832 \h </w:instrText>
      </w:r>
      <w:r>
        <w:fldChar w:fldCharType="separate"/>
      </w:r>
      <w:r>
        <w:t>133</w:t>
      </w:r>
      <w:r>
        <w:fldChar w:fldCharType="end"/>
      </w:r>
      <w:r>
        <w:rPr>
          <w:rFonts w:hint="default" w:ascii="Arial" w:hAnsi="Arial" w:eastAsia="宋体" w:cs="Arial"/>
          <w:color w:val="auto"/>
          <w:szCs w:val="24"/>
          <w:highlight w:val="none"/>
        </w:rPr>
        <w:fldChar w:fldCharType="end"/>
      </w:r>
    </w:p>
    <w:p w14:paraId="20588B94">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_Toc4431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三  手电两用偏心半球阀</w:t>
      </w:r>
      <w:r>
        <w:tab/>
      </w:r>
      <w:r>
        <w:fldChar w:fldCharType="begin"/>
      </w:r>
      <w:r>
        <w:instrText xml:space="preserve"> PAGEREF _Toc4431 \h </w:instrText>
      </w:r>
      <w:r>
        <w:fldChar w:fldCharType="separate"/>
      </w:r>
      <w:r>
        <w:t>135</w:t>
      </w:r>
      <w:r>
        <w:fldChar w:fldCharType="end"/>
      </w:r>
      <w:r>
        <w:rPr>
          <w:rFonts w:hint="default" w:ascii="Arial" w:hAnsi="Arial" w:eastAsia="宋体" w:cs="Arial"/>
          <w:color w:val="auto"/>
          <w:szCs w:val="24"/>
          <w:highlight w:val="none"/>
        </w:rPr>
        <w:fldChar w:fldCharType="end"/>
      </w:r>
    </w:p>
    <w:p w14:paraId="713CA431">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_Toc27334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四 大口径蝶阀</w:t>
      </w:r>
      <w:r>
        <w:tab/>
      </w:r>
      <w:r>
        <w:fldChar w:fldCharType="begin"/>
      </w:r>
      <w:r>
        <w:instrText xml:space="preserve"> PAGEREF _Toc27334 \h </w:instrText>
      </w:r>
      <w:r>
        <w:fldChar w:fldCharType="separate"/>
      </w:r>
      <w:r>
        <w:t>140</w:t>
      </w:r>
      <w:r>
        <w:fldChar w:fldCharType="end"/>
      </w:r>
      <w:r>
        <w:rPr>
          <w:rFonts w:hint="default" w:ascii="Arial" w:hAnsi="Arial" w:eastAsia="宋体" w:cs="Arial"/>
          <w:color w:val="auto"/>
          <w:szCs w:val="24"/>
          <w:highlight w:val="none"/>
        </w:rPr>
        <w:fldChar w:fldCharType="end"/>
      </w:r>
    </w:p>
    <w:p w14:paraId="00B5E919">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_Toc17677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五  固定锥阀</w:t>
      </w:r>
      <w:r>
        <w:tab/>
      </w:r>
      <w:r>
        <w:fldChar w:fldCharType="begin"/>
      </w:r>
      <w:r>
        <w:instrText xml:space="preserve"> PAGEREF _Toc17677 \h </w:instrText>
      </w:r>
      <w:r>
        <w:fldChar w:fldCharType="separate"/>
      </w:r>
      <w:r>
        <w:t>143</w:t>
      </w:r>
      <w:r>
        <w:fldChar w:fldCharType="end"/>
      </w:r>
      <w:r>
        <w:rPr>
          <w:rFonts w:hint="default" w:ascii="Arial" w:hAnsi="Arial" w:eastAsia="宋体" w:cs="Arial"/>
          <w:color w:val="auto"/>
          <w:szCs w:val="24"/>
          <w:highlight w:val="none"/>
        </w:rPr>
        <w:fldChar w:fldCharType="end"/>
      </w:r>
    </w:p>
    <w:p w14:paraId="236477F7">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_Toc8866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六 活塞阀</w:t>
      </w:r>
      <w:r>
        <w:tab/>
      </w:r>
      <w:r>
        <w:fldChar w:fldCharType="begin"/>
      </w:r>
      <w:r>
        <w:instrText xml:space="preserve"> PAGEREF _Toc8866 \h </w:instrText>
      </w:r>
      <w:r>
        <w:fldChar w:fldCharType="separate"/>
      </w:r>
      <w:r>
        <w:t>147</w:t>
      </w:r>
      <w:r>
        <w:fldChar w:fldCharType="end"/>
      </w:r>
      <w:r>
        <w:rPr>
          <w:rFonts w:hint="default" w:ascii="Arial" w:hAnsi="Arial" w:eastAsia="宋体" w:cs="Arial"/>
          <w:color w:val="auto"/>
          <w:szCs w:val="24"/>
          <w:highlight w:val="none"/>
        </w:rPr>
        <w:fldChar w:fldCharType="end"/>
      </w:r>
    </w:p>
    <w:p w14:paraId="07107902">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_Toc9051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七  复合式空气阀</w:t>
      </w:r>
      <w:r>
        <w:tab/>
      </w:r>
      <w:r>
        <w:fldChar w:fldCharType="begin"/>
      </w:r>
      <w:r>
        <w:instrText xml:space="preserve"> PAGEREF _Toc9051 \h </w:instrText>
      </w:r>
      <w:r>
        <w:fldChar w:fldCharType="separate"/>
      </w:r>
      <w:r>
        <w:t>156</w:t>
      </w:r>
      <w:r>
        <w:fldChar w:fldCharType="end"/>
      </w:r>
      <w:r>
        <w:rPr>
          <w:rFonts w:hint="default" w:ascii="Arial" w:hAnsi="Arial" w:eastAsia="宋体" w:cs="Arial"/>
          <w:color w:val="auto"/>
          <w:szCs w:val="24"/>
          <w:highlight w:val="none"/>
        </w:rPr>
        <w:fldChar w:fldCharType="end"/>
      </w:r>
    </w:p>
    <w:p w14:paraId="13AE552A">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_Toc30904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八  水泵</w:t>
      </w:r>
      <w:r>
        <w:tab/>
      </w:r>
      <w:r>
        <w:fldChar w:fldCharType="begin"/>
      </w:r>
      <w:r>
        <w:instrText xml:space="preserve"> PAGEREF _Toc30904 \h </w:instrText>
      </w:r>
      <w:r>
        <w:fldChar w:fldCharType="separate"/>
      </w:r>
      <w:r>
        <w:t>159</w:t>
      </w:r>
      <w:r>
        <w:fldChar w:fldCharType="end"/>
      </w:r>
      <w:r>
        <w:rPr>
          <w:rFonts w:hint="default" w:ascii="Arial" w:hAnsi="Arial" w:eastAsia="宋体" w:cs="Arial"/>
          <w:color w:val="auto"/>
          <w:szCs w:val="24"/>
          <w:highlight w:val="none"/>
        </w:rPr>
        <w:fldChar w:fldCharType="end"/>
      </w:r>
    </w:p>
    <w:p w14:paraId="592445F8">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_Toc17979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九 伸缩节</w:t>
      </w:r>
      <w:r>
        <w:tab/>
      </w:r>
      <w:r>
        <w:fldChar w:fldCharType="begin"/>
      </w:r>
      <w:r>
        <w:instrText xml:space="preserve"> PAGEREF _Toc17979 \h </w:instrText>
      </w:r>
      <w:r>
        <w:fldChar w:fldCharType="separate"/>
      </w:r>
      <w:r>
        <w:t>159</w:t>
      </w:r>
      <w:r>
        <w:fldChar w:fldCharType="end"/>
      </w:r>
      <w:r>
        <w:rPr>
          <w:rFonts w:hint="default" w:ascii="Arial" w:hAnsi="Arial" w:eastAsia="宋体" w:cs="Arial"/>
          <w:color w:val="auto"/>
          <w:szCs w:val="24"/>
          <w:highlight w:val="none"/>
        </w:rPr>
        <w:fldChar w:fldCharType="end"/>
      </w:r>
    </w:p>
    <w:p w14:paraId="661C2580">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_Toc14419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十 十字滤管技术要求</w:t>
      </w:r>
      <w:r>
        <w:tab/>
      </w:r>
      <w:r>
        <w:fldChar w:fldCharType="begin"/>
      </w:r>
      <w:r>
        <w:instrText xml:space="preserve"> PAGEREF _Toc14419 \h </w:instrText>
      </w:r>
      <w:r>
        <w:fldChar w:fldCharType="separate"/>
      </w:r>
      <w:r>
        <w:t>160</w:t>
      </w:r>
      <w:r>
        <w:fldChar w:fldCharType="end"/>
      </w:r>
      <w:r>
        <w:rPr>
          <w:rFonts w:hint="default" w:ascii="Arial" w:hAnsi="Arial" w:eastAsia="宋体" w:cs="Arial"/>
          <w:color w:val="auto"/>
          <w:szCs w:val="24"/>
          <w:highlight w:val="none"/>
        </w:rPr>
        <w:fldChar w:fldCharType="end"/>
      </w:r>
    </w:p>
    <w:p w14:paraId="26E9261A">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_Toc18388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十一  超声波流量计</w:t>
      </w:r>
      <w:r>
        <w:tab/>
      </w:r>
      <w:r>
        <w:fldChar w:fldCharType="begin"/>
      </w:r>
      <w:r>
        <w:instrText xml:space="preserve"> PAGEREF _Toc18388 \h </w:instrText>
      </w:r>
      <w:r>
        <w:fldChar w:fldCharType="separate"/>
      </w:r>
      <w:r>
        <w:t>161</w:t>
      </w:r>
      <w:r>
        <w:fldChar w:fldCharType="end"/>
      </w:r>
      <w:r>
        <w:rPr>
          <w:rFonts w:hint="default" w:ascii="Arial" w:hAnsi="Arial" w:eastAsia="宋体" w:cs="Arial"/>
          <w:color w:val="auto"/>
          <w:szCs w:val="24"/>
          <w:highlight w:val="none"/>
        </w:rPr>
        <w:fldChar w:fldCharType="end"/>
      </w:r>
    </w:p>
    <w:p w14:paraId="21917D60">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_Toc18144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十二  电磁流量计</w:t>
      </w:r>
      <w:r>
        <w:tab/>
      </w:r>
      <w:r>
        <w:fldChar w:fldCharType="begin"/>
      </w:r>
      <w:r>
        <w:instrText xml:space="preserve"> PAGEREF _Toc18144 \h </w:instrText>
      </w:r>
      <w:r>
        <w:fldChar w:fldCharType="separate"/>
      </w:r>
      <w:r>
        <w:t>168</w:t>
      </w:r>
      <w:r>
        <w:fldChar w:fldCharType="end"/>
      </w:r>
      <w:r>
        <w:rPr>
          <w:rFonts w:hint="default" w:ascii="Arial" w:hAnsi="Arial" w:eastAsia="宋体" w:cs="Arial"/>
          <w:color w:val="auto"/>
          <w:szCs w:val="24"/>
          <w:highlight w:val="none"/>
        </w:rPr>
        <w:fldChar w:fldCharType="end"/>
      </w:r>
    </w:p>
    <w:p w14:paraId="6084C82D">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_Toc25664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十三 电动双梁桥式起重机</w:t>
      </w:r>
      <w:r>
        <w:tab/>
      </w:r>
      <w:r>
        <w:fldChar w:fldCharType="begin"/>
      </w:r>
      <w:r>
        <w:instrText xml:space="preserve"> PAGEREF _Toc25664 \h </w:instrText>
      </w:r>
      <w:r>
        <w:fldChar w:fldCharType="separate"/>
      </w:r>
      <w:r>
        <w:t>169</w:t>
      </w:r>
      <w:r>
        <w:fldChar w:fldCharType="end"/>
      </w:r>
      <w:r>
        <w:rPr>
          <w:rFonts w:hint="default" w:ascii="Arial" w:hAnsi="Arial" w:eastAsia="宋体" w:cs="Arial"/>
          <w:color w:val="auto"/>
          <w:szCs w:val="24"/>
          <w:highlight w:val="none"/>
        </w:rPr>
        <w:fldChar w:fldCharType="end"/>
      </w:r>
    </w:p>
    <w:p w14:paraId="376FAA45">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_Toc4872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十四、流量调节阀状态监测系统硬件</w:t>
      </w:r>
      <w:r>
        <w:tab/>
      </w:r>
      <w:r>
        <w:fldChar w:fldCharType="begin"/>
      </w:r>
      <w:r>
        <w:instrText xml:space="preserve"> PAGEREF _Toc4872 \h </w:instrText>
      </w:r>
      <w:r>
        <w:fldChar w:fldCharType="separate"/>
      </w:r>
      <w:r>
        <w:t>184</w:t>
      </w:r>
      <w:r>
        <w:fldChar w:fldCharType="end"/>
      </w:r>
      <w:r>
        <w:rPr>
          <w:rFonts w:hint="default" w:ascii="Arial" w:hAnsi="Arial" w:eastAsia="宋体" w:cs="Arial"/>
          <w:color w:val="auto"/>
          <w:szCs w:val="24"/>
          <w:highlight w:val="none"/>
        </w:rPr>
        <w:fldChar w:fldCharType="end"/>
      </w:r>
    </w:p>
    <w:p w14:paraId="2EBEA4CF">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_Toc11946 </w:instrText>
      </w:r>
      <w:r>
        <w:rPr>
          <w:rFonts w:hint="default" w:ascii="Arial" w:hAnsi="Arial" w:eastAsia="宋体" w:cs="Arial"/>
          <w:szCs w:val="24"/>
          <w:highlight w:val="none"/>
        </w:rPr>
        <w:fldChar w:fldCharType="separate"/>
      </w:r>
      <w:r>
        <w:rPr>
          <w:rFonts w:hint="eastAsia" w:ascii="宋体" w:hAnsi="宋体" w:eastAsia="宋体" w:cs="宋体"/>
          <w:bCs/>
          <w:snapToGrid/>
          <w:spacing w:val="0"/>
          <w:szCs w:val="24"/>
          <w:highlight w:val="none"/>
          <w:lang w:val="en-US" w:eastAsia="zh-CN" w:bidi="en-US"/>
        </w:rPr>
        <w:t>十五、水锤仿真系统硬件</w:t>
      </w:r>
      <w:r>
        <w:tab/>
      </w:r>
      <w:r>
        <w:fldChar w:fldCharType="begin"/>
      </w:r>
      <w:r>
        <w:instrText xml:space="preserve"> PAGEREF _Toc11946 \h </w:instrText>
      </w:r>
      <w:r>
        <w:fldChar w:fldCharType="separate"/>
      </w:r>
      <w:r>
        <w:t>186</w:t>
      </w:r>
      <w:r>
        <w:fldChar w:fldCharType="end"/>
      </w:r>
      <w:r>
        <w:rPr>
          <w:rFonts w:hint="default" w:ascii="Arial" w:hAnsi="Arial" w:eastAsia="宋体" w:cs="Arial"/>
          <w:color w:val="auto"/>
          <w:szCs w:val="24"/>
          <w:highlight w:val="none"/>
        </w:rPr>
        <w:fldChar w:fldCharType="end"/>
      </w:r>
    </w:p>
    <w:p w14:paraId="16C99047">
      <w:pPr>
        <w:pStyle w:val="13"/>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_Toc28102 </w:instrText>
      </w:r>
      <w:r>
        <w:rPr>
          <w:rFonts w:hint="default" w:ascii="Arial" w:hAnsi="Arial" w:eastAsia="宋体" w:cs="Arial"/>
          <w:szCs w:val="24"/>
          <w:highlight w:val="none"/>
        </w:rPr>
        <w:fldChar w:fldCharType="separate"/>
      </w:r>
      <w:r>
        <w:rPr>
          <w:rFonts w:hint="eastAsia" w:ascii="宋体" w:hAnsi="宋体" w:eastAsia="宋体" w:cs="宋体"/>
          <w:bCs/>
          <w:szCs w:val="36"/>
          <w:highlight w:val="none"/>
        </w:rPr>
        <w:t>第</w:t>
      </w:r>
      <w:r>
        <w:rPr>
          <w:rFonts w:hint="eastAsia" w:ascii="宋体" w:hAnsi="宋体" w:eastAsia="宋体" w:cs="宋体"/>
          <w:bCs/>
          <w:szCs w:val="36"/>
          <w:highlight w:val="none"/>
          <w:lang w:val="en-US" w:eastAsia="zh-CN"/>
        </w:rPr>
        <w:t>七</w:t>
      </w:r>
      <w:r>
        <w:rPr>
          <w:rFonts w:hint="eastAsia" w:ascii="宋体" w:hAnsi="宋体" w:eastAsia="宋体" w:cs="宋体"/>
          <w:bCs/>
          <w:szCs w:val="36"/>
          <w:highlight w:val="none"/>
        </w:rPr>
        <w:t>章</w:t>
      </w:r>
      <w:r>
        <w:rPr>
          <w:rFonts w:hint="eastAsia" w:ascii="宋体" w:hAnsi="宋体" w:eastAsia="宋体" w:cs="宋体"/>
          <w:bCs/>
          <w:szCs w:val="36"/>
          <w:highlight w:val="none"/>
          <w:lang w:val="en-US" w:eastAsia="zh-CN"/>
        </w:rPr>
        <w:t xml:space="preserve"> </w:t>
      </w:r>
      <w:r>
        <w:rPr>
          <w:rFonts w:hint="eastAsia" w:ascii="宋体" w:hAnsi="宋体" w:eastAsia="宋体" w:cs="宋体"/>
          <w:bCs/>
          <w:szCs w:val="36"/>
          <w:highlight w:val="none"/>
        </w:rPr>
        <w:t xml:space="preserve"> 投标文件格式</w:t>
      </w:r>
      <w:r>
        <w:tab/>
      </w:r>
      <w:r>
        <w:fldChar w:fldCharType="begin"/>
      </w:r>
      <w:r>
        <w:instrText xml:space="preserve"> PAGEREF _Toc28102 \h </w:instrText>
      </w:r>
      <w:r>
        <w:fldChar w:fldCharType="separate"/>
      </w:r>
      <w:r>
        <w:t>190</w:t>
      </w:r>
      <w:r>
        <w:fldChar w:fldCharType="end"/>
      </w:r>
      <w:r>
        <w:rPr>
          <w:rFonts w:hint="default" w:ascii="Arial" w:hAnsi="Arial" w:eastAsia="宋体" w:cs="Arial"/>
          <w:color w:val="auto"/>
          <w:szCs w:val="24"/>
          <w:highlight w:val="none"/>
        </w:rPr>
        <w:fldChar w:fldCharType="end"/>
      </w:r>
    </w:p>
    <w:p w14:paraId="5D3E8756">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_Toc7321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格式一：投标函</w:t>
      </w:r>
      <w:r>
        <w:tab/>
      </w:r>
      <w:r>
        <w:fldChar w:fldCharType="begin"/>
      </w:r>
      <w:r>
        <w:instrText xml:space="preserve"> PAGEREF _Toc7321 \h </w:instrText>
      </w:r>
      <w:r>
        <w:fldChar w:fldCharType="separate"/>
      </w:r>
      <w:r>
        <w:t>191</w:t>
      </w:r>
      <w:r>
        <w:fldChar w:fldCharType="end"/>
      </w:r>
      <w:r>
        <w:rPr>
          <w:rFonts w:hint="default" w:ascii="Arial" w:hAnsi="Arial" w:eastAsia="宋体" w:cs="Arial"/>
          <w:color w:val="auto"/>
          <w:szCs w:val="24"/>
          <w:highlight w:val="none"/>
        </w:rPr>
        <w:fldChar w:fldCharType="end"/>
      </w:r>
    </w:p>
    <w:p w14:paraId="507A478B">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_Toc9498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格式二：法定代表人身份证明</w:t>
      </w:r>
      <w:r>
        <w:tab/>
      </w:r>
      <w:r>
        <w:fldChar w:fldCharType="begin"/>
      </w:r>
      <w:r>
        <w:instrText xml:space="preserve"> PAGEREF _Toc9498 \h </w:instrText>
      </w:r>
      <w:r>
        <w:fldChar w:fldCharType="separate"/>
      </w:r>
      <w:r>
        <w:t>192</w:t>
      </w:r>
      <w:r>
        <w:fldChar w:fldCharType="end"/>
      </w:r>
      <w:r>
        <w:rPr>
          <w:rFonts w:hint="default" w:ascii="Arial" w:hAnsi="Arial" w:eastAsia="宋体" w:cs="Arial"/>
          <w:color w:val="auto"/>
          <w:szCs w:val="24"/>
          <w:highlight w:val="none"/>
        </w:rPr>
        <w:fldChar w:fldCharType="end"/>
      </w:r>
    </w:p>
    <w:p w14:paraId="6268FAA6">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_Toc91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法定代表人身份证复制件</w:t>
      </w:r>
      <w:r>
        <w:tab/>
      </w:r>
      <w:r>
        <w:fldChar w:fldCharType="begin"/>
      </w:r>
      <w:r>
        <w:instrText xml:space="preserve"> PAGEREF _Toc91 \h </w:instrText>
      </w:r>
      <w:r>
        <w:fldChar w:fldCharType="separate"/>
      </w:r>
      <w:r>
        <w:t>192</w:t>
      </w:r>
      <w:r>
        <w:fldChar w:fldCharType="end"/>
      </w:r>
      <w:r>
        <w:rPr>
          <w:rFonts w:hint="default" w:ascii="Arial" w:hAnsi="Arial" w:eastAsia="宋体" w:cs="Arial"/>
          <w:color w:val="auto"/>
          <w:szCs w:val="24"/>
          <w:highlight w:val="none"/>
        </w:rPr>
        <w:fldChar w:fldCharType="end"/>
      </w:r>
    </w:p>
    <w:p w14:paraId="42CE5ED8">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_Toc13626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格式三：法定代表人授权委托书</w:t>
      </w:r>
      <w:r>
        <w:tab/>
      </w:r>
      <w:r>
        <w:fldChar w:fldCharType="begin"/>
      </w:r>
      <w:r>
        <w:instrText xml:space="preserve"> PAGEREF _Toc13626 \h </w:instrText>
      </w:r>
      <w:r>
        <w:fldChar w:fldCharType="separate"/>
      </w:r>
      <w:r>
        <w:t>193</w:t>
      </w:r>
      <w:r>
        <w:fldChar w:fldCharType="end"/>
      </w:r>
      <w:r>
        <w:rPr>
          <w:rFonts w:hint="default" w:ascii="Arial" w:hAnsi="Arial" w:eastAsia="宋体" w:cs="Arial"/>
          <w:color w:val="auto"/>
          <w:szCs w:val="24"/>
          <w:highlight w:val="none"/>
        </w:rPr>
        <w:fldChar w:fldCharType="end"/>
      </w:r>
    </w:p>
    <w:p w14:paraId="5D2C298C">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_Toc5094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格式四：投标报价表</w:t>
      </w:r>
      <w:r>
        <w:tab/>
      </w:r>
      <w:r>
        <w:fldChar w:fldCharType="begin"/>
      </w:r>
      <w:r>
        <w:instrText xml:space="preserve"> PAGEREF _Toc5094 \h </w:instrText>
      </w:r>
      <w:r>
        <w:fldChar w:fldCharType="separate"/>
      </w:r>
      <w:r>
        <w:t>194</w:t>
      </w:r>
      <w:r>
        <w:fldChar w:fldCharType="end"/>
      </w:r>
      <w:r>
        <w:rPr>
          <w:rFonts w:hint="default" w:ascii="Arial" w:hAnsi="Arial" w:eastAsia="宋体" w:cs="Arial"/>
          <w:color w:val="auto"/>
          <w:szCs w:val="24"/>
          <w:highlight w:val="none"/>
        </w:rPr>
        <w:fldChar w:fldCharType="end"/>
      </w:r>
    </w:p>
    <w:p w14:paraId="611709E9">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_Toc19576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格式五：资料一览表</w:t>
      </w:r>
      <w:r>
        <w:tab/>
      </w:r>
      <w:r>
        <w:fldChar w:fldCharType="begin"/>
      </w:r>
      <w:r>
        <w:instrText xml:space="preserve"> PAGEREF _Toc19576 \h </w:instrText>
      </w:r>
      <w:r>
        <w:fldChar w:fldCharType="separate"/>
      </w:r>
      <w:r>
        <w:t>207</w:t>
      </w:r>
      <w:r>
        <w:fldChar w:fldCharType="end"/>
      </w:r>
      <w:r>
        <w:rPr>
          <w:rFonts w:hint="default" w:ascii="Arial" w:hAnsi="Arial" w:eastAsia="宋体" w:cs="Arial"/>
          <w:color w:val="auto"/>
          <w:szCs w:val="24"/>
          <w:highlight w:val="none"/>
        </w:rPr>
        <w:fldChar w:fldCharType="end"/>
      </w:r>
    </w:p>
    <w:p w14:paraId="5450CB17">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_Toc32687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格式六：打分资料一览表</w:t>
      </w:r>
      <w:r>
        <w:tab/>
      </w:r>
      <w:r>
        <w:fldChar w:fldCharType="begin"/>
      </w:r>
      <w:r>
        <w:instrText xml:space="preserve"> PAGEREF _Toc32687 \h </w:instrText>
      </w:r>
      <w:r>
        <w:fldChar w:fldCharType="separate"/>
      </w:r>
      <w:r>
        <w:t>208</w:t>
      </w:r>
      <w:r>
        <w:fldChar w:fldCharType="end"/>
      </w:r>
      <w:r>
        <w:rPr>
          <w:rFonts w:hint="default" w:ascii="Arial" w:hAnsi="Arial" w:eastAsia="宋体" w:cs="Arial"/>
          <w:color w:val="auto"/>
          <w:szCs w:val="24"/>
          <w:highlight w:val="none"/>
        </w:rPr>
        <w:fldChar w:fldCharType="end"/>
      </w:r>
    </w:p>
    <w:p w14:paraId="3524A2EC">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_Toc32568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格式七：</w:t>
      </w:r>
      <w:r>
        <w:rPr>
          <w:rFonts w:hint="eastAsia" w:ascii="宋体" w:hAnsi="宋体" w:eastAsia="宋体" w:cs="宋体"/>
          <w:szCs w:val="24"/>
          <w:highlight w:val="none"/>
          <w:lang w:val="en-US" w:eastAsia="zh-CN"/>
        </w:rPr>
        <w:t>技术方案</w:t>
      </w:r>
      <w:r>
        <w:tab/>
      </w:r>
      <w:r>
        <w:fldChar w:fldCharType="begin"/>
      </w:r>
      <w:r>
        <w:instrText xml:space="preserve"> PAGEREF _Toc32568 \h </w:instrText>
      </w:r>
      <w:r>
        <w:fldChar w:fldCharType="separate"/>
      </w:r>
      <w:r>
        <w:t>209</w:t>
      </w:r>
      <w:r>
        <w:fldChar w:fldCharType="end"/>
      </w:r>
      <w:r>
        <w:rPr>
          <w:rFonts w:hint="default" w:ascii="Arial" w:hAnsi="Arial" w:eastAsia="宋体" w:cs="Arial"/>
          <w:color w:val="auto"/>
          <w:szCs w:val="24"/>
          <w:highlight w:val="none"/>
        </w:rPr>
        <w:fldChar w:fldCharType="end"/>
      </w:r>
    </w:p>
    <w:p w14:paraId="2022596C">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_Toc25921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八</w:t>
      </w:r>
      <w:r>
        <w:rPr>
          <w:rFonts w:hint="eastAsia" w:ascii="宋体" w:hAnsi="宋体" w:eastAsia="宋体" w:cs="宋体"/>
          <w:szCs w:val="24"/>
          <w:highlight w:val="none"/>
        </w:rPr>
        <w:t>：投标人基本情况</w:t>
      </w:r>
      <w:r>
        <w:tab/>
      </w:r>
      <w:r>
        <w:fldChar w:fldCharType="begin"/>
      </w:r>
      <w:r>
        <w:instrText xml:space="preserve"> PAGEREF _Toc25921 \h </w:instrText>
      </w:r>
      <w:r>
        <w:fldChar w:fldCharType="separate"/>
      </w:r>
      <w:r>
        <w:t>211</w:t>
      </w:r>
      <w:r>
        <w:fldChar w:fldCharType="end"/>
      </w:r>
      <w:r>
        <w:rPr>
          <w:rFonts w:hint="default" w:ascii="Arial" w:hAnsi="Arial" w:eastAsia="宋体" w:cs="Arial"/>
          <w:color w:val="auto"/>
          <w:szCs w:val="24"/>
          <w:highlight w:val="none"/>
        </w:rPr>
        <w:fldChar w:fldCharType="end"/>
      </w:r>
    </w:p>
    <w:p w14:paraId="24E158F0">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_Toc13478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九</w:t>
      </w:r>
      <w:r>
        <w:rPr>
          <w:rFonts w:hint="eastAsia" w:ascii="宋体" w:hAnsi="宋体" w:eastAsia="宋体" w:cs="宋体"/>
          <w:szCs w:val="24"/>
          <w:highlight w:val="none"/>
        </w:rPr>
        <w:t>：</w:t>
      </w:r>
      <w:r>
        <w:rPr>
          <w:rFonts w:hint="eastAsia" w:ascii="宋体" w:hAnsi="宋体" w:eastAsia="宋体" w:cs="宋体"/>
          <w:szCs w:val="24"/>
          <w:highlight w:val="none"/>
          <w:lang w:val="en-US" w:eastAsia="zh-CN"/>
        </w:rPr>
        <w:t>投入本项目的设备清单一览表</w:t>
      </w:r>
      <w:r>
        <w:tab/>
      </w:r>
      <w:r>
        <w:fldChar w:fldCharType="begin"/>
      </w:r>
      <w:r>
        <w:instrText xml:space="preserve"> PAGEREF _Toc13478 \h </w:instrText>
      </w:r>
      <w:r>
        <w:fldChar w:fldCharType="separate"/>
      </w:r>
      <w:r>
        <w:t>212</w:t>
      </w:r>
      <w:r>
        <w:fldChar w:fldCharType="end"/>
      </w:r>
      <w:r>
        <w:rPr>
          <w:rFonts w:hint="default" w:ascii="Arial" w:hAnsi="Arial" w:eastAsia="宋体" w:cs="Arial"/>
          <w:color w:val="auto"/>
          <w:szCs w:val="24"/>
          <w:highlight w:val="none"/>
        </w:rPr>
        <w:fldChar w:fldCharType="end"/>
      </w:r>
    </w:p>
    <w:p w14:paraId="48234500">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_Toc29605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十</w:t>
      </w:r>
      <w:r>
        <w:rPr>
          <w:rFonts w:hint="eastAsia" w:ascii="宋体" w:hAnsi="宋体" w:eastAsia="宋体" w:cs="宋体"/>
          <w:szCs w:val="24"/>
          <w:highlight w:val="none"/>
        </w:rPr>
        <w:t>：</w:t>
      </w:r>
      <w:r>
        <w:rPr>
          <w:rFonts w:hint="eastAsia" w:ascii="宋体" w:hAnsi="宋体" w:eastAsia="宋体" w:cs="宋体"/>
          <w:szCs w:val="24"/>
          <w:highlight w:val="none"/>
          <w:lang w:val="en-US" w:eastAsia="zh-CN"/>
        </w:rPr>
        <w:t>近年的类似业绩情况表</w:t>
      </w:r>
      <w:r>
        <w:tab/>
      </w:r>
      <w:r>
        <w:fldChar w:fldCharType="begin"/>
      </w:r>
      <w:r>
        <w:instrText xml:space="preserve"> PAGEREF _Toc29605 \h </w:instrText>
      </w:r>
      <w:r>
        <w:fldChar w:fldCharType="separate"/>
      </w:r>
      <w:r>
        <w:t>213</w:t>
      </w:r>
      <w:r>
        <w:fldChar w:fldCharType="end"/>
      </w:r>
      <w:r>
        <w:rPr>
          <w:rFonts w:hint="default" w:ascii="Arial" w:hAnsi="Arial" w:eastAsia="宋体" w:cs="Arial"/>
          <w:color w:val="auto"/>
          <w:szCs w:val="24"/>
          <w:highlight w:val="none"/>
        </w:rPr>
        <w:fldChar w:fldCharType="end"/>
      </w:r>
    </w:p>
    <w:p w14:paraId="2A3E354B">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_Toc23055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十一</w:t>
      </w:r>
      <w:r>
        <w:rPr>
          <w:rFonts w:hint="eastAsia" w:ascii="宋体" w:hAnsi="宋体" w:eastAsia="宋体" w:cs="宋体"/>
          <w:szCs w:val="24"/>
          <w:highlight w:val="none"/>
        </w:rPr>
        <w:t>：</w:t>
      </w:r>
      <w:r>
        <w:rPr>
          <w:rFonts w:hint="eastAsia" w:ascii="宋体" w:hAnsi="宋体" w:eastAsia="宋体" w:cs="宋体"/>
          <w:szCs w:val="24"/>
          <w:highlight w:val="none"/>
          <w:lang w:val="en-US" w:eastAsia="zh-CN"/>
        </w:rPr>
        <w:t>本项目主要设备品牌选用一览表</w:t>
      </w:r>
      <w:r>
        <w:tab/>
      </w:r>
      <w:r>
        <w:fldChar w:fldCharType="begin"/>
      </w:r>
      <w:r>
        <w:instrText xml:space="preserve"> PAGEREF _Toc23055 \h </w:instrText>
      </w:r>
      <w:r>
        <w:fldChar w:fldCharType="separate"/>
      </w:r>
      <w:r>
        <w:t>214</w:t>
      </w:r>
      <w:r>
        <w:fldChar w:fldCharType="end"/>
      </w:r>
      <w:r>
        <w:rPr>
          <w:rFonts w:hint="default" w:ascii="Arial" w:hAnsi="Arial" w:eastAsia="宋体" w:cs="Arial"/>
          <w:color w:val="auto"/>
          <w:szCs w:val="24"/>
          <w:highlight w:val="none"/>
        </w:rPr>
        <w:fldChar w:fldCharType="end"/>
      </w:r>
    </w:p>
    <w:p w14:paraId="30C4C699">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_Toc31695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十二</w:t>
      </w:r>
      <w:r>
        <w:rPr>
          <w:rFonts w:hint="eastAsia" w:ascii="宋体" w:hAnsi="宋体" w:eastAsia="宋体" w:cs="宋体"/>
          <w:szCs w:val="24"/>
          <w:highlight w:val="none"/>
        </w:rPr>
        <w:t>：</w:t>
      </w:r>
      <w:r>
        <w:rPr>
          <w:rFonts w:hint="eastAsia" w:ascii="宋体" w:hAnsi="宋体" w:eastAsia="宋体" w:cs="宋体"/>
          <w:szCs w:val="24"/>
          <w:highlight w:val="none"/>
          <w:lang w:val="en-US" w:eastAsia="zh-CN"/>
        </w:rPr>
        <w:t>制造商授权书</w:t>
      </w:r>
      <w:r>
        <w:tab/>
      </w:r>
      <w:r>
        <w:fldChar w:fldCharType="begin"/>
      </w:r>
      <w:r>
        <w:instrText xml:space="preserve"> PAGEREF _Toc31695 \h </w:instrText>
      </w:r>
      <w:r>
        <w:fldChar w:fldCharType="separate"/>
      </w:r>
      <w:r>
        <w:t>217</w:t>
      </w:r>
      <w:r>
        <w:fldChar w:fldCharType="end"/>
      </w:r>
      <w:r>
        <w:rPr>
          <w:rFonts w:hint="default" w:ascii="Arial" w:hAnsi="Arial" w:eastAsia="宋体" w:cs="Arial"/>
          <w:color w:val="auto"/>
          <w:szCs w:val="24"/>
          <w:highlight w:val="none"/>
        </w:rPr>
        <w:fldChar w:fldCharType="end"/>
      </w:r>
    </w:p>
    <w:p w14:paraId="06E641A0">
      <w:pPr>
        <w:pStyle w:val="16"/>
        <w:tabs>
          <w:tab w:val="right" w:leader="dot" w:pos="9072"/>
        </w:tabs>
      </w:pPr>
      <w:r>
        <w:rPr>
          <w:rFonts w:hint="default" w:ascii="Arial" w:hAnsi="Arial" w:eastAsia="宋体" w:cs="Arial"/>
          <w:color w:val="auto"/>
          <w:szCs w:val="24"/>
          <w:highlight w:val="none"/>
        </w:rPr>
        <w:fldChar w:fldCharType="begin"/>
      </w:r>
      <w:r>
        <w:rPr>
          <w:rFonts w:hint="default" w:ascii="Arial" w:hAnsi="Arial" w:eastAsia="宋体" w:cs="Arial"/>
          <w:szCs w:val="24"/>
          <w:highlight w:val="none"/>
        </w:rPr>
        <w:instrText xml:space="preserve"> HYPERLINK \l _Toc6662 </w:instrText>
      </w:r>
      <w:r>
        <w:rPr>
          <w:rFonts w:hint="default" w:ascii="Arial" w:hAnsi="Arial" w:eastAsia="宋体" w:cs="Arial"/>
          <w:szCs w:val="24"/>
          <w:highlight w:val="none"/>
        </w:rPr>
        <w:fldChar w:fldCharType="separate"/>
      </w:r>
      <w:r>
        <w:rPr>
          <w:rFonts w:hint="eastAsia" w:ascii="宋体" w:hAnsi="宋体" w:eastAsia="宋体" w:cs="宋体"/>
          <w:szCs w:val="24"/>
          <w:highlight w:val="none"/>
        </w:rPr>
        <w:t>格式</w:t>
      </w:r>
      <w:r>
        <w:rPr>
          <w:rFonts w:hint="eastAsia" w:ascii="宋体" w:hAnsi="宋体" w:eastAsia="宋体" w:cs="宋体"/>
          <w:szCs w:val="24"/>
          <w:highlight w:val="none"/>
          <w:lang w:val="en-US" w:eastAsia="zh-CN"/>
        </w:rPr>
        <w:t>十三</w:t>
      </w:r>
      <w:r>
        <w:rPr>
          <w:rFonts w:hint="eastAsia" w:ascii="宋体" w:hAnsi="宋体" w:eastAsia="宋体" w:cs="宋体"/>
          <w:szCs w:val="24"/>
          <w:highlight w:val="none"/>
        </w:rPr>
        <w:t>：</w:t>
      </w:r>
      <w:r>
        <w:rPr>
          <w:rFonts w:hint="eastAsia" w:ascii="宋体" w:hAnsi="宋体" w:eastAsia="宋体" w:cs="宋体"/>
          <w:szCs w:val="24"/>
          <w:highlight w:val="none"/>
          <w:lang w:val="en-US" w:eastAsia="zh-CN"/>
        </w:rPr>
        <w:t>其他需要递交的资料</w:t>
      </w:r>
      <w:r>
        <w:tab/>
      </w:r>
      <w:r>
        <w:fldChar w:fldCharType="begin"/>
      </w:r>
      <w:r>
        <w:instrText xml:space="preserve"> PAGEREF _Toc6662 \h </w:instrText>
      </w:r>
      <w:r>
        <w:fldChar w:fldCharType="separate"/>
      </w:r>
      <w:r>
        <w:t>218</w:t>
      </w:r>
      <w:r>
        <w:fldChar w:fldCharType="end"/>
      </w:r>
      <w:r>
        <w:rPr>
          <w:rFonts w:hint="default" w:ascii="Arial" w:hAnsi="Arial" w:eastAsia="宋体" w:cs="Arial"/>
          <w:color w:val="auto"/>
          <w:szCs w:val="24"/>
          <w:highlight w:val="none"/>
        </w:rPr>
        <w:fldChar w:fldCharType="end"/>
      </w:r>
    </w:p>
    <w:p w14:paraId="0FDBB321">
      <w:pPr>
        <w:spacing w:before="0" w:beforeLines="0" w:after="0" w:afterLines="0" w:line="240" w:lineRule="auto"/>
        <w:ind w:left="0" w:leftChars="0" w:right="0" w:rightChars="0" w:firstLine="0" w:firstLineChars="0"/>
        <w:jc w:val="center"/>
        <w:rPr>
          <w:rFonts w:ascii="宋体" w:hAnsi="宋体" w:eastAsia="宋体" w:cs="宋体"/>
          <w:color w:val="auto"/>
          <w:sz w:val="31"/>
          <w:szCs w:val="31"/>
          <w:highlight w:val="none"/>
        </w:rPr>
      </w:pPr>
      <w:r>
        <w:rPr>
          <w:rFonts w:hint="default" w:ascii="Arial" w:hAnsi="Arial" w:eastAsia="宋体" w:cs="Arial"/>
          <w:color w:val="auto"/>
          <w:szCs w:val="24"/>
          <w:highlight w:val="none"/>
        </w:rPr>
        <w:fldChar w:fldCharType="end"/>
      </w:r>
      <w:bookmarkStart w:id="18" w:name="_bookmark1"/>
      <w:bookmarkEnd w:id="18"/>
      <w:bookmarkStart w:id="19" w:name="_Toc13634"/>
    </w:p>
    <w:p w14:paraId="563E73E5">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ascii="宋体" w:hAnsi="宋体" w:eastAsia="宋体" w:cs="宋体"/>
          <w:color w:val="auto"/>
          <w:sz w:val="31"/>
          <w:szCs w:val="31"/>
          <w:highlight w:val="none"/>
        </w:rPr>
      </w:pPr>
    </w:p>
    <w:p w14:paraId="3D8BF3FF">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ascii="宋体" w:hAnsi="宋体" w:eastAsia="宋体" w:cs="宋体"/>
          <w:color w:val="auto"/>
          <w:sz w:val="31"/>
          <w:szCs w:val="31"/>
          <w:highlight w:val="none"/>
        </w:rPr>
      </w:pPr>
    </w:p>
    <w:p w14:paraId="4C7B591D">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ascii="宋体" w:hAnsi="宋体" w:eastAsia="宋体" w:cs="宋体"/>
          <w:color w:val="auto"/>
          <w:sz w:val="31"/>
          <w:szCs w:val="31"/>
          <w:highlight w:val="none"/>
        </w:rPr>
        <w:sectPr>
          <w:headerReference r:id="rId3" w:type="default"/>
          <w:pgSz w:w="11906" w:h="16839"/>
          <w:pgMar w:top="1418" w:right="1417" w:bottom="1418" w:left="1417" w:header="0" w:footer="1035" w:gutter="0"/>
          <w:pgNumType w:fmt="decimal"/>
          <w:cols w:space="720" w:num="1"/>
        </w:sectPr>
      </w:pPr>
    </w:p>
    <w:p w14:paraId="7B8EFE7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outlineLvl w:val="9"/>
        <w:rPr>
          <w:rFonts w:ascii="黑体" w:hAnsi="黑体" w:eastAsia="黑体" w:cs="黑体"/>
          <w:color w:val="auto"/>
          <w:spacing w:val="6"/>
          <w:sz w:val="35"/>
          <w:szCs w:val="35"/>
          <w:highlight w:val="none"/>
          <w:lang w:eastAsia="zh-CN"/>
        </w:rPr>
      </w:pPr>
      <w:bookmarkStart w:id="20" w:name="_Toc27622"/>
      <w:bookmarkStart w:id="21" w:name="_Toc1325"/>
      <w:bookmarkStart w:id="22" w:name="_Toc23257"/>
      <w:bookmarkStart w:id="23" w:name="_Toc18872"/>
      <w:bookmarkStart w:id="24" w:name="_Toc9738"/>
      <w:bookmarkStart w:id="25" w:name="_Toc22942"/>
      <w:bookmarkStart w:id="26" w:name="_Toc9650"/>
      <w:bookmarkStart w:id="27" w:name="_Toc9724"/>
      <w:bookmarkStart w:id="28" w:name="_Toc16856"/>
      <w:bookmarkStart w:id="29" w:name="_Toc9663"/>
      <w:bookmarkStart w:id="30" w:name="_Toc12556"/>
      <w:bookmarkStart w:id="31" w:name="_Toc25641"/>
      <w:bookmarkStart w:id="32" w:name="_Toc2406"/>
      <w:bookmarkStart w:id="33" w:name="_Toc12094"/>
      <w:bookmarkStart w:id="34" w:name="_Toc7671"/>
      <w:bookmarkStart w:id="35" w:name="_Toc4481"/>
      <w:bookmarkStart w:id="36" w:name="_Toc25364"/>
      <w:bookmarkStart w:id="37" w:name="_Toc5306"/>
      <w:bookmarkStart w:id="38" w:name="_Toc18287"/>
      <w:bookmarkStart w:id="39" w:name="_Toc1998"/>
      <w:bookmarkStart w:id="40" w:name="_Toc4276"/>
      <w:bookmarkStart w:id="41" w:name="_Toc7801"/>
      <w:bookmarkStart w:id="42" w:name="_Toc26218"/>
      <w:bookmarkStart w:id="43" w:name="_Toc22985"/>
      <w:bookmarkStart w:id="44" w:name="_Toc26357"/>
      <w:bookmarkStart w:id="45" w:name="_Toc5416"/>
      <w:bookmarkStart w:id="46" w:name="_Toc17282"/>
      <w:bookmarkStart w:id="47" w:name="_Toc15474"/>
      <w:bookmarkStart w:id="48" w:name="_Toc17347"/>
      <w:bookmarkStart w:id="49" w:name="_Toc26751"/>
      <w:bookmarkStart w:id="50" w:name="_Toc6313"/>
      <w:bookmarkStart w:id="51" w:name="_Toc29752"/>
      <w:bookmarkStart w:id="52" w:name="_Toc24826"/>
      <w:r>
        <w:rPr>
          <w:rFonts w:ascii="黑体" w:hAnsi="黑体" w:eastAsia="黑体" w:cs="黑体"/>
          <w:color w:val="auto"/>
          <w:spacing w:val="6"/>
          <w:sz w:val="35"/>
          <w:szCs w:val="35"/>
          <w:highlight w:val="none"/>
          <w:lang w:eastAsia="zh-CN"/>
        </w:rPr>
        <w:t>特别说明</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p>
    <w:p w14:paraId="67032D57">
      <w:pPr>
        <w:keepNext w:val="0"/>
        <w:keepLines w:val="0"/>
        <w:pageBreakBefore w:val="0"/>
        <w:widowControl/>
        <w:wordWrap/>
        <w:overflowPunct/>
        <w:autoSpaceDE w:val="0"/>
        <w:autoSpaceDN w:val="0"/>
        <w:bidi w:val="0"/>
        <w:adjustRightInd w:val="0"/>
        <w:snapToGrid w:val="0"/>
        <w:spacing w:line="360" w:lineRule="auto"/>
        <w:ind w:left="0" w:firstLine="500" w:firstLineChars="200"/>
        <w:jc w:val="both"/>
        <w:textAlignment w:val="baseline"/>
        <w:rPr>
          <w:rFonts w:ascii="宋体" w:hAnsi="宋体" w:eastAsia="宋体" w:cs="宋体"/>
          <w:b w:val="0"/>
          <w:bCs w:val="0"/>
          <w:color w:val="auto"/>
          <w:spacing w:val="5"/>
          <w:sz w:val="24"/>
          <w:szCs w:val="24"/>
          <w:highlight w:val="none"/>
          <w:lang w:eastAsia="zh-CN"/>
        </w:rPr>
      </w:pPr>
      <w:r>
        <w:rPr>
          <w:rFonts w:hint="eastAsia" w:ascii="宋体" w:hAnsi="宋体" w:eastAsia="宋体" w:cs="宋体"/>
          <w:b w:val="0"/>
          <w:bCs w:val="0"/>
          <w:color w:val="auto"/>
          <w:spacing w:val="5"/>
          <w:sz w:val="24"/>
          <w:szCs w:val="24"/>
          <w:highlight w:val="none"/>
          <w:lang w:eastAsia="zh-CN"/>
        </w:rPr>
        <w:t>1.资格审查资料仅需提供1个满足资格审查业绩要求的业绩证明材料即可。</w:t>
      </w:r>
    </w:p>
    <w:p w14:paraId="6EF81B56">
      <w:pPr>
        <w:keepNext w:val="0"/>
        <w:keepLines w:val="0"/>
        <w:pageBreakBefore w:val="0"/>
        <w:widowControl/>
        <w:wordWrap/>
        <w:overflowPunct/>
        <w:autoSpaceDE w:val="0"/>
        <w:autoSpaceDN w:val="0"/>
        <w:bidi w:val="0"/>
        <w:adjustRightInd w:val="0"/>
        <w:snapToGrid w:val="0"/>
        <w:spacing w:line="360" w:lineRule="auto"/>
        <w:ind w:left="0" w:firstLine="500" w:firstLineChars="200"/>
        <w:jc w:val="both"/>
        <w:textAlignment w:val="baseline"/>
        <w:rPr>
          <w:rFonts w:ascii="宋体" w:hAnsi="宋体" w:eastAsia="宋体" w:cs="宋体"/>
          <w:b w:val="0"/>
          <w:bCs w:val="0"/>
          <w:color w:val="auto"/>
          <w:spacing w:val="5"/>
          <w:sz w:val="24"/>
          <w:szCs w:val="24"/>
          <w:highlight w:val="none"/>
          <w:lang w:eastAsia="zh-CN"/>
        </w:rPr>
      </w:pPr>
      <w:r>
        <w:rPr>
          <w:rFonts w:hint="eastAsia" w:ascii="宋体" w:hAnsi="宋体" w:eastAsia="宋体" w:cs="宋体"/>
          <w:b w:val="0"/>
          <w:bCs w:val="0"/>
          <w:color w:val="auto"/>
          <w:spacing w:val="5"/>
          <w:sz w:val="24"/>
          <w:szCs w:val="24"/>
          <w:highlight w:val="none"/>
          <w:lang w:val="en-US" w:eastAsia="zh-CN"/>
        </w:rPr>
        <w:t>2</w:t>
      </w:r>
      <w:r>
        <w:rPr>
          <w:rFonts w:hint="eastAsia" w:ascii="宋体" w:hAnsi="宋体" w:eastAsia="宋体" w:cs="宋体"/>
          <w:b w:val="0"/>
          <w:bCs w:val="0"/>
          <w:color w:val="auto"/>
          <w:spacing w:val="5"/>
          <w:sz w:val="24"/>
          <w:szCs w:val="24"/>
          <w:highlight w:val="none"/>
          <w:lang w:eastAsia="zh-CN"/>
        </w:rPr>
        <w:t>.若投标人在资格审查资料中提供多个业绩的，资格审查中提供的所有业绩在技术标业绩评分评审时不予计分。</w:t>
      </w:r>
    </w:p>
    <w:p w14:paraId="4B294209">
      <w:pPr>
        <w:keepNext w:val="0"/>
        <w:keepLines w:val="0"/>
        <w:pageBreakBefore w:val="0"/>
        <w:widowControl/>
        <w:kinsoku/>
        <w:wordWrap/>
        <w:overflowPunct/>
        <w:topLinePunct/>
        <w:autoSpaceDE w:val="0"/>
        <w:autoSpaceDN w:val="0"/>
        <w:bidi w:val="0"/>
        <w:adjustRightInd w:val="0"/>
        <w:snapToGrid w:val="0"/>
        <w:spacing w:after="0" w:line="360" w:lineRule="auto"/>
        <w:ind w:left="0" w:firstLine="500" w:firstLineChars="200"/>
        <w:jc w:val="both"/>
        <w:textAlignment w:val="baseline"/>
        <w:outlineLvl w:val="9"/>
        <w:rPr>
          <w:rFonts w:hint="eastAsia" w:ascii="宋体" w:hAnsi="宋体" w:eastAsia="宋体" w:cs="宋体"/>
          <w:b w:val="0"/>
          <w:bCs w:val="0"/>
          <w:color w:val="auto"/>
          <w:spacing w:val="5"/>
          <w:sz w:val="24"/>
          <w:szCs w:val="24"/>
          <w:highlight w:val="none"/>
          <w:lang w:eastAsia="zh-CN"/>
        </w:rPr>
      </w:pPr>
      <w:bookmarkStart w:id="53" w:name="_Toc16329"/>
      <w:bookmarkStart w:id="54" w:name="_Toc12188"/>
      <w:r>
        <w:rPr>
          <w:rFonts w:hint="eastAsia" w:ascii="宋体" w:hAnsi="宋体" w:eastAsia="宋体" w:cs="宋体"/>
          <w:b w:val="0"/>
          <w:bCs w:val="0"/>
          <w:color w:val="auto"/>
          <w:spacing w:val="5"/>
          <w:sz w:val="24"/>
          <w:szCs w:val="24"/>
          <w:highlight w:val="none"/>
          <w:lang w:val="en-US" w:eastAsia="zh-CN"/>
        </w:rPr>
        <w:t>3</w:t>
      </w:r>
      <w:r>
        <w:rPr>
          <w:rFonts w:hint="eastAsia" w:ascii="宋体" w:hAnsi="宋体" w:eastAsia="宋体" w:cs="宋体"/>
          <w:b w:val="0"/>
          <w:bCs w:val="0"/>
          <w:color w:val="auto"/>
          <w:spacing w:val="5"/>
          <w:sz w:val="24"/>
          <w:szCs w:val="24"/>
          <w:highlight w:val="none"/>
          <w:lang w:eastAsia="zh-CN"/>
        </w:rPr>
        <w:t>.本工程监理单位为长江勘测规划设计研究有限责任公司，根据《建设工程质量管理条例》及其释义，与长江勘测规划设计研究有限责任公司之间存在控股、管理关系，或者参股、联营等可能直接影响公正性的利害关系的公司（单位）不得参与本项目投标。</w:t>
      </w:r>
      <w:bookmarkEnd w:id="53"/>
      <w:bookmarkEnd w:id="54"/>
    </w:p>
    <w:p w14:paraId="1DD3DFF0">
      <w:pPr>
        <w:keepNext w:val="0"/>
        <w:keepLines w:val="0"/>
        <w:pageBreakBefore w:val="0"/>
        <w:widowControl/>
        <w:kinsoku/>
        <w:wordWrap/>
        <w:overflowPunct/>
        <w:topLinePunct/>
        <w:autoSpaceDE w:val="0"/>
        <w:autoSpaceDN w:val="0"/>
        <w:bidi w:val="0"/>
        <w:adjustRightInd w:val="0"/>
        <w:snapToGrid w:val="0"/>
        <w:spacing w:after="0" w:line="360" w:lineRule="auto"/>
        <w:ind w:left="0" w:firstLine="502" w:firstLineChars="200"/>
        <w:jc w:val="both"/>
        <w:textAlignment w:val="baseline"/>
        <w:outlineLvl w:val="9"/>
        <w:rPr>
          <w:rFonts w:hint="eastAsia"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4.技术标投标文件页数不超过600页，目录、封面、封底、附表等计入总页数。</w:t>
      </w:r>
    </w:p>
    <w:p w14:paraId="61CA8D28">
      <w:pPr>
        <w:keepNext w:val="0"/>
        <w:keepLines w:val="0"/>
        <w:pageBreakBefore w:val="0"/>
        <w:widowControl/>
        <w:kinsoku/>
        <w:wordWrap/>
        <w:overflowPunct/>
        <w:topLinePunct/>
        <w:autoSpaceDE w:val="0"/>
        <w:autoSpaceDN w:val="0"/>
        <w:bidi w:val="0"/>
        <w:adjustRightInd w:val="0"/>
        <w:snapToGrid w:val="0"/>
        <w:spacing w:after="0" w:line="360" w:lineRule="auto"/>
        <w:ind w:left="0" w:firstLine="502" w:firstLineChars="200"/>
        <w:jc w:val="both"/>
        <w:textAlignment w:val="baseline"/>
        <w:outlineLvl w:val="9"/>
        <w:rPr>
          <w:rFonts w:hint="default" w:ascii="宋体" w:hAnsi="宋体" w:eastAsia="宋体" w:cs="宋体"/>
          <w:b/>
          <w:bCs/>
          <w:color w:val="auto"/>
          <w:spacing w:val="5"/>
          <w:sz w:val="24"/>
          <w:szCs w:val="24"/>
          <w:highlight w:val="none"/>
          <w:lang w:val="en-US" w:eastAsia="zh-CN"/>
        </w:rPr>
      </w:pPr>
      <w:r>
        <w:rPr>
          <w:rFonts w:hint="eastAsia" w:ascii="宋体" w:hAnsi="宋体" w:eastAsia="宋体" w:cs="宋体"/>
          <w:b/>
          <w:bCs/>
          <w:color w:val="auto"/>
          <w:spacing w:val="5"/>
          <w:sz w:val="24"/>
          <w:szCs w:val="24"/>
          <w:highlight w:val="none"/>
          <w:lang w:val="en-US" w:eastAsia="zh-CN"/>
        </w:rPr>
        <w:t>5.本招标文件中省级及以上检测机构抽检结果同时适用于本招标范围内的国内、外厂商。</w:t>
      </w:r>
    </w:p>
    <w:p w14:paraId="36737A20">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1E200CEF">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2ACC6200">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04D65E22">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529F6882">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4FACE3CD">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2D190830">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5991ED5A">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1CABD3AB">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60AF69BC">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109F4623">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02E7FC0F">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29CDF705">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40B49853">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9"/>
        <w:rPr>
          <w:rFonts w:hint="eastAsia" w:ascii="宋体" w:hAnsi="宋体" w:eastAsia="宋体" w:cs="宋体"/>
          <w:b/>
          <w:bCs/>
          <w:color w:val="auto"/>
          <w:spacing w:val="5"/>
          <w:sz w:val="24"/>
          <w:szCs w:val="24"/>
          <w:highlight w:val="none"/>
          <w:lang w:eastAsia="zh-CN"/>
        </w:rPr>
      </w:pPr>
    </w:p>
    <w:p w14:paraId="4D5AF3DB">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both"/>
        <w:textAlignment w:val="baseline"/>
        <w:outlineLvl w:val="0"/>
        <w:rPr>
          <w:rFonts w:ascii="宋体" w:hAnsi="宋体" w:eastAsia="宋体" w:cs="宋体"/>
          <w:color w:val="auto"/>
          <w:sz w:val="31"/>
          <w:szCs w:val="31"/>
          <w:highlight w:val="none"/>
        </w:rPr>
        <w:sectPr>
          <w:footerReference r:id="rId4" w:type="default"/>
          <w:pgSz w:w="11906" w:h="16839"/>
          <w:pgMar w:top="1418" w:right="1559" w:bottom="1418" w:left="1474" w:header="0" w:footer="1035" w:gutter="0"/>
          <w:pgNumType w:fmt="decimal"/>
          <w:cols w:space="720" w:num="1"/>
        </w:sectPr>
      </w:pPr>
      <w:bookmarkStart w:id="55" w:name="_Toc18090"/>
      <w:bookmarkStart w:id="56" w:name="_Toc24313"/>
      <w:bookmarkStart w:id="57" w:name="_Toc25624"/>
      <w:bookmarkStart w:id="58" w:name="_Toc15414"/>
      <w:bookmarkStart w:id="59" w:name="_Toc19757"/>
      <w:bookmarkStart w:id="60" w:name="_Toc6991"/>
      <w:bookmarkStart w:id="61" w:name="_Toc32117"/>
      <w:bookmarkStart w:id="62" w:name="_Toc615"/>
      <w:bookmarkStart w:id="63" w:name="_Toc4244"/>
      <w:bookmarkStart w:id="64" w:name="_Toc5456"/>
      <w:bookmarkStart w:id="65" w:name="_Toc852"/>
      <w:bookmarkStart w:id="66" w:name="_Toc4511"/>
      <w:bookmarkStart w:id="67" w:name="_Toc18966"/>
      <w:bookmarkStart w:id="68" w:name="_Toc26259"/>
      <w:bookmarkStart w:id="69" w:name="_Toc27590"/>
      <w:bookmarkStart w:id="70" w:name="_Toc18774"/>
    </w:p>
    <w:p w14:paraId="3FC1B525">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ascii="宋体" w:hAnsi="宋体" w:eastAsia="宋体" w:cs="宋体"/>
          <w:b/>
          <w:bCs/>
          <w:color w:val="auto"/>
          <w:sz w:val="36"/>
          <w:szCs w:val="36"/>
          <w:highlight w:val="none"/>
        </w:rPr>
      </w:pPr>
      <w:bookmarkStart w:id="71" w:name="_Toc13978"/>
      <w:bookmarkStart w:id="72" w:name="_Toc2930"/>
      <w:bookmarkStart w:id="73" w:name="_Toc20552"/>
      <w:bookmarkStart w:id="74" w:name="_Toc16655"/>
      <w:bookmarkStart w:id="75" w:name="_Toc32633"/>
      <w:bookmarkStart w:id="76" w:name="_Toc27819"/>
      <w:r>
        <w:rPr>
          <w:rFonts w:ascii="宋体" w:hAnsi="宋体" w:eastAsia="宋体" w:cs="宋体"/>
          <w:b/>
          <w:bCs/>
          <w:color w:val="auto"/>
          <w:sz w:val="36"/>
          <w:szCs w:val="36"/>
          <w:highlight w:val="none"/>
        </w:rPr>
        <w:t>第一章</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招标公告</w:t>
      </w:r>
      <w:bookmarkEnd w:id="19"/>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5E71A26F">
      <w:pPr>
        <w:kinsoku/>
        <w:topLinePunct/>
        <w:autoSpaceDE/>
        <w:autoSpaceDN/>
        <w:spacing w:before="125" w:line="430" w:lineRule="exact"/>
        <w:ind w:left="10" w:right="65" w:firstLine="497"/>
        <w:jc w:val="both"/>
        <w:rPr>
          <w:rFonts w:ascii="宋体" w:hAnsi="宋体" w:eastAsia="宋体" w:cs="宋体"/>
          <w:color w:val="auto"/>
          <w:highlight w:val="none"/>
        </w:rPr>
      </w:pPr>
      <w:r>
        <w:rPr>
          <w:rFonts w:hint="eastAsia" w:ascii="宋体" w:hAnsi="宋体" w:eastAsia="宋体" w:cs="宋体"/>
          <w:color w:val="auto"/>
          <w:sz w:val="23"/>
          <w:szCs w:val="23"/>
          <w:highlight w:val="none"/>
        </w:rPr>
        <w:t xml:space="preserve">                       </w:t>
      </w:r>
      <w:r>
        <w:rPr>
          <w:rFonts w:ascii="宋体" w:hAnsi="宋体" w:eastAsia="宋体" w:cs="宋体"/>
          <w:color w:val="auto"/>
          <w:highlight w:val="none"/>
        </w:rPr>
        <w:t>项目编号：</w:t>
      </w:r>
      <w:r>
        <w:rPr>
          <w:rFonts w:hint="eastAsia" w:ascii="宋体" w:hAnsi="宋体" w:eastAsia="宋体" w:cs="宋体"/>
          <w:color w:val="auto"/>
          <w:highlight w:val="none"/>
          <w:u w:val="single"/>
        </w:rPr>
        <w:t>A3306010720060222001</w:t>
      </w:r>
    </w:p>
    <w:p w14:paraId="77E93521">
      <w:pPr>
        <w:kinsoku/>
        <w:topLinePunct/>
        <w:autoSpaceDE/>
        <w:autoSpaceDN/>
        <w:spacing w:line="430" w:lineRule="exact"/>
        <w:ind w:firstLine="480" w:firstLineChars="200"/>
        <w:jc w:val="both"/>
        <w:rPr>
          <w:rFonts w:hint="eastAsia" w:ascii="宋体" w:hAnsi="宋体" w:eastAsia="宋体" w:cs="宋体"/>
          <w:color w:val="auto"/>
          <w:position w:val="2"/>
          <w:highlight w:val="none"/>
          <w:lang w:eastAsia="zh-CN"/>
        </w:rPr>
      </w:pPr>
      <w:r>
        <w:rPr>
          <w:rFonts w:hint="eastAsia" w:ascii="宋体" w:hAnsi="宋体" w:eastAsia="宋体" w:cs="宋体"/>
          <w:color w:val="auto"/>
          <w:sz w:val="24"/>
          <w:szCs w:val="24"/>
          <w:highlight w:val="none"/>
          <w:u w:val="none"/>
        </w:rPr>
        <w:t>本次招标项目</w:t>
      </w:r>
      <w:r>
        <w:rPr>
          <w:rFonts w:hint="eastAsia" w:ascii="宋体" w:hAnsi="宋体" w:eastAsia="宋体" w:cs="宋体"/>
          <w:color w:val="auto"/>
          <w:sz w:val="24"/>
          <w:szCs w:val="24"/>
          <w:highlight w:val="none"/>
          <w:u w:val="single"/>
        </w:rPr>
        <w:t>浙江镜岭水库工程（项目名称）</w:t>
      </w:r>
      <w:r>
        <w:rPr>
          <w:rFonts w:hint="eastAsia" w:ascii="宋体" w:hAnsi="宋体" w:eastAsia="宋体" w:cs="宋体"/>
          <w:color w:val="auto"/>
          <w:sz w:val="24"/>
          <w:szCs w:val="24"/>
          <w:highlight w:val="none"/>
          <w:u w:val="none"/>
        </w:rPr>
        <w:t>，已由</w:t>
      </w:r>
      <w:r>
        <w:rPr>
          <w:rFonts w:hint="eastAsia" w:ascii="宋体" w:hAnsi="宋体" w:eastAsia="宋体" w:cs="宋体"/>
          <w:color w:val="auto"/>
          <w:sz w:val="24"/>
          <w:szCs w:val="24"/>
          <w:highlight w:val="none"/>
          <w:u w:val="single"/>
        </w:rPr>
        <w:t>水利部（项目审批、核准或备案机关名称）</w:t>
      </w:r>
      <w:r>
        <w:rPr>
          <w:rFonts w:hint="eastAsia" w:ascii="宋体" w:hAnsi="宋体" w:eastAsia="宋体" w:cs="宋体"/>
          <w:color w:val="auto"/>
          <w:sz w:val="24"/>
          <w:szCs w:val="24"/>
          <w:highlight w:val="none"/>
          <w:u w:val="none"/>
        </w:rPr>
        <w:t>以</w:t>
      </w:r>
      <w:r>
        <w:rPr>
          <w:rFonts w:hint="eastAsia" w:ascii="宋体" w:hAnsi="宋体" w:eastAsia="宋体" w:cs="宋体"/>
          <w:color w:val="auto"/>
          <w:sz w:val="24"/>
          <w:szCs w:val="24"/>
          <w:highlight w:val="none"/>
          <w:u w:val="single"/>
        </w:rPr>
        <w:t>浙江镜岭水库工程初步设计报告准予行政许可决定书（水许可决〔2024〕55号）（批文名称及编号）</w:t>
      </w:r>
      <w:r>
        <w:rPr>
          <w:rFonts w:hint="eastAsia" w:ascii="宋体" w:hAnsi="宋体" w:eastAsia="宋体" w:cs="宋体"/>
          <w:color w:val="auto"/>
          <w:sz w:val="24"/>
          <w:szCs w:val="24"/>
          <w:highlight w:val="none"/>
          <w:u w:val="none"/>
        </w:rPr>
        <w:t>批准建设，项目业主为</w:t>
      </w:r>
      <w:r>
        <w:rPr>
          <w:rFonts w:hint="eastAsia" w:ascii="宋体" w:hAnsi="宋体" w:eastAsia="宋体" w:cs="宋体"/>
          <w:color w:val="auto"/>
          <w:sz w:val="24"/>
          <w:szCs w:val="24"/>
          <w:highlight w:val="none"/>
          <w:u w:val="single"/>
        </w:rPr>
        <w:t>浙江镜岭水库有限公司</w:t>
      </w:r>
      <w:r>
        <w:rPr>
          <w:rFonts w:hint="eastAsia" w:ascii="宋体" w:hAnsi="宋体" w:eastAsia="宋体" w:cs="宋体"/>
          <w:color w:val="auto"/>
          <w:sz w:val="24"/>
          <w:szCs w:val="24"/>
          <w:highlight w:val="none"/>
          <w:u w:val="none"/>
        </w:rPr>
        <w:t>，建设资金来自</w:t>
      </w:r>
      <w:r>
        <w:rPr>
          <w:rFonts w:hint="eastAsia" w:ascii="宋体" w:hAnsi="宋体" w:eastAsia="宋体" w:cs="宋体"/>
          <w:color w:val="auto"/>
          <w:sz w:val="24"/>
          <w:szCs w:val="24"/>
          <w:highlight w:val="none"/>
          <w:u w:val="single"/>
        </w:rPr>
        <w:t>政府投资、银行贷款及自筹（资金来源）</w:t>
      </w:r>
      <w:r>
        <w:rPr>
          <w:rFonts w:hint="eastAsia" w:ascii="宋体" w:hAnsi="宋体" w:eastAsia="宋体" w:cs="宋体"/>
          <w:color w:val="auto"/>
          <w:sz w:val="24"/>
          <w:szCs w:val="24"/>
          <w:highlight w:val="none"/>
          <w:u w:val="none"/>
        </w:rPr>
        <w:t>，招标人为</w:t>
      </w:r>
      <w:r>
        <w:rPr>
          <w:rFonts w:hint="eastAsia" w:ascii="宋体" w:hAnsi="宋体" w:eastAsia="宋体" w:cs="宋体"/>
          <w:color w:val="auto"/>
          <w:sz w:val="24"/>
          <w:szCs w:val="24"/>
          <w:highlight w:val="none"/>
          <w:u w:val="single"/>
        </w:rPr>
        <w:t>浙江镜岭水库有限公司</w:t>
      </w:r>
      <w:r>
        <w:rPr>
          <w:rFonts w:hint="eastAsia" w:ascii="宋体" w:hAnsi="宋体" w:eastAsia="宋体" w:cs="宋体"/>
          <w:color w:val="auto"/>
          <w:sz w:val="24"/>
          <w:szCs w:val="24"/>
          <w:highlight w:val="none"/>
          <w:u w:val="none"/>
        </w:rPr>
        <w:t>。项目已具备招标条件，现对该项目的</w:t>
      </w:r>
      <w:r>
        <w:rPr>
          <w:rFonts w:hint="eastAsia" w:ascii="宋体" w:hAnsi="宋体" w:eastAsia="宋体" w:cs="宋体"/>
          <w:color w:val="auto"/>
          <w:sz w:val="24"/>
          <w:szCs w:val="24"/>
          <w:highlight w:val="none"/>
          <w:u w:val="single"/>
        </w:rPr>
        <w:t>阀门等</w:t>
      </w:r>
      <w:r>
        <w:rPr>
          <w:rFonts w:hint="eastAsia" w:ascii="宋体" w:hAnsi="宋体" w:eastAsia="宋体" w:cs="宋体"/>
          <w:color w:val="auto"/>
          <w:sz w:val="24"/>
          <w:szCs w:val="24"/>
          <w:highlight w:val="none"/>
          <w:u w:val="single"/>
          <w:lang w:eastAsia="zh-CN"/>
        </w:rPr>
        <w:t>设备</w:t>
      </w:r>
      <w:r>
        <w:rPr>
          <w:rFonts w:hint="eastAsia" w:ascii="宋体" w:hAnsi="宋体" w:eastAsia="宋体" w:cs="宋体"/>
          <w:color w:val="auto"/>
          <w:sz w:val="24"/>
          <w:szCs w:val="24"/>
          <w:highlight w:val="none"/>
          <w:u w:val="none"/>
        </w:rPr>
        <w:t>货物进行公开招标</w:t>
      </w:r>
      <w:r>
        <w:rPr>
          <w:rFonts w:hint="eastAsia" w:ascii="宋体" w:hAnsi="宋体" w:eastAsia="宋体" w:cs="宋体"/>
          <w:color w:val="auto"/>
          <w:sz w:val="24"/>
          <w:szCs w:val="24"/>
          <w:highlight w:val="none"/>
          <w:u w:val="none"/>
          <w:lang w:eastAsia="zh-CN"/>
        </w:rPr>
        <w:t>。</w:t>
      </w:r>
    </w:p>
    <w:p w14:paraId="503B7F2F">
      <w:pPr>
        <w:tabs>
          <w:tab w:val="left" w:pos="3725"/>
        </w:tabs>
        <w:kinsoku/>
        <w:topLinePunct/>
        <w:autoSpaceDE/>
        <w:autoSpaceDN/>
        <w:spacing w:before="43" w:line="430" w:lineRule="exact"/>
        <w:ind w:left="1" w:firstLine="480" w:firstLineChars="200"/>
        <w:jc w:val="both"/>
        <w:outlineLvl w:val="9"/>
        <w:rPr>
          <w:rFonts w:hint="eastAsia" w:ascii="宋体" w:hAnsi="宋体" w:eastAsia="宋体" w:cs="宋体"/>
          <w:color w:val="auto"/>
          <w:sz w:val="24"/>
          <w:szCs w:val="24"/>
          <w:highlight w:val="none"/>
        </w:rPr>
      </w:pPr>
      <w:bookmarkStart w:id="77" w:name="_Toc20992"/>
      <w:bookmarkStart w:id="78" w:name="_Toc9435"/>
      <w:r>
        <w:rPr>
          <w:rFonts w:hint="eastAsia" w:ascii="宋体" w:hAnsi="宋体" w:eastAsia="宋体" w:cs="宋体"/>
          <w:color w:val="auto"/>
          <w:position w:val="0"/>
          <w:sz w:val="24"/>
          <w:szCs w:val="24"/>
          <w:highlight w:val="none"/>
        </w:rPr>
        <w:t>一、本次招标内容</w:t>
      </w:r>
      <w:bookmarkEnd w:id="77"/>
      <w:bookmarkEnd w:id="78"/>
    </w:p>
    <w:p w14:paraId="4A243834">
      <w:pPr>
        <w:tabs>
          <w:tab w:val="left" w:pos="3725"/>
        </w:tabs>
        <w:kinsoku/>
        <w:topLinePunct/>
        <w:autoSpaceDE/>
        <w:autoSpaceDN/>
        <w:spacing w:before="43" w:line="430" w:lineRule="exact"/>
        <w:ind w:left="0" w:firstLine="480" w:firstLineChars="200"/>
        <w:jc w:val="both"/>
        <w:rPr>
          <w:rFonts w:hint="eastAsia" w:ascii="宋体" w:hAnsi="宋体" w:eastAsia="宋体" w:cs="宋体"/>
          <w:color w:val="auto"/>
          <w:highlight w:val="none"/>
          <w:u w:val="single"/>
          <w:lang w:val="en-US" w:eastAsia="zh-CN"/>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浙江镜岭水库工程汤浦分水口闸室、大王塘支洞、砩前至黄金仲管道段、谷来支洞、石璜江管道段、郯城江管道段的阀门、伸缩节、法兰、起重机、流量计、调节阀状态监测系统传感器、空气阀状态监测系统传感器、水锤仿真系统传感器、水位计等。其中手电两用蝶阀最大直径</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00mm，手电两用偏心半球阀最大直径1400mm，手电两用固定锥形阀最大直径1300mm，活塞式调流阀最大直径1000mm，具体内容详见招标文件、清单及图纸</w:t>
      </w:r>
      <w:r>
        <w:rPr>
          <w:rFonts w:hint="eastAsia" w:ascii="宋体" w:hAnsi="宋体" w:eastAsia="宋体" w:cs="宋体"/>
          <w:color w:val="auto"/>
          <w:sz w:val="24"/>
          <w:szCs w:val="24"/>
          <w:highlight w:val="none"/>
          <w:u w:val="none"/>
          <w:lang w:val="en-US" w:eastAsia="zh-CN"/>
        </w:rPr>
        <w:t>。工作内容包括但不限于：</w:t>
      </w:r>
    </w:p>
    <w:p w14:paraId="50459B46">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负责</w:t>
      </w:r>
      <w:r>
        <w:rPr>
          <w:rFonts w:hint="eastAsia" w:ascii="宋体" w:hAnsi="宋体" w:eastAsia="宋体" w:cs="宋体"/>
          <w:color w:val="auto"/>
          <w:spacing w:val="0"/>
          <w:sz w:val="24"/>
          <w:szCs w:val="24"/>
          <w:highlight w:val="none"/>
          <w:lang w:eastAsia="zh-CN"/>
        </w:rPr>
        <w:t>设备</w:t>
      </w:r>
      <w:r>
        <w:rPr>
          <w:rFonts w:hint="eastAsia" w:ascii="宋体" w:hAnsi="宋体" w:eastAsia="宋体" w:cs="宋体"/>
          <w:color w:val="auto"/>
          <w:spacing w:val="0"/>
          <w:sz w:val="24"/>
          <w:szCs w:val="24"/>
          <w:highlight w:val="none"/>
        </w:rPr>
        <w:t>的设计、采购、制造、厂内组装、出厂试验</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包括但不限于活塞阀模型试验或真机试验，蝶阀CFD计算等</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、包装、保险、运输、报检、设计联络、到货交接验收</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货物运抵指定地点后</w:t>
      </w:r>
      <w:r>
        <w:rPr>
          <w:rFonts w:hint="eastAsia" w:ascii="宋体" w:hAnsi="宋体" w:eastAsia="宋体" w:cs="宋体"/>
          <w:color w:val="auto"/>
          <w:spacing w:val="0"/>
          <w:sz w:val="24"/>
          <w:szCs w:val="24"/>
          <w:highlight w:val="none"/>
          <w:lang w:val="en-US" w:eastAsia="zh-CN"/>
        </w:rPr>
        <w:t>的</w:t>
      </w:r>
      <w:r>
        <w:rPr>
          <w:rFonts w:hint="eastAsia" w:ascii="宋体" w:hAnsi="宋体" w:eastAsia="宋体" w:cs="宋体"/>
          <w:color w:val="auto"/>
          <w:spacing w:val="0"/>
          <w:sz w:val="24"/>
          <w:szCs w:val="24"/>
          <w:highlight w:val="none"/>
        </w:rPr>
        <w:t>指导卸货</w:t>
      </w:r>
      <w:r>
        <w:rPr>
          <w:rFonts w:hint="eastAsia" w:ascii="宋体" w:hAnsi="宋体" w:eastAsia="宋体" w:cs="宋体"/>
          <w:color w:val="auto"/>
          <w:spacing w:val="0"/>
          <w:sz w:val="24"/>
          <w:szCs w:val="24"/>
          <w:highlight w:val="none"/>
          <w:lang w:val="en-US" w:eastAsia="zh-CN"/>
        </w:rPr>
        <w:t>（卸货由安装单位负责）</w:t>
      </w:r>
      <w:r>
        <w:rPr>
          <w:rFonts w:hint="eastAsia" w:ascii="宋体" w:hAnsi="宋体" w:eastAsia="宋体" w:cs="宋体"/>
          <w:color w:val="auto"/>
          <w:spacing w:val="0"/>
          <w:sz w:val="24"/>
          <w:szCs w:val="24"/>
          <w:highlight w:val="none"/>
        </w:rPr>
        <w:t>、安装指导、调试</w:t>
      </w:r>
      <w:r>
        <w:rPr>
          <w:rFonts w:hint="eastAsia" w:ascii="宋体" w:hAnsi="宋体" w:eastAsia="宋体" w:cs="宋体"/>
          <w:color w:val="auto"/>
          <w:spacing w:val="0"/>
          <w:sz w:val="24"/>
          <w:szCs w:val="24"/>
          <w:highlight w:val="none"/>
          <w:lang w:val="en-US" w:eastAsia="zh-CN"/>
        </w:rPr>
        <w:t>指导</w:t>
      </w:r>
      <w:r>
        <w:rPr>
          <w:rFonts w:hint="eastAsia" w:ascii="宋体" w:hAnsi="宋体" w:eastAsia="宋体" w:cs="宋体"/>
          <w:color w:val="auto"/>
          <w:spacing w:val="0"/>
          <w:sz w:val="24"/>
          <w:szCs w:val="24"/>
          <w:highlight w:val="none"/>
        </w:rPr>
        <w:t>、指导调试试机（含联动调试）、参与安装验收、参与试运行、技术指导、交流、培训以及售后服务等；</w:t>
      </w:r>
    </w:p>
    <w:p w14:paraId="3349729D">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2</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卖方应根据相关规范规定、买方档案管理要求向买方提供技术文件（应包括相关的图纸和所供货物中每一套</w:t>
      </w:r>
      <w:r>
        <w:rPr>
          <w:rFonts w:hint="eastAsia" w:ascii="宋体" w:hAnsi="宋体" w:eastAsia="宋体" w:cs="宋体"/>
          <w:color w:val="auto"/>
          <w:spacing w:val="0"/>
          <w:sz w:val="24"/>
          <w:szCs w:val="24"/>
          <w:highlight w:val="none"/>
          <w:lang w:eastAsia="zh-CN"/>
        </w:rPr>
        <w:t>设备</w:t>
      </w:r>
      <w:r>
        <w:rPr>
          <w:rFonts w:hint="eastAsia" w:ascii="宋体" w:hAnsi="宋体" w:eastAsia="宋体" w:cs="宋体"/>
          <w:color w:val="auto"/>
          <w:spacing w:val="0"/>
          <w:sz w:val="24"/>
          <w:szCs w:val="24"/>
          <w:highlight w:val="none"/>
        </w:rPr>
        <w:t>的技术文件，例如：产品目录、图纸、操作手册、使用说明、维护手册和服务指南等）；</w:t>
      </w:r>
    </w:p>
    <w:p w14:paraId="737B00C1">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3</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负责提供设备安装指导、调试</w:t>
      </w:r>
      <w:r>
        <w:rPr>
          <w:rFonts w:hint="eastAsia" w:ascii="宋体" w:hAnsi="宋体" w:eastAsia="宋体" w:cs="宋体"/>
          <w:color w:val="auto"/>
          <w:spacing w:val="0"/>
          <w:sz w:val="24"/>
          <w:szCs w:val="24"/>
          <w:highlight w:val="none"/>
          <w:lang w:val="en-US" w:eastAsia="zh-CN"/>
        </w:rPr>
        <w:t>指导</w:t>
      </w:r>
      <w:r>
        <w:rPr>
          <w:rFonts w:hint="eastAsia" w:ascii="宋体" w:hAnsi="宋体" w:eastAsia="宋体" w:cs="宋体"/>
          <w:color w:val="auto"/>
          <w:spacing w:val="0"/>
          <w:sz w:val="24"/>
          <w:szCs w:val="24"/>
          <w:highlight w:val="none"/>
        </w:rPr>
        <w:t>和验收所需的专用工具和辅助材料，提供设备、附件、专用工具、备品备件、润滑油、设备初始运行所需的油脂等；</w:t>
      </w:r>
    </w:p>
    <w:p w14:paraId="72799AEF">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4</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卖方负责对买方人员进行技术指导、技术交流</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同时培训买方的技术管理及运行、维护、检修等人员；</w:t>
      </w:r>
    </w:p>
    <w:p w14:paraId="06A8D498">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5</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本招标文件中没有专门提及的设备，但属整套设备所必需的，卖方仍应提供，以保证货物及功能的完整性；</w:t>
      </w:r>
    </w:p>
    <w:p w14:paraId="7ACD01EC">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6</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卖方应负责其所供设备与相关设备的协调配合，并提供有关的技术资料，使之成为一个完整的整体；</w:t>
      </w:r>
    </w:p>
    <w:p w14:paraId="185848B3">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卖方应按合同规定的方式和方法及时向买方传递合同设备的设计、制造、试验、检验、运输等方面的信息。这些信息应同时通过书面和电子邮件向买方传递。卖方使用电子邮件传递的这些信息仅供买方在执行合同时参考；</w:t>
      </w:r>
    </w:p>
    <w:p w14:paraId="6B0C9690">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(8)</w:t>
      </w:r>
      <w:r>
        <w:rPr>
          <w:rFonts w:hint="eastAsia" w:ascii="宋体" w:hAnsi="宋体" w:eastAsia="宋体" w:cs="宋体"/>
          <w:color w:val="auto"/>
          <w:spacing w:val="0"/>
          <w:sz w:val="24"/>
          <w:szCs w:val="24"/>
          <w:highlight w:val="none"/>
        </w:rPr>
        <w:t>卖方应按买方要求派遣数量足够并且具有5年以上相关专业工作经验的技术人员到浙江镜岭水库工程项目现场，对合同设备有关的制造、保管、安装、调试、现场试验、试运行、验收试验和投入运行阶段全程进行技术指导和监督，并负相应的责任</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如为外资品牌</w:t>
      </w:r>
      <w:r>
        <w:rPr>
          <w:rFonts w:hint="eastAsia" w:ascii="宋体" w:hAnsi="宋体" w:eastAsia="宋体" w:cs="宋体"/>
          <w:color w:val="auto"/>
          <w:spacing w:val="0"/>
          <w:sz w:val="24"/>
          <w:szCs w:val="24"/>
          <w:highlight w:val="none"/>
          <w:lang w:val="en-US" w:eastAsia="zh-CN"/>
        </w:rPr>
        <w:t>设备</w:t>
      </w:r>
      <w:r>
        <w:rPr>
          <w:rFonts w:hint="eastAsia" w:ascii="宋体" w:hAnsi="宋体" w:eastAsia="宋体" w:cs="宋体"/>
          <w:color w:val="auto"/>
          <w:spacing w:val="0"/>
          <w:sz w:val="24"/>
          <w:szCs w:val="24"/>
          <w:highlight w:val="none"/>
        </w:rPr>
        <w:t>，进行技术指导和监督的人员应为从生产（制造）商公司总部派遣的人员</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如为外方人员，</w:t>
      </w:r>
      <w:r>
        <w:rPr>
          <w:rFonts w:hint="eastAsia" w:ascii="宋体" w:hAnsi="宋体" w:eastAsia="宋体" w:cs="宋体"/>
          <w:color w:val="auto"/>
          <w:spacing w:val="0"/>
          <w:sz w:val="24"/>
          <w:szCs w:val="24"/>
          <w:highlight w:val="none"/>
        </w:rPr>
        <w:t>卖方需配备必要数量的翻译人员；</w:t>
      </w:r>
    </w:p>
    <w:p w14:paraId="0A2B99B3">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(9)</w:t>
      </w:r>
      <w:r>
        <w:rPr>
          <w:rFonts w:hint="eastAsia" w:ascii="宋体" w:hAnsi="宋体" w:eastAsia="宋体" w:cs="宋体"/>
          <w:color w:val="auto"/>
          <w:spacing w:val="0"/>
          <w:sz w:val="24"/>
          <w:szCs w:val="24"/>
          <w:highlight w:val="none"/>
        </w:rPr>
        <w:t>在设计联络结束后2个月内，卖方须提供详细的备品备件长期供应政策和方案，包括优惠政策、各</w:t>
      </w:r>
      <w:r>
        <w:rPr>
          <w:rFonts w:hint="eastAsia" w:ascii="宋体" w:hAnsi="宋体" w:eastAsia="宋体" w:cs="宋体"/>
          <w:color w:val="auto"/>
          <w:spacing w:val="0"/>
          <w:sz w:val="24"/>
          <w:szCs w:val="24"/>
          <w:highlight w:val="none"/>
          <w:lang w:val="en-US" w:eastAsia="zh-CN"/>
        </w:rPr>
        <w:t>备品</w:t>
      </w:r>
      <w:r>
        <w:rPr>
          <w:rFonts w:hint="eastAsia" w:ascii="宋体" w:hAnsi="宋体" w:eastAsia="宋体" w:cs="宋体"/>
          <w:color w:val="auto"/>
          <w:spacing w:val="0"/>
          <w:sz w:val="24"/>
          <w:szCs w:val="24"/>
          <w:highlight w:val="none"/>
        </w:rPr>
        <w:t>备件厂家地点及联系方式、供应时间保障等；</w:t>
      </w:r>
    </w:p>
    <w:p w14:paraId="0025B2DE">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0)</w:t>
      </w:r>
      <w:r>
        <w:rPr>
          <w:rFonts w:hint="eastAsia" w:ascii="宋体" w:hAnsi="宋体" w:eastAsia="宋体" w:cs="宋体"/>
          <w:color w:val="auto"/>
          <w:spacing w:val="0"/>
          <w:sz w:val="24"/>
          <w:szCs w:val="24"/>
          <w:highlight w:val="none"/>
        </w:rPr>
        <w:t>在本合同有效期内，卖方负责在工厂或仓库保管、存放本合同规定的备品备件，并保证备品备件完好。在买方要求使用时，应在规定的时间内将备品备件送达买方指定地点；</w:t>
      </w:r>
    </w:p>
    <w:p w14:paraId="5C29AFAC">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1)</w:t>
      </w:r>
      <w:r>
        <w:rPr>
          <w:rFonts w:hint="eastAsia" w:ascii="宋体" w:hAnsi="宋体" w:eastAsia="宋体" w:cs="宋体"/>
          <w:color w:val="auto"/>
          <w:spacing w:val="0"/>
          <w:sz w:val="24"/>
          <w:szCs w:val="24"/>
          <w:highlight w:val="none"/>
        </w:rPr>
        <w:t>在本合同有效期内，卖方有义务向买方免费提供与本合同设备有关的最新运行经验</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技术和安全方面的改进资料，提供这些资料应不构成任何专利转让和技术转让；</w:t>
      </w:r>
    </w:p>
    <w:p w14:paraId="408C5DD5">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2)</w:t>
      </w:r>
      <w:r>
        <w:rPr>
          <w:rFonts w:hint="eastAsia" w:ascii="宋体" w:hAnsi="宋体" w:eastAsia="宋体" w:cs="宋体"/>
          <w:color w:val="auto"/>
          <w:spacing w:val="0"/>
          <w:sz w:val="24"/>
          <w:szCs w:val="24"/>
          <w:highlight w:val="none"/>
        </w:rPr>
        <w:t>卖方负责协调</w:t>
      </w:r>
      <w:r>
        <w:rPr>
          <w:rFonts w:hint="eastAsia" w:ascii="宋体" w:hAnsi="宋体" w:eastAsia="宋体" w:cs="宋体"/>
          <w:strike w:val="0"/>
          <w:color w:val="auto"/>
          <w:spacing w:val="0"/>
          <w:sz w:val="24"/>
          <w:szCs w:val="24"/>
          <w:highlight w:val="none"/>
          <w:lang w:val="en-US" w:eastAsia="zh-CN"/>
        </w:rPr>
        <w:t>不同生产</w:t>
      </w:r>
      <w:r>
        <w:rPr>
          <w:rFonts w:hint="eastAsia" w:ascii="宋体" w:hAnsi="宋体" w:eastAsia="宋体" w:cs="宋体"/>
          <w:color w:val="auto"/>
          <w:spacing w:val="0"/>
          <w:sz w:val="24"/>
          <w:szCs w:val="24"/>
          <w:highlight w:val="none"/>
        </w:rPr>
        <w:t>制造厂商</w:t>
      </w:r>
      <w:r>
        <w:rPr>
          <w:rFonts w:hint="eastAsia" w:ascii="宋体" w:hAnsi="宋体" w:eastAsia="宋体" w:cs="宋体"/>
          <w:color w:val="auto"/>
          <w:spacing w:val="0"/>
          <w:sz w:val="24"/>
          <w:szCs w:val="24"/>
          <w:highlight w:val="none"/>
          <w:lang w:val="en-US" w:eastAsia="zh-CN"/>
        </w:rPr>
        <w:t>设备</w:t>
      </w:r>
      <w:r>
        <w:rPr>
          <w:rFonts w:hint="eastAsia" w:ascii="宋体" w:hAnsi="宋体" w:eastAsia="宋体" w:cs="宋体"/>
          <w:color w:val="auto"/>
          <w:spacing w:val="0"/>
          <w:sz w:val="24"/>
          <w:szCs w:val="24"/>
          <w:highlight w:val="none"/>
        </w:rPr>
        <w:t>的接口工作，包括供货、性能参数匹配和本合同项目管理等；</w:t>
      </w:r>
    </w:p>
    <w:p w14:paraId="72AC1BEC">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3)</w:t>
      </w:r>
      <w:r>
        <w:rPr>
          <w:rFonts w:hint="eastAsia" w:ascii="宋体" w:hAnsi="宋体" w:eastAsia="宋体" w:cs="宋体"/>
          <w:color w:val="auto"/>
          <w:spacing w:val="0"/>
          <w:sz w:val="24"/>
          <w:szCs w:val="24"/>
          <w:highlight w:val="none"/>
        </w:rPr>
        <w:t>卖方负责对合同设备设计、制造、安装、调试、试运行中有关系统和部件接口的协调；</w:t>
      </w:r>
    </w:p>
    <w:p w14:paraId="036D10E6">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4)</w:t>
      </w:r>
      <w:r>
        <w:rPr>
          <w:rFonts w:hint="eastAsia" w:ascii="宋体" w:hAnsi="宋体" w:eastAsia="宋体" w:cs="宋体"/>
          <w:color w:val="auto"/>
          <w:spacing w:val="0"/>
          <w:sz w:val="24"/>
          <w:szCs w:val="24"/>
          <w:highlight w:val="none"/>
        </w:rPr>
        <w:t>本合同有效期内，合同设备大修期间，卖方应派遣技术人员到现场指导；</w:t>
      </w:r>
    </w:p>
    <w:p w14:paraId="2DC91FBA">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5)本合同范围内的阀门除铸件经买方同意后允许外购外，其余工序均须原厂进行，禁止代加工</w:t>
      </w:r>
      <w:r>
        <w:rPr>
          <w:rFonts w:hint="eastAsia" w:ascii="宋体" w:hAnsi="宋体" w:eastAsia="宋体" w:cs="宋体"/>
          <w:color w:val="auto"/>
          <w:spacing w:val="0"/>
          <w:sz w:val="24"/>
          <w:szCs w:val="24"/>
          <w:highlight w:val="none"/>
          <w:lang w:eastAsia="zh-CN"/>
        </w:rPr>
        <w:t>；</w:t>
      </w:r>
    </w:p>
    <w:p w14:paraId="7CFD82B5">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rPr>
        <w:t>卖方不得将合同转让，仅允许将合同技术条款规定品牌的设备、零部件分包给相应的品牌制造厂，其它部分无论以何种理由，均不得再行分包</w:t>
      </w:r>
      <w:r>
        <w:rPr>
          <w:rFonts w:hint="eastAsia" w:ascii="宋体" w:hAnsi="宋体" w:eastAsia="宋体" w:cs="宋体"/>
          <w:color w:val="auto"/>
          <w:spacing w:val="0"/>
          <w:sz w:val="24"/>
          <w:szCs w:val="24"/>
          <w:highlight w:val="none"/>
          <w:lang w:eastAsia="zh-CN"/>
        </w:rPr>
        <w:t>；</w:t>
      </w:r>
    </w:p>
    <w:p w14:paraId="39F80CE6">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1</w:t>
      </w:r>
      <w:r>
        <w:rPr>
          <w:rFonts w:hint="eastAsia" w:ascii="宋体" w:hAnsi="宋体" w:eastAsia="宋体" w:cs="宋体"/>
          <w:color w:val="auto"/>
          <w:spacing w:val="0"/>
          <w:sz w:val="24"/>
          <w:szCs w:val="24"/>
          <w:highlight w:val="none"/>
          <w:lang w:val="en-US" w:eastAsia="zh-CN"/>
        </w:rPr>
        <w:t>7)</w:t>
      </w:r>
      <w:r>
        <w:rPr>
          <w:rFonts w:hint="eastAsia" w:ascii="宋体" w:hAnsi="宋体" w:eastAsia="宋体" w:cs="宋体"/>
          <w:color w:val="auto"/>
          <w:spacing w:val="0"/>
          <w:sz w:val="24"/>
          <w:szCs w:val="24"/>
          <w:highlight w:val="none"/>
        </w:rPr>
        <w:t>卖</w:t>
      </w:r>
      <w:r>
        <w:rPr>
          <w:rFonts w:hint="eastAsia" w:ascii="宋体" w:hAnsi="宋体" w:eastAsia="宋体" w:cs="宋体"/>
          <w:color w:val="auto"/>
          <w:spacing w:val="0"/>
          <w:sz w:val="24"/>
          <w:szCs w:val="24"/>
          <w:highlight w:val="none"/>
          <w:lang w:val="en-US" w:eastAsia="zh-CN"/>
        </w:rPr>
        <w:t>方</w:t>
      </w:r>
      <w:r>
        <w:rPr>
          <w:rFonts w:hint="eastAsia" w:ascii="宋体" w:hAnsi="宋体" w:eastAsia="宋体" w:cs="宋体"/>
          <w:color w:val="auto"/>
          <w:spacing w:val="0"/>
          <w:sz w:val="24"/>
          <w:szCs w:val="24"/>
          <w:highlight w:val="none"/>
        </w:rPr>
        <w:t>须提供原产地证明、装船单（如是进口产品）、报关单（如是进口产品）</w:t>
      </w:r>
      <w:r>
        <w:rPr>
          <w:rFonts w:hint="eastAsia" w:ascii="宋体" w:hAnsi="宋体" w:eastAsia="宋体" w:cs="宋体"/>
          <w:color w:val="auto"/>
          <w:spacing w:val="0"/>
          <w:sz w:val="24"/>
          <w:szCs w:val="24"/>
          <w:highlight w:val="none"/>
          <w:lang w:eastAsia="zh-CN"/>
        </w:rPr>
        <w:t>；</w:t>
      </w:r>
    </w:p>
    <w:p w14:paraId="5D6C2AED">
      <w:pPr>
        <w:pStyle w:val="21"/>
        <w:kinsoku/>
        <w:topLinePunct/>
        <w:autoSpaceDE/>
        <w:autoSpaceDN/>
        <w:spacing w:line="430" w:lineRule="exact"/>
        <w:ind w:firstLine="480" w:firstLineChars="200"/>
        <w:jc w:val="both"/>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val="en-US" w:eastAsia="zh-CN"/>
        </w:rPr>
        <w:t>(18)</w:t>
      </w:r>
      <w:r>
        <w:rPr>
          <w:rFonts w:hint="eastAsia" w:ascii="宋体" w:hAnsi="宋体" w:eastAsia="宋体" w:cs="宋体"/>
          <w:color w:val="auto"/>
          <w:spacing w:val="0"/>
          <w:sz w:val="24"/>
          <w:szCs w:val="24"/>
          <w:highlight w:val="none"/>
        </w:rPr>
        <w:t>质保期内的所有备品备件、专用工具均包含在本次设备的单价中，买方不再另行支付</w:t>
      </w:r>
      <w:r>
        <w:rPr>
          <w:rFonts w:hint="eastAsia" w:ascii="宋体" w:hAnsi="宋体" w:eastAsia="宋体" w:cs="宋体"/>
          <w:color w:val="auto"/>
          <w:spacing w:val="0"/>
          <w:sz w:val="24"/>
          <w:szCs w:val="24"/>
          <w:highlight w:val="none"/>
          <w:lang w:eastAsia="zh-CN"/>
        </w:rPr>
        <w:t>；</w:t>
      </w:r>
    </w:p>
    <w:p w14:paraId="1D47EF0A">
      <w:pPr>
        <w:pStyle w:val="21"/>
        <w:kinsoku/>
        <w:topLinePunct/>
        <w:autoSpaceDE/>
        <w:autoSpaceDN/>
        <w:spacing w:line="430" w:lineRule="exact"/>
        <w:ind w:firstLine="480" w:firstLineChars="200"/>
        <w:jc w:val="both"/>
        <w:rPr>
          <w:rFonts w:hint="eastAsia" w:ascii="宋体" w:hAnsi="宋体" w:eastAsia="Arial"/>
          <w:color w:val="auto"/>
          <w:spacing w:val="0"/>
          <w:sz w:val="21"/>
          <w:szCs w:val="21"/>
          <w:highlight w:val="none"/>
          <w:lang w:val="en-US" w:eastAsia="zh-CN"/>
        </w:rPr>
      </w:pPr>
      <w:r>
        <w:rPr>
          <w:rFonts w:hint="eastAsia" w:ascii="宋体" w:hAnsi="宋体" w:eastAsia="宋体" w:cs="宋体"/>
          <w:color w:val="auto"/>
          <w:spacing w:val="0"/>
          <w:sz w:val="24"/>
          <w:szCs w:val="24"/>
          <w:highlight w:val="none"/>
          <w:lang w:val="en-US" w:eastAsia="zh-CN"/>
        </w:rPr>
        <w:t>(19)</w:t>
      </w:r>
      <w:r>
        <w:rPr>
          <w:rFonts w:hint="eastAsia" w:ascii="宋体" w:hAnsi="宋体" w:eastAsia="宋体" w:cs="宋体"/>
          <w:color w:val="auto"/>
          <w:spacing w:val="0"/>
          <w:sz w:val="24"/>
          <w:szCs w:val="24"/>
          <w:highlight w:val="none"/>
        </w:rPr>
        <w:t>任何上述各项中未列上</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列明）</w:t>
      </w:r>
      <w:r>
        <w:rPr>
          <w:rFonts w:hint="eastAsia" w:ascii="宋体" w:hAnsi="宋体" w:eastAsia="宋体" w:cs="宋体"/>
          <w:color w:val="auto"/>
          <w:spacing w:val="0"/>
          <w:sz w:val="24"/>
          <w:szCs w:val="24"/>
          <w:highlight w:val="none"/>
        </w:rPr>
        <w:t>，但属整套设备及功能所必需的，亦属卖方供货范围，其费用包括在设备</w:t>
      </w:r>
      <w:r>
        <w:rPr>
          <w:rFonts w:hint="eastAsia" w:ascii="宋体" w:hAnsi="宋体" w:eastAsia="宋体" w:cs="宋体"/>
          <w:color w:val="auto"/>
          <w:spacing w:val="0"/>
          <w:sz w:val="24"/>
          <w:szCs w:val="24"/>
          <w:highlight w:val="none"/>
          <w:lang w:val="en-US" w:eastAsia="zh-CN"/>
        </w:rPr>
        <w:t>单</w:t>
      </w:r>
      <w:r>
        <w:rPr>
          <w:rFonts w:hint="eastAsia" w:ascii="宋体" w:hAnsi="宋体" w:eastAsia="宋体" w:cs="宋体"/>
          <w:color w:val="auto"/>
          <w:spacing w:val="0"/>
          <w:sz w:val="24"/>
          <w:szCs w:val="24"/>
          <w:highlight w:val="none"/>
        </w:rPr>
        <w:t>价中。投标人的投标价格应包括完成所有上述工作所需的全部费用</w:t>
      </w:r>
      <w:r>
        <w:rPr>
          <w:rFonts w:hint="eastAsia" w:ascii="宋体" w:hAnsi="宋体" w:eastAsia="Arial" w:cs="Arial"/>
          <w:color w:val="auto"/>
          <w:spacing w:val="0"/>
          <w:sz w:val="21"/>
          <w:szCs w:val="21"/>
          <w:highlight w:val="none"/>
        </w:rPr>
        <w:t>。</w:t>
      </w:r>
    </w:p>
    <w:p w14:paraId="262CEC45">
      <w:pPr>
        <w:tabs>
          <w:tab w:val="left" w:pos="3725"/>
        </w:tabs>
        <w:kinsoku/>
        <w:topLinePunct/>
        <w:autoSpaceDE/>
        <w:autoSpaceDN/>
        <w:spacing w:before="43" w:line="430" w:lineRule="exact"/>
        <w:ind w:left="1" w:firstLine="480" w:firstLineChars="200"/>
        <w:jc w:val="both"/>
        <w:rPr>
          <w:rFonts w:ascii="宋体" w:hAnsi="宋体" w:eastAsia="宋体" w:cs="宋体"/>
          <w:color w:val="auto"/>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尽可能详细说明本次招标项目的招标范围、内容、规模、采购要求等</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w:t>
      </w:r>
      <w:r>
        <w:rPr>
          <w:rFonts w:hint="eastAsia" w:ascii="宋体" w:hAnsi="宋体" w:eastAsia="宋体" w:cs="宋体"/>
          <w:color w:val="auto"/>
          <w:sz w:val="24"/>
          <w:szCs w:val="24"/>
          <w:highlight w:val="none"/>
        </w:rPr>
        <w:t>本次招标范围内的工程□估算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概算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造价</w:t>
      </w:r>
      <w:r>
        <w:rPr>
          <w:rFonts w:hint="eastAsia" w:ascii="宋体" w:hAnsi="宋体" w:eastAsia="宋体" w:cs="宋体"/>
          <w:color w:val="auto"/>
          <w:sz w:val="24"/>
          <w:szCs w:val="24"/>
          <w:highlight w:val="none"/>
          <w:lang w:val="en-US" w:eastAsia="zh-CN"/>
        </w:rPr>
        <w:t>2700</w:t>
      </w:r>
      <w:r>
        <w:rPr>
          <w:rFonts w:hint="eastAsia" w:ascii="宋体" w:hAnsi="宋体" w:eastAsia="宋体" w:cs="宋体"/>
          <w:color w:val="auto"/>
          <w:sz w:val="24"/>
          <w:szCs w:val="24"/>
          <w:highlight w:val="none"/>
        </w:rPr>
        <w:t>万元，采用投标资格后审方式招标。</w:t>
      </w:r>
    </w:p>
    <w:p w14:paraId="1D6E3328">
      <w:pPr>
        <w:tabs>
          <w:tab w:val="left" w:pos="3725"/>
        </w:tabs>
        <w:kinsoku/>
        <w:topLinePunct/>
        <w:autoSpaceDE/>
        <w:autoSpaceDN/>
        <w:spacing w:before="43" w:line="430" w:lineRule="exact"/>
        <w:ind w:left="1"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1.2是否属于政府采购工程</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□是</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w:t>
      </w:r>
    </w:p>
    <w:p w14:paraId="0D91AE35">
      <w:pPr>
        <w:tabs>
          <w:tab w:val="left" w:pos="3725"/>
        </w:tabs>
        <w:kinsoku/>
        <w:topLinePunct/>
        <w:autoSpaceDE/>
        <w:autoSpaceDN/>
        <w:spacing w:before="43" w:line="430" w:lineRule="exact"/>
        <w:ind w:left="1" w:firstLine="480" w:firstLineChars="200"/>
        <w:jc w:val="both"/>
        <w:rPr>
          <w:rFonts w:hint="eastAsia" w:ascii="宋体" w:hAnsi="宋体"/>
          <w:color w:val="auto"/>
          <w:highlight w:val="none"/>
        </w:rPr>
      </w:pPr>
      <w:r>
        <w:rPr>
          <w:rFonts w:hint="eastAsia" w:ascii="宋体" w:hAnsi="宋体" w:eastAsia="宋体" w:cs="宋体"/>
          <w:color w:val="auto"/>
          <w:sz w:val="24"/>
          <w:szCs w:val="24"/>
          <w:highlight w:val="none"/>
        </w:rPr>
        <w:t>1.3是否专门面向中小企业预留</w:t>
      </w:r>
    </w:p>
    <w:p w14:paraId="2A42CE3F">
      <w:pPr>
        <w:tabs>
          <w:tab w:val="left" w:pos="3725"/>
        </w:tabs>
        <w:kinsoku/>
        <w:topLinePunct/>
        <w:autoSpaceDE/>
        <w:autoSpaceDN/>
        <w:spacing w:before="43" w:line="430" w:lineRule="exact"/>
        <w:ind w:left="1"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是</w:t>
      </w:r>
    </w:p>
    <w:p w14:paraId="67C3CD42">
      <w:pPr>
        <w:tabs>
          <w:tab w:val="left" w:pos="3725"/>
        </w:tabs>
        <w:kinsoku/>
        <w:topLinePunct/>
        <w:autoSpaceDE/>
        <w:autoSpaceDN/>
        <w:spacing w:before="43" w:line="430" w:lineRule="exact"/>
        <w:ind w:left="1"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52"/>
      </w:r>
      <w:r>
        <w:rPr>
          <w:rFonts w:hint="eastAsia" w:ascii="宋体" w:hAnsi="宋体" w:eastAsia="宋体" w:cs="宋体"/>
          <w:color w:val="auto"/>
          <w:sz w:val="24"/>
          <w:szCs w:val="24"/>
          <w:highlight w:val="none"/>
        </w:rPr>
        <w:t>否（本项目不属于政府采购项目，不适用浙江省财政厅等6部门《关于政府采购工程落实支持中小企业发展政策的通知》等文件）</w:t>
      </w:r>
    </w:p>
    <w:p w14:paraId="1ACDCB12">
      <w:pPr>
        <w:tabs>
          <w:tab w:val="left" w:pos="3725"/>
        </w:tabs>
        <w:kinsoku/>
        <w:topLinePunct/>
        <w:autoSpaceDE/>
        <w:autoSpaceDN/>
        <w:spacing w:before="43" w:line="430" w:lineRule="exact"/>
        <w:ind w:left="1" w:firstLine="480" w:firstLineChars="20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1.4专门面向中小企业预留的实施方式</w:t>
      </w:r>
    </w:p>
    <w:p w14:paraId="039B8C73">
      <w:pPr>
        <w:tabs>
          <w:tab w:val="left" w:pos="3725"/>
        </w:tabs>
        <w:kinsoku/>
        <w:topLinePunct/>
        <w:autoSpaceDE/>
        <w:autoSpaceDN/>
        <w:spacing w:before="43" w:line="430" w:lineRule="exact"/>
        <w:ind w:left="1" w:firstLine="480" w:firstLineChars="20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1.4.1本标段整体面向中小企业；</w:t>
      </w:r>
    </w:p>
    <w:p w14:paraId="1A268C0D">
      <w:pPr>
        <w:tabs>
          <w:tab w:val="left" w:pos="3725"/>
        </w:tabs>
        <w:kinsoku/>
        <w:topLinePunct/>
        <w:autoSpaceDE/>
        <w:autoSpaceDN/>
        <w:spacing w:before="43" w:line="430" w:lineRule="exact"/>
        <w:ind w:left="1" w:firstLine="480" w:firstLineChars="20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1.4.2本标段联合体形式面向中小企业，以联合体形式参加本次投标的，联合体中中小企业承担的合同份额需达到（不低于40%）以上。</w:t>
      </w:r>
    </w:p>
    <w:p w14:paraId="3CEF96CA">
      <w:pPr>
        <w:tabs>
          <w:tab w:val="left" w:pos="3725"/>
        </w:tabs>
        <w:kinsoku/>
        <w:topLinePunct/>
        <w:autoSpaceDE/>
        <w:autoSpaceDN/>
        <w:spacing w:before="43" w:line="430" w:lineRule="exact"/>
        <w:ind w:left="1" w:firstLine="480" w:firstLineChars="200"/>
        <w:jc w:val="both"/>
        <w:outlineLvl w:val="9"/>
        <w:rPr>
          <w:rFonts w:hint="eastAsia" w:ascii="宋体" w:hAnsi="宋体" w:eastAsia="宋体" w:cs="宋体"/>
          <w:color w:val="auto"/>
          <w:sz w:val="24"/>
          <w:szCs w:val="24"/>
          <w:highlight w:val="none"/>
        </w:rPr>
      </w:pPr>
      <w:bookmarkStart w:id="79" w:name="_Toc24819"/>
      <w:bookmarkStart w:id="80" w:name="_Toc25657"/>
      <w:r>
        <w:rPr>
          <w:rFonts w:hint="eastAsia" w:ascii="宋体" w:hAnsi="宋体" w:eastAsia="宋体" w:cs="宋体"/>
          <w:color w:val="auto"/>
          <w:position w:val="0"/>
          <w:sz w:val="24"/>
          <w:szCs w:val="24"/>
          <w:highlight w:val="none"/>
        </w:rPr>
        <w:t>二、投标资格条件、要求</w:t>
      </w:r>
      <w:bookmarkEnd w:id="79"/>
      <w:bookmarkEnd w:id="80"/>
    </w:p>
    <w:p w14:paraId="1962E330">
      <w:pPr>
        <w:tabs>
          <w:tab w:val="left" w:pos="3725"/>
        </w:tabs>
        <w:kinsoku/>
        <w:topLinePunct/>
        <w:autoSpaceDE/>
        <w:autoSpaceDN/>
        <w:spacing w:before="43" w:line="430" w:lineRule="exact"/>
        <w:ind w:left="1" w:righ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1.投标人及其拟派项目负责人自</w:t>
      </w:r>
      <w:r>
        <w:rPr>
          <w:rFonts w:hint="eastAsia" w:ascii="宋体" w:hAnsi="宋体" w:eastAsia="宋体" w:cs="宋体"/>
          <w:color w:val="auto"/>
          <w:sz w:val="24"/>
          <w:szCs w:val="24"/>
          <w:highlight w:val="none"/>
          <w:lang w:val="en-US" w:eastAsia="zh-CN"/>
        </w:rPr>
        <w:t>2023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日起至投标截止日止无行贿犯罪记录</w:t>
      </w:r>
      <w:r>
        <w:rPr>
          <w:rFonts w:hint="eastAsia" w:ascii="宋体" w:hAnsi="宋体" w:eastAsia="宋体" w:cs="宋体"/>
          <w:strike w:val="0"/>
          <w:color w:val="auto"/>
          <w:sz w:val="24"/>
          <w:szCs w:val="24"/>
          <w:highlight w:val="none"/>
        </w:rPr>
        <w:t>（</w:t>
      </w:r>
      <w:r>
        <w:rPr>
          <w:rFonts w:hint="eastAsia" w:ascii="宋体" w:hAnsi="宋体" w:eastAsia="宋体" w:cs="宋体"/>
          <w:strike/>
          <w:color w:val="auto"/>
          <w:sz w:val="24"/>
          <w:szCs w:val="24"/>
          <w:highlight w:val="none"/>
        </w:rPr>
        <w:t>投标人不必提供外证或自证材料，由招标人在定标前在中国裁判文书网查询</w:t>
      </w:r>
      <w:r>
        <w:rPr>
          <w:rFonts w:hint="eastAsia" w:ascii="宋体" w:hAnsi="宋体" w:eastAsia="宋体" w:cs="宋体"/>
          <w:b/>
          <w:bCs/>
          <w:strike w:val="0"/>
          <w:color w:val="auto"/>
          <w:sz w:val="24"/>
          <w:szCs w:val="24"/>
          <w:highlight w:val="none"/>
        </w:rPr>
        <w:t>投标人自行在中国裁判文书网查询打印盖章并提供承诺书</w:t>
      </w:r>
      <w:r>
        <w:rPr>
          <w:rFonts w:hint="eastAsia" w:ascii="宋体" w:hAnsi="宋体" w:eastAsia="宋体" w:cs="宋体"/>
          <w:strike w:val="0"/>
          <w:color w:val="auto"/>
          <w:sz w:val="24"/>
          <w:szCs w:val="24"/>
          <w:highlight w:val="none"/>
        </w:rPr>
        <w:t>）</w:t>
      </w:r>
      <w:r>
        <w:rPr>
          <w:rFonts w:hint="eastAsia" w:ascii="宋体" w:hAnsi="宋体" w:eastAsia="宋体" w:cs="宋体"/>
          <w:color w:val="auto"/>
          <w:sz w:val="24"/>
          <w:szCs w:val="24"/>
          <w:highlight w:val="none"/>
        </w:rPr>
        <w:t>；</w:t>
      </w:r>
    </w:p>
    <w:p w14:paraId="5FB6A7F1">
      <w:pPr>
        <w:tabs>
          <w:tab w:val="left" w:pos="3725"/>
        </w:tabs>
        <w:kinsoku/>
        <w:topLinePunct/>
        <w:autoSpaceDE/>
        <w:autoSpaceDN/>
        <w:spacing w:before="43" w:line="430" w:lineRule="exact"/>
        <w:ind w:left="1" w:right="0" w:firstLine="480" w:firstLineChars="20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2.投标人及其拟派项目负责人未被列入建筑市场严重失信名单（以全国建筑市场监管公共服务平台黑名单记录、失信联合惩戒记录和浙江省建筑市场监管公共服务系统严重失信名单的信息为准，</w:t>
      </w:r>
      <w:r>
        <w:rPr>
          <w:rFonts w:hint="eastAsia" w:ascii="宋体" w:hAnsi="宋体" w:eastAsia="宋体" w:cs="宋体"/>
          <w:b/>
          <w:bCs/>
          <w:strike w:val="0"/>
          <w:color w:val="auto"/>
          <w:sz w:val="24"/>
          <w:szCs w:val="24"/>
          <w:highlight w:val="none"/>
        </w:rPr>
        <w:t>投标人自行在平台、系统查询打印盖章并提供承诺书</w:t>
      </w:r>
      <w:r>
        <w:rPr>
          <w:rFonts w:hint="eastAsia" w:ascii="宋体" w:hAnsi="宋体" w:eastAsia="宋体" w:cs="宋体"/>
          <w:strike w:val="0"/>
          <w:color w:val="auto"/>
          <w:sz w:val="24"/>
          <w:szCs w:val="24"/>
          <w:highlight w:val="none"/>
        </w:rPr>
        <w:t>）；</w:t>
      </w:r>
    </w:p>
    <w:p w14:paraId="3A0B0273">
      <w:pPr>
        <w:tabs>
          <w:tab w:val="left" w:pos="3725"/>
        </w:tabs>
        <w:kinsoku/>
        <w:topLinePunct/>
        <w:autoSpaceDE/>
        <w:autoSpaceDN/>
        <w:spacing w:before="43" w:line="430" w:lineRule="exact"/>
        <w:ind w:left="1" w:right="0" w:firstLine="480" w:firstLineChars="20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3.本次招标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□接受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不接受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联合体投标，联合体投标的，应满足下列要求：</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none"/>
        </w:rPr>
        <w:t xml:space="preserve"> ；</w:t>
      </w:r>
    </w:p>
    <w:p w14:paraId="7D41A2DE">
      <w:pPr>
        <w:tabs>
          <w:tab w:val="left" w:pos="3725"/>
        </w:tabs>
        <w:kinsoku/>
        <w:topLinePunct/>
        <w:autoSpaceDE/>
        <w:autoSpaceDN/>
        <w:spacing w:before="43" w:line="430" w:lineRule="exact"/>
        <w:ind w:left="1" w:firstLine="480" w:firstLineChars="200"/>
        <w:jc w:val="both"/>
        <w:rPr>
          <w:rFonts w:hint="eastAsia" w:ascii="宋体" w:hAnsi="宋体" w:eastAsia="宋体" w:cs="宋体"/>
          <w:strike/>
          <w:dstrike w:val="0"/>
          <w:color w:val="auto"/>
          <w:sz w:val="24"/>
          <w:szCs w:val="24"/>
          <w:highlight w:val="none"/>
        </w:rPr>
      </w:pPr>
      <w:r>
        <w:rPr>
          <w:rFonts w:hint="eastAsia" w:ascii="宋体" w:hAnsi="宋体" w:eastAsia="宋体" w:cs="宋体"/>
          <w:strike/>
          <w:dstrike w:val="0"/>
          <w:color w:val="auto"/>
          <w:sz w:val="24"/>
          <w:szCs w:val="24"/>
          <w:highlight w:val="none"/>
        </w:rPr>
        <w:t>□4.面向中小企业招标的，投标人（或联合体中的中小企业）须为中小企业，并提供《中小企业声明函》。</w:t>
      </w:r>
    </w:p>
    <w:p w14:paraId="3FC64BC6">
      <w:pPr>
        <w:numPr>
          <w:ilvl w:val="0"/>
          <w:numId w:val="0"/>
        </w:numPr>
        <w:tabs>
          <w:tab w:val="left" w:pos="3725"/>
        </w:tabs>
        <w:kinsoku/>
        <w:topLinePunct/>
        <w:autoSpaceDE/>
        <w:autoSpaceDN/>
        <w:spacing w:before="43" w:line="430" w:lineRule="exact"/>
        <w:ind w:left="1" w:leftChars="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lang w:val="en-US" w:eastAsia="zh-CN"/>
        </w:rPr>
        <w:t>5</w:t>
      </w:r>
      <w:r>
        <w:rPr>
          <w:rFonts w:hint="eastAsia" w:ascii="宋体" w:hAnsi="宋体" w:eastAsia="宋体" w:cs="宋体"/>
          <w:strike w:val="0"/>
          <w:color w:val="auto"/>
          <w:sz w:val="24"/>
          <w:szCs w:val="24"/>
          <w:highlight w:val="none"/>
        </w:rPr>
        <w:t>.</w:t>
      </w:r>
      <w:r>
        <w:rPr>
          <w:rFonts w:hint="eastAsia" w:ascii="宋体" w:hAnsi="宋体" w:eastAsia="宋体" w:cs="宋体"/>
          <w:strike w:val="0"/>
          <w:color w:val="auto"/>
          <w:sz w:val="24"/>
          <w:szCs w:val="24"/>
          <w:highlight w:val="none"/>
          <w:lang w:eastAsia="zh-CN"/>
        </w:rPr>
        <w:t>（</w:t>
      </w:r>
      <w:r>
        <w:rPr>
          <w:rFonts w:hint="eastAsia" w:ascii="宋体" w:hAnsi="宋体" w:eastAsia="宋体" w:cs="宋体"/>
          <w:color w:val="auto"/>
          <w:sz w:val="24"/>
          <w:szCs w:val="24"/>
          <w:highlight w:val="none"/>
        </w:rPr>
        <w:t>招标人认为需要增加的符合法律法规规定的其他要求</w:t>
      </w:r>
      <w:r>
        <w:rPr>
          <w:rFonts w:hint="eastAsia" w:ascii="宋体" w:hAnsi="宋体" w:eastAsia="宋体" w:cs="宋体"/>
          <w:color w:val="auto"/>
          <w:sz w:val="24"/>
          <w:szCs w:val="24"/>
          <w:highlight w:val="none"/>
          <w:lang w:eastAsia="zh-CN"/>
        </w:rPr>
        <w:t>）</w:t>
      </w:r>
    </w:p>
    <w:p w14:paraId="5DAB78ED">
      <w:pPr>
        <w:numPr>
          <w:ilvl w:val="0"/>
          <w:numId w:val="0"/>
        </w:numPr>
        <w:tabs>
          <w:tab w:val="left" w:pos="3725"/>
        </w:tabs>
        <w:kinsoku/>
        <w:topLinePunct/>
        <w:autoSpaceDE/>
        <w:autoSpaceDN/>
        <w:spacing w:before="43" w:line="430" w:lineRule="exact"/>
        <w:ind w:left="1" w:leftChars="0" w:firstLine="480" w:firstLineChars="20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5.1 </w:t>
      </w:r>
      <w:r>
        <w:rPr>
          <w:rFonts w:hint="eastAsia" w:ascii="宋体" w:hAnsi="宋体" w:eastAsia="宋体" w:cs="宋体"/>
          <w:color w:val="auto"/>
          <w:sz w:val="24"/>
          <w:szCs w:val="24"/>
          <w:highlight w:val="none"/>
          <w:lang w:val="en-US" w:eastAsia="zh-CN"/>
        </w:rPr>
        <w:t>投标人须为具有独立承担民事责任的法人或其他组织</w:t>
      </w:r>
      <w:r>
        <w:rPr>
          <w:rFonts w:hint="eastAsia" w:ascii="宋体" w:hAnsi="宋体" w:eastAsia="宋体" w:cs="宋体"/>
          <w:color w:val="auto"/>
          <w:sz w:val="24"/>
          <w:szCs w:val="24"/>
          <w:highlight w:val="none"/>
          <w:u w:val="none"/>
          <w:lang w:val="en-US" w:eastAsia="zh-CN"/>
        </w:rPr>
        <w:t>。</w:t>
      </w:r>
    </w:p>
    <w:p w14:paraId="3E06F10E">
      <w:pPr>
        <w:numPr>
          <w:ilvl w:val="0"/>
          <w:numId w:val="0"/>
        </w:numPr>
        <w:tabs>
          <w:tab w:val="left" w:pos="3725"/>
        </w:tabs>
        <w:kinsoku/>
        <w:topLinePunct/>
        <w:autoSpaceDE/>
        <w:autoSpaceDN/>
        <w:spacing w:before="43" w:line="430" w:lineRule="exact"/>
        <w:ind w:left="1" w:leftChars="0" w:firstLine="480" w:firstLineChars="200"/>
        <w:jc w:val="both"/>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5.2 </w:t>
      </w:r>
      <w:r>
        <w:rPr>
          <w:rFonts w:hint="eastAsia" w:ascii="宋体" w:hAnsi="宋体" w:eastAsia="宋体" w:cs="宋体"/>
          <w:color w:val="auto"/>
          <w:sz w:val="24"/>
          <w:szCs w:val="24"/>
          <w:highlight w:val="none"/>
          <w:lang w:val="en-US" w:eastAsia="zh-CN"/>
        </w:rPr>
        <w:t>本项目接受生产（制造）厂商、代理商投标</w:t>
      </w:r>
      <w:r>
        <w:rPr>
          <w:rFonts w:hint="eastAsia" w:ascii="宋体" w:hAnsi="宋体" w:eastAsia="宋体" w:cs="宋体"/>
          <w:color w:val="auto"/>
          <w:sz w:val="24"/>
          <w:szCs w:val="24"/>
          <w:highlight w:val="none"/>
          <w:u w:val="none"/>
          <w:lang w:val="en-US" w:eastAsia="zh-CN"/>
        </w:rPr>
        <w:t>。</w:t>
      </w:r>
    </w:p>
    <w:p w14:paraId="759E9AE0">
      <w:pPr>
        <w:keepNext w:val="0"/>
        <w:keepLines w:val="0"/>
        <w:pageBreakBefore w:val="0"/>
        <w:widowControl/>
        <w:numPr>
          <w:ilvl w:val="0"/>
          <w:numId w:val="0"/>
        </w:numPr>
        <w:tabs>
          <w:tab w:val="left" w:pos="3725"/>
        </w:tabs>
        <w:kinsoku/>
        <w:wordWrap/>
        <w:overflowPunct/>
        <w:topLinePunct/>
        <w:autoSpaceDE/>
        <w:autoSpaceDN/>
        <w:bidi w:val="0"/>
        <w:adjustRightInd/>
        <w:snapToGrid/>
        <w:spacing w:before="43" w:line="430" w:lineRule="exact"/>
        <w:ind w:left="1" w:leftChars="0" w:firstLine="480" w:firstLineChars="200"/>
        <w:jc w:val="both"/>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5.3 </w:t>
      </w:r>
      <w:r>
        <w:rPr>
          <w:rFonts w:hint="eastAsia" w:ascii="宋体" w:hAnsi="宋体" w:eastAsia="宋体" w:cs="宋体"/>
          <w:color w:val="auto"/>
          <w:sz w:val="24"/>
          <w:szCs w:val="24"/>
          <w:highlight w:val="none"/>
        </w:rPr>
        <w:t>投标人自202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月1日以来完成过水利水电工程或市政公用工程</w:t>
      </w:r>
      <w:r>
        <w:rPr>
          <w:rFonts w:hint="eastAsia" w:ascii="宋体" w:hAnsi="宋体" w:eastAsia="宋体" w:cs="宋体"/>
          <w:color w:val="auto"/>
          <w:sz w:val="24"/>
          <w:szCs w:val="24"/>
          <w:highlight w:val="none"/>
          <w:lang w:val="en-US" w:eastAsia="zh-CN"/>
        </w:rPr>
        <w:t>公称</w:t>
      </w:r>
      <w:r>
        <w:rPr>
          <w:rFonts w:hint="eastAsia" w:ascii="宋体" w:hAnsi="宋体" w:eastAsia="宋体" w:cs="宋体"/>
          <w:color w:val="auto"/>
          <w:sz w:val="24"/>
          <w:szCs w:val="24"/>
          <w:highlight w:val="none"/>
        </w:rPr>
        <w:t>直径不小于2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00mm的蝶阀供货业绩</w:t>
      </w:r>
      <w:r>
        <w:rPr>
          <w:rFonts w:hint="eastAsia" w:ascii="宋体" w:hAnsi="宋体" w:eastAsia="宋体" w:cs="宋体"/>
          <w:color w:val="auto"/>
          <w:sz w:val="24"/>
          <w:szCs w:val="24"/>
          <w:highlight w:val="none"/>
          <w:u w:val="none"/>
        </w:rPr>
        <w:t>。</w:t>
      </w:r>
    </w:p>
    <w:p w14:paraId="32221178">
      <w:pPr>
        <w:tabs>
          <w:tab w:val="left" w:pos="3725"/>
        </w:tabs>
        <w:kinsoku/>
        <w:topLinePunct/>
        <w:autoSpaceDE/>
        <w:autoSpaceDN/>
        <w:spacing w:before="43" w:line="430" w:lineRule="exact"/>
        <w:ind w:left="1" w:firstLine="480" w:firstLineChars="200"/>
        <w:jc w:val="both"/>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：投标人所提供</w:t>
      </w:r>
      <w:r>
        <w:rPr>
          <w:rFonts w:hint="eastAsia" w:ascii="宋体" w:hAnsi="宋体" w:eastAsia="宋体" w:cs="宋体"/>
          <w:b/>
          <w:bCs/>
          <w:color w:val="auto"/>
          <w:sz w:val="24"/>
          <w:szCs w:val="24"/>
          <w:highlight w:val="none"/>
        </w:rPr>
        <w:t>自202</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月1日以来完成过</w:t>
      </w:r>
      <w:r>
        <w:rPr>
          <w:rFonts w:hint="eastAsia" w:ascii="宋体" w:hAnsi="宋体" w:eastAsia="宋体" w:cs="宋体"/>
          <w:b/>
          <w:bCs/>
          <w:color w:val="auto"/>
          <w:sz w:val="24"/>
          <w:szCs w:val="24"/>
          <w:highlight w:val="none"/>
          <w:lang w:val="en-US" w:eastAsia="zh-CN"/>
        </w:rPr>
        <w:t>中国境内</w:t>
      </w:r>
      <w:r>
        <w:rPr>
          <w:rFonts w:hint="eastAsia" w:ascii="宋体" w:hAnsi="宋体" w:eastAsia="宋体" w:cs="宋体"/>
          <w:color w:val="auto"/>
          <w:sz w:val="24"/>
          <w:szCs w:val="24"/>
          <w:highlight w:val="none"/>
        </w:rPr>
        <w:t>的供货业绩证明材料须同时提供以下①和②：①合同协议书及已标价工程量清单；②阀门</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验收报告或工程完工（或竣工）验收报告</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及供货发票。若①和②材料中有不一致时，以②为准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供货业绩时间以阀门安装验收报告或工程完工（或竣工）验收报告为准，其中任何一项报告时间满足要求即可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阀门直径和类型仅以证明材料①和②作为有效证明材料，其它证明材料不予认可。若合同中无法体现为水利水电工程或市政公用工程的，水利水电工程须提供初步设计（或可研）批复或行政许可文件，市政公用工程须提供初步设计（或可研）批复文件或行政主管部门有效证明材料，其它证明材料不予认可。如提供的合同同时包含阀门以外的其他内容的，且在合同中无法体现阀门部分金额时，须提供业主出具并加盖业主公章的证明材料，同时在已标价工程量清单中标记出阀门部分清单。以上业绩证明材料均应提供证明材料的复制件并加盖投标人公章</w:t>
      </w:r>
      <w:r>
        <w:rPr>
          <w:rFonts w:hint="eastAsia" w:ascii="宋体" w:hAnsi="宋体" w:eastAsia="宋体" w:cs="宋体"/>
          <w:color w:val="auto"/>
          <w:kern w:val="0"/>
          <w:sz w:val="24"/>
          <w:szCs w:val="24"/>
          <w:highlight w:val="none"/>
          <w:lang w:val="en-US" w:eastAsia="zh-CN"/>
        </w:rPr>
        <w:t>。</w:t>
      </w:r>
    </w:p>
    <w:p w14:paraId="4CF79DBF">
      <w:pPr>
        <w:keepNext w:val="0"/>
        <w:keepLines w:val="0"/>
        <w:pageBreakBefore w:val="0"/>
        <w:widowControl/>
        <w:tabs>
          <w:tab w:val="left" w:pos="3725"/>
        </w:tabs>
        <w:kinsoku/>
        <w:wordWrap/>
        <w:overflowPunct/>
        <w:topLinePunct/>
        <w:autoSpaceDE/>
        <w:autoSpaceDN/>
        <w:bidi w:val="0"/>
        <w:adjustRightInd/>
        <w:snapToGrid/>
        <w:spacing w:before="43" w:line="430" w:lineRule="exact"/>
        <w:ind w:left="1" w:firstLine="480" w:firstLineChars="200"/>
        <w:jc w:val="both"/>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kern w:val="0"/>
          <w:sz w:val="24"/>
          <w:szCs w:val="24"/>
          <w:highlight w:val="none"/>
          <w:lang w:val="en-US" w:eastAsia="zh-CN"/>
        </w:rPr>
        <w:t>注2：</w:t>
      </w:r>
      <w:r>
        <w:rPr>
          <w:rFonts w:hint="eastAsia" w:ascii="宋体" w:hAnsi="宋体" w:eastAsia="宋体" w:cs="宋体"/>
          <w:b/>
          <w:bCs/>
          <w:color w:val="auto"/>
          <w:sz w:val="24"/>
          <w:szCs w:val="24"/>
          <w:highlight w:val="none"/>
        </w:rPr>
        <w:t>对本项目蝶阀、偏心半球阀、活塞(调流)阀、固定锥阀、超声波流量计、电磁流量计、水泵等7类设备，投标人须在投标文件中提供选用品牌设备制造商出具的授权书(投标人是选用品牌设备制造商的除外)</w:t>
      </w:r>
      <w:r>
        <w:rPr>
          <w:rFonts w:hint="eastAsia" w:ascii="宋体" w:hAnsi="宋体" w:eastAsia="宋体" w:cs="宋体"/>
          <w:b/>
          <w:bCs/>
          <w:color w:val="auto"/>
          <w:sz w:val="24"/>
          <w:szCs w:val="24"/>
          <w:highlight w:val="none"/>
          <w:lang w:eastAsia="zh-CN"/>
        </w:rPr>
        <w:t>。</w:t>
      </w:r>
    </w:p>
    <w:p w14:paraId="05EE8179">
      <w:pPr>
        <w:keepNext w:val="0"/>
        <w:keepLines w:val="0"/>
        <w:pageBreakBefore w:val="0"/>
        <w:widowControl/>
        <w:tabs>
          <w:tab w:val="left" w:pos="3725"/>
        </w:tabs>
        <w:kinsoku/>
        <w:wordWrap/>
        <w:overflowPunct/>
        <w:topLinePunct/>
        <w:autoSpaceDE/>
        <w:autoSpaceDN/>
        <w:bidi w:val="0"/>
        <w:adjustRightInd/>
        <w:snapToGrid/>
        <w:spacing w:before="43" w:line="430" w:lineRule="exact"/>
        <w:ind w:left="1" w:firstLine="482" w:firstLineChars="200"/>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进口品牌：可由制造商境内代理商出具授权，同时提供制造商给代理商的代理授权</w:t>
      </w:r>
      <w:r>
        <w:rPr>
          <w:rFonts w:hint="eastAsia" w:ascii="宋体" w:hAnsi="宋体" w:eastAsia="宋体" w:cs="宋体"/>
          <w:b/>
          <w:bCs/>
          <w:color w:val="auto"/>
          <w:sz w:val="24"/>
          <w:szCs w:val="24"/>
          <w:highlight w:val="none"/>
          <w:lang w:val="en-US" w:eastAsia="zh-CN"/>
        </w:rPr>
        <w:t>材料</w:t>
      </w:r>
      <w:r>
        <w:rPr>
          <w:rFonts w:hint="eastAsia" w:ascii="宋体" w:hAnsi="宋体" w:eastAsia="宋体" w:cs="宋体"/>
          <w:b/>
          <w:bCs/>
          <w:color w:val="auto"/>
          <w:sz w:val="24"/>
          <w:szCs w:val="24"/>
          <w:highlight w:val="none"/>
        </w:rPr>
        <w:t>。</w:t>
      </w:r>
    </w:p>
    <w:p w14:paraId="576097E2">
      <w:pPr>
        <w:keepNext w:val="0"/>
        <w:keepLines w:val="0"/>
        <w:pageBreakBefore w:val="0"/>
        <w:widowControl/>
        <w:tabs>
          <w:tab w:val="left" w:pos="3725"/>
        </w:tabs>
        <w:kinsoku/>
        <w:wordWrap/>
        <w:overflowPunct/>
        <w:topLinePunct/>
        <w:autoSpaceDE/>
        <w:autoSpaceDN/>
        <w:bidi w:val="0"/>
        <w:adjustRightInd/>
        <w:snapToGrid/>
        <w:spacing w:before="43" w:line="430" w:lineRule="exact"/>
        <w:ind w:left="1"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国产品牌：</w:t>
      </w:r>
      <w:r>
        <w:rPr>
          <w:rFonts w:hint="eastAsia" w:ascii="宋体" w:hAnsi="宋体" w:eastAsia="宋体" w:cs="宋体"/>
          <w:b/>
          <w:bCs/>
          <w:color w:val="auto"/>
          <w:sz w:val="24"/>
          <w:szCs w:val="24"/>
          <w:highlight w:val="none"/>
        </w:rPr>
        <w:t>应提供制造商出具的授权书。</w:t>
      </w:r>
      <w:r>
        <w:rPr>
          <w:rFonts w:hint="eastAsia" w:ascii="宋体" w:hAnsi="宋体" w:eastAsia="宋体" w:cs="宋体"/>
          <w:b/>
          <w:bCs/>
          <w:color w:val="auto"/>
          <w:sz w:val="24"/>
          <w:szCs w:val="24"/>
          <w:highlight w:val="none"/>
          <w:lang w:val="en-US" w:eastAsia="zh-CN"/>
        </w:rPr>
        <w:t>国产品牌</w:t>
      </w:r>
      <w:r>
        <w:rPr>
          <w:rFonts w:hint="eastAsia" w:ascii="宋体" w:hAnsi="宋体" w:eastAsia="宋体" w:cs="宋体"/>
          <w:b/>
          <w:bCs/>
          <w:color w:val="auto"/>
          <w:sz w:val="24"/>
          <w:szCs w:val="24"/>
          <w:highlight w:val="none"/>
        </w:rPr>
        <w:t>出具的授权书格式按招标文件第七章格式十二“制造商授权书”</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其他授权书格式自拟，授权书如非中文版，投标人应翻译为中文并盖投标人章连同授权书一并提供</w:t>
      </w:r>
      <w:r>
        <w:rPr>
          <w:rFonts w:hint="eastAsia" w:ascii="宋体" w:hAnsi="宋体" w:eastAsia="宋体" w:cs="宋体"/>
          <w:color w:val="auto"/>
          <w:sz w:val="24"/>
          <w:szCs w:val="24"/>
          <w:highlight w:val="none"/>
        </w:rPr>
        <w:t>。</w:t>
      </w:r>
    </w:p>
    <w:p w14:paraId="6D3878B7">
      <w:pPr>
        <w:tabs>
          <w:tab w:val="left" w:pos="3725"/>
        </w:tabs>
        <w:kinsoku/>
        <w:topLinePunct/>
        <w:autoSpaceDE/>
        <w:autoSpaceDN/>
        <w:spacing w:before="43" w:line="430" w:lineRule="exact"/>
        <w:ind w:left="1" w:firstLine="480" w:firstLineChars="200"/>
        <w:jc w:val="both"/>
        <w:outlineLvl w:val="9"/>
        <w:rPr>
          <w:rFonts w:hint="eastAsia" w:ascii="宋体" w:hAnsi="宋体" w:eastAsia="宋体" w:cs="宋体"/>
          <w:color w:val="auto"/>
          <w:sz w:val="24"/>
          <w:szCs w:val="24"/>
          <w:highlight w:val="none"/>
        </w:rPr>
      </w:pPr>
      <w:bookmarkStart w:id="81" w:name="_Toc16650"/>
      <w:bookmarkStart w:id="82" w:name="_Toc14790"/>
      <w:r>
        <w:rPr>
          <w:rFonts w:hint="eastAsia" w:ascii="宋体" w:hAnsi="宋体" w:eastAsia="宋体" w:cs="宋体"/>
          <w:color w:val="auto"/>
          <w:position w:val="0"/>
          <w:sz w:val="24"/>
          <w:szCs w:val="24"/>
          <w:highlight w:val="none"/>
        </w:rPr>
        <w:t>三、招标文件的获取</w:t>
      </w:r>
      <w:bookmarkEnd w:id="81"/>
      <w:bookmarkEnd w:id="82"/>
    </w:p>
    <w:p w14:paraId="457C0E42">
      <w:pPr>
        <w:tabs>
          <w:tab w:val="left" w:pos="3725"/>
        </w:tabs>
        <w:kinsoku/>
        <w:topLinePunct/>
        <w:autoSpaceDE/>
        <w:autoSpaceDN/>
        <w:spacing w:before="43" w:line="430" w:lineRule="exact"/>
        <w:ind w:left="1" w:firstLine="480" w:firstLineChars="200"/>
        <w:jc w:val="both"/>
        <w:outlineLvl w:val="9"/>
        <w:rPr>
          <w:rFonts w:hint="eastAsia" w:ascii="宋体" w:hAnsi="宋体" w:eastAsia="宋体" w:cs="宋体"/>
          <w:color w:val="auto"/>
          <w:sz w:val="24"/>
          <w:szCs w:val="24"/>
          <w:highlight w:val="none"/>
        </w:rPr>
      </w:pPr>
      <w:bookmarkStart w:id="83" w:name="_Toc16053"/>
      <w:bookmarkStart w:id="84" w:name="_Toc26567"/>
      <w:r>
        <w:rPr>
          <w:rFonts w:hint="eastAsia" w:ascii="宋体" w:hAnsi="宋体" w:eastAsia="宋体" w:cs="宋体"/>
          <w:color w:val="auto"/>
          <w:sz w:val="24"/>
          <w:szCs w:val="24"/>
          <w:highlight w:val="none"/>
        </w:rPr>
        <w:t>1.本项目招标文件（含图纸）和补充（答疑、澄清）、修改文件以网上下载方式发放绍兴市公共资源交易中心电子招投标交易平台（http://220.187.225.202:8088/TPBidder-ztk/memberLogin），请各潜在投标人使用CA锁登录绍兴市公共资源交易中心电子招投标交易平台（http://220.187.225.202:8088/TPBidder-ztk/memberLogin）获取,未使用CA锁登录并获取招标文件的投标将被拒收。</w:t>
      </w:r>
    </w:p>
    <w:p w14:paraId="2D1965F1">
      <w:pPr>
        <w:tabs>
          <w:tab w:val="left" w:pos="3725"/>
        </w:tabs>
        <w:kinsoku/>
        <w:topLinePunct/>
        <w:autoSpaceDE/>
        <w:autoSpaceDN/>
        <w:spacing w:before="43" w:line="430" w:lineRule="exact"/>
        <w:ind w:left="1"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2.招标文件件获取下载网址：潜在投标人登录绍兴市公共资源交易中心电子招投标交易平台（http://220.187.225.202:8088/TPBidder-ztk/memberLogin），自行获取下载招标文件。</w:t>
      </w:r>
    </w:p>
    <w:p w14:paraId="1E70EB11">
      <w:pPr>
        <w:tabs>
          <w:tab w:val="left" w:pos="3725"/>
        </w:tabs>
        <w:kinsoku/>
        <w:topLinePunct/>
        <w:autoSpaceDE/>
        <w:autoSpaceDN/>
        <w:spacing w:before="43" w:line="430" w:lineRule="exact"/>
        <w:ind w:left="1"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3.招标文件网上下载时间：（公告发布之日起至投标文件递交截止时间）。</w:t>
      </w:r>
    </w:p>
    <w:p w14:paraId="2AA29D69">
      <w:pPr>
        <w:tabs>
          <w:tab w:val="left" w:pos="3725"/>
        </w:tabs>
        <w:kinsoku/>
        <w:topLinePunct/>
        <w:autoSpaceDE/>
        <w:autoSpaceDN/>
        <w:spacing w:before="43" w:line="430" w:lineRule="exact"/>
        <w:ind w:left="1" w:firstLine="480" w:firstLineChars="200"/>
        <w:jc w:val="both"/>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四、投标保证金</w:t>
      </w:r>
      <w:bookmarkEnd w:id="83"/>
      <w:bookmarkEnd w:id="84"/>
    </w:p>
    <w:p w14:paraId="64044D85">
      <w:pPr>
        <w:widowControl/>
        <w:tabs>
          <w:tab w:val="left" w:pos="3725"/>
        </w:tabs>
        <w:kinsoku/>
        <w:topLinePunct/>
        <w:autoSpaceDE/>
        <w:autoSpaceDN/>
        <w:adjustRightInd/>
        <w:snapToGrid/>
        <w:spacing w:before="43" w:line="430" w:lineRule="exact"/>
        <w:ind w:left="1" w:firstLine="480" w:firstLineChars="200"/>
        <w:jc w:val="both"/>
        <w:textAlignment w:val="auto"/>
        <w:rPr>
          <w:rFonts w:hint="eastAsia" w:ascii="宋体" w:hAnsi="宋体" w:eastAsia="宋体" w:cs="宋体"/>
          <w:b w:val="0"/>
          <w:bCs w:val="0"/>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1.金额：</w:t>
      </w:r>
    </w:p>
    <w:p w14:paraId="6159EFEE">
      <w:pPr>
        <w:widowControl/>
        <w:tabs>
          <w:tab w:val="left" w:pos="3725"/>
        </w:tabs>
        <w:kinsoku/>
        <w:topLinePunct/>
        <w:autoSpaceDE/>
        <w:autoSpaceDN/>
        <w:adjustRightInd/>
        <w:snapToGrid/>
        <w:spacing w:before="43" w:line="430" w:lineRule="exact"/>
        <w:ind w:left="1" w:firstLine="480" w:firstLineChars="200"/>
        <w:jc w:val="both"/>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□本项目不缴纳投标保证金。</w:t>
      </w:r>
    </w:p>
    <w:p w14:paraId="263C099A">
      <w:pPr>
        <w:widowControl/>
        <w:tabs>
          <w:tab w:val="left" w:pos="3725"/>
        </w:tabs>
        <w:kinsoku/>
        <w:topLinePunct/>
        <w:autoSpaceDE/>
        <w:autoSpaceDN/>
        <w:adjustRightInd/>
        <w:snapToGrid/>
        <w:spacing w:before="43" w:line="430" w:lineRule="exact"/>
        <w:ind w:left="1" w:firstLine="480" w:firstLineChars="200"/>
        <w:jc w:val="both"/>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kern w:val="0"/>
          <w:sz w:val="24"/>
          <w:szCs w:val="24"/>
          <w:highlight w:val="none"/>
        </w:rPr>
        <w:t>本项目需缴纳投标保证金</w:t>
      </w:r>
      <w:r>
        <w:rPr>
          <w:rFonts w:hint="eastAsia" w:ascii="宋体" w:hAnsi="宋体" w:eastAsia="宋体" w:cs="宋体"/>
          <w:snapToGrid w:val="0"/>
          <w:color w:val="auto"/>
          <w:kern w:val="0"/>
          <w:sz w:val="24"/>
          <w:szCs w:val="24"/>
          <w:highlight w:val="none"/>
          <w:u w:val="none"/>
          <w:lang w:val="en-US" w:eastAsia="zh-CN"/>
        </w:rPr>
        <w:t>50</w:t>
      </w:r>
      <w:r>
        <w:rPr>
          <w:rFonts w:hint="eastAsia" w:ascii="宋体" w:hAnsi="宋体" w:eastAsia="宋体" w:cs="宋体"/>
          <w:snapToGrid w:val="0"/>
          <w:color w:val="auto"/>
          <w:kern w:val="0"/>
          <w:sz w:val="24"/>
          <w:szCs w:val="24"/>
          <w:highlight w:val="none"/>
        </w:rPr>
        <w:t>万元</w:t>
      </w:r>
      <w:r>
        <w:rPr>
          <w:rFonts w:hint="eastAsia" w:ascii="宋体" w:hAnsi="宋体" w:eastAsia="宋体" w:cs="宋体"/>
          <w:color w:val="auto"/>
          <w:sz w:val="24"/>
          <w:szCs w:val="24"/>
          <w:highlight w:val="none"/>
        </w:rPr>
        <w:t>（不得超过50万元）</w:t>
      </w:r>
      <w:r>
        <w:rPr>
          <w:rFonts w:hint="eastAsia" w:ascii="宋体" w:hAnsi="宋体" w:eastAsia="宋体" w:cs="宋体"/>
          <w:snapToGrid w:val="0"/>
          <w:color w:val="auto"/>
          <w:kern w:val="0"/>
          <w:sz w:val="24"/>
          <w:szCs w:val="24"/>
          <w:highlight w:val="none"/>
        </w:rPr>
        <w:t>，投标保证金在投标人自行获取招标文件后，在</w:t>
      </w:r>
      <w:r>
        <w:rPr>
          <w:rFonts w:hint="eastAsia" w:ascii="宋体" w:hAnsi="宋体" w:eastAsia="宋体" w:cs="宋体"/>
          <w:b w:val="0"/>
          <w:bCs w:val="0"/>
          <w:snapToGrid w:val="0"/>
          <w:color w:val="auto"/>
          <w:kern w:val="0"/>
          <w:sz w:val="24"/>
          <w:szCs w:val="24"/>
          <w:highlight w:val="none"/>
        </w:rPr>
        <w:t>投标文件递交截止时间</w:t>
      </w:r>
      <w:r>
        <w:rPr>
          <w:rFonts w:hint="eastAsia" w:ascii="宋体" w:hAnsi="宋体" w:eastAsia="宋体" w:cs="宋体"/>
          <w:snapToGrid w:val="0"/>
          <w:color w:val="auto"/>
          <w:kern w:val="0"/>
          <w:sz w:val="24"/>
          <w:szCs w:val="24"/>
          <w:highlight w:val="none"/>
        </w:rPr>
        <w:t>前缴纳。</w:t>
      </w:r>
    </w:p>
    <w:p w14:paraId="062159B7">
      <w:pPr>
        <w:keepNext w:val="0"/>
        <w:keepLines w:val="0"/>
        <w:pageBreakBefore w:val="0"/>
        <w:widowControl/>
        <w:tabs>
          <w:tab w:val="left" w:pos="3725"/>
        </w:tabs>
        <w:kinsoku/>
        <w:wordWrap/>
        <w:overflowPunct/>
        <w:topLinePunct/>
        <w:autoSpaceDE/>
        <w:autoSpaceDN/>
        <w:bidi w:val="0"/>
        <w:adjustRightInd/>
        <w:snapToGrid/>
        <w:spacing w:before="43" w:line="430" w:lineRule="exact"/>
        <w:ind w:left="1" w:firstLine="480" w:firstLineChars="200"/>
        <w:jc w:val="both"/>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2.缴纳方式：投标人基本账户银行转出的保函/保证保险/担保公司担保/转账/数字保函等</w:t>
      </w:r>
      <w:r>
        <w:rPr>
          <w:rFonts w:hint="eastAsia" w:ascii="宋体" w:hAnsi="宋体" w:eastAsia="宋体" w:cs="宋体"/>
          <w:snapToGrid w:val="0"/>
          <w:color w:val="auto"/>
          <w:kern w:val="0"/>
          <w:sz w:val="24"/>
          <w:szCs w:val="24"/>
          <w:highlight w:val="none"/>
          <w:lang w:eastAsia="zh-CN"/>
        </w:rPr>
        <w:t>（</w:t>
      </w:r>
      <w:r>
        <w:rPr>
          <w:rFonts w:hint="eastAsia" w:ascii="宋体" w:hAnsi="宋体" w:eastAsia="宋体" w:cs="宋体"/>
          <w:snapToGrid w:val="0"/>
          <w:color w:val="auto"/>
          <w:kern w:val="0"/>
          <w:sz w:val="24"/>
          <w:szCs w:val="24"/>
          <w:highlight w:val="none"/>
        </w:rPr>
        <w:t>不包括现金）。</w:t>
      </w:r>
    </w:p>
    <w:p w14:paraId="0AFB8A08">
      <w:pPr>
        <w:keepNext w:val="0"/>
        <w:keepLines w:val="0"/>
        <w:pageBreakBefore w:val="0"/>
        <w:widowControl/>
        <w:tabs>
          <w:tab w:val="left" w:pos="3725"/>
        </w:tabs>
        <w:kinsoku/>
        <w:wordWrap/>
        <w:overflowPunct/>
        <w:topLinePunct/>
        <w:autoSpaceDE/>
        <w:autoSpaceDN/>
        <w:bidi w:val="0"/>
        <w:adjustRightInd/>
        <w:snapToGrid/>
        <w:spacing w:before="43" w:line="430" w:lineRule="exact"/>
        <w:ind w:left="0" w:firstLine="480" w:firstLineChars="200"/>
        <w:jc w:val="both"/>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2.1转账缴纳要求：</w:t>
      </w:r>
    </w:p>
    <w:p w14:paraId="61940B77">
      <w:pPr>
        <w:keepNext w:val="0"/>
        <w:keepLines w:val="0"/>
        <w:pageBreakBefore w:val="0"/>
        <w:tabs>
          <w:tab w:val="left" w:pos="3725"/>
        </w:tabs>
        <w:kinsoku/>
        <w:wordWrap/>
        <w:overflowPunct/>
        <w:topLinePunct/>
        <w:autoSpaceDE/>
        <w:autoSpaceDN/>
        <w:bidi w:val="0"/>
        <w:spacing w:before="43" w:line="430" w:lineRule="exact"/>
        <w:ind w:left="0" w:firstLine="480" w:firstLineChars="200"/>
        <w:jc w:val="both"/>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账户一：开户单位名称：绍兴市公共资源交易中心保证金专户，开户行：绍兴银行股份有限公司营业部；账号：</w:t>
      </w:r>
      <w:r>
        <w:rPr>
          <w:rFonts w:hint="eastAsia" w:ascii="宋体" w:hAnsi="宋体" w:eastAsia="宋体" w:cs="宋体"/>
          <w:snapToGrid w:val="0"/>
          <w:color w:val="auto"/>
          <w:kern w:val="0"/>
          <w:sz w:val="24"/>
          <w:szCs w:val="24"/>
          <w:highlight w:val="none"/>
          <w:lang w:val="en-US" w:eastAsia="zh-CN"/>
        </w:rPr>
        <w:t xml:space="preserve">6224861565799181080 </w:t>
      </w:r>
      <w:r>
        <w:rPr>
          <w:rFonts w:hint="eastAsia" w:ascii="宋体" w:hAnsi="宋体" w:eastAsia="宋体" w:cs="宋体"/>
          <w:snapToGrid w:val="0"/>
          <w:color w:val="auto"/>
          <w:kern w:val="0"/>
          <w:sz w:val="24"/>
          <w:szCs w:val="24"/>
          <w:highlight w:val="none"/>
        </w:rPr>
        <w:t>；</w:t>
      </w:r>
    </w:p>
    <w:p w14:paraId="22EF872F">
      <w:pPr>
        <w:keepNext w:val="0"/>
        <w:keepLines w:val="0"/>
        <w:pageBreakBefore w:val="0"/>
        <w:widowControl/>
        <w:tabs>
          <w:tab w:val="left" w:pos="3725"/>
        </w:tabs>
        <w:kinsoku/>
        <w:wordWrap/>
        <w:overflowPunct/>
        <w:topLinePunct/>
        <w:autoSpaceDE/>
        <w:autoSpaceDN/>
        <w:bidi w:val="0"/>
        <w:adjustRightInd/>
        <w:snapToGrid/>
        <w:spacing w:before="43" w:line="430" w:lineRule="exact"/>
        <w:ind w:left="0" w:leftChars="0" w:firstLine="480" w:firstLineChars="200"/>
        <w:jc w:val="both"/>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投标人须选择以上账户缴纳投标保证金。</w:t>
      </w:r>
    </w:p>
    <w:p w14:paraId="6C3DC9D4">
      <w:pPr>
        <w:keepNext w:val="0"/>
        <w:keepLines w:val="0"/>
        <w:pageBreakBefore w:val="0"/>
        <w:widowControl/>
        <w:tabs>
          <w:tab w:val="left" w:pos="3725"/>
        </w:tabs>
        <w:kinsoku/>
        <w:wordWrap/>
        <w:overflowPunct/>
        <w:topLinePunct/>
        <w:autoSpaceDE/>
        <w:autoSpaceDN/>
        <w:bidi w:val="0"/>
        <w:adjustRightInd/>
        <w:snapToGrid/>
        <w:spacing w:before="43" w:line="430" w:lineRule="exact"/>
        <w:ind w:left="0" w:leftChars="0" w:firstLine="480" w:firstLineChars="200"/>
        <w:jc w:val="both"/>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2.2缴纳要求（银行保函/保证保险/担保公司担保/数字保函）：招标人接受投标保证金银行保 函 、 电 子 保 险 保 单 、 担 保 保 函 。 投 标 人 自 行 在 电 子 招 投 标 交 易 平 台（http://220.187.225.202:8088/TPBidder-ztk/memberLogin）中自主选择办理。</w:t>
      </w:r>
    </w:p>
    <w:p w14:paraId="0ABBB7A7">
      <w:pPr>
        <w:keepNext w:val="0"/>
        <w:keepLines w:val="0"/>
        <w:pageBreakBefore w:val="0"/>
        <w:widowControl/>
        <w:tabs>
          <w:tab w:val="left" w:pos="3725"/>
        </w:tabs>
        <w:kinsoku/>
        <w:wordWrap/>
        <w:overflowPunct/>
        <w:topLinePunct/>
        <w:autoSpaceDE/>
        <w:autoSpaceDN/>
        <w:bidi w:val="0"/>
        <w:adjustRightInd/>
        <w:snapToGrid/>
        <w:spacing w:before="43" w:line="430" w:lineRule="exact"/>
        <w:ind w:left="0" w:leftChars="0" w:firstLine="480" w:firstLineChars="200"/>
        <w:jc w:val="both"/>
        <w:textAlignment w:val="auto"/>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保函费用必须从投标人企业基本账户转出，并在投标保证金缴纳截止时间前办妥保函手续。</w:t>
      </w:r>
    </w:p>
    <w:p w14:paraId="4AFA160A">
      <w:pPr>
        <w:keepNext w:val="0"/>
        <w:keepLines w:val="0"/>
        <w:pageBreakBefore w:val="0"/>
        <w:widowControl/>
        <w:tabs>
          <w:tab w:val="left" w:pos="3725"/>
        </w:tabs>
        <w:kinsoku/>
        <w:wordWrap/>
        <w:overflowPunct/>
        <w:topLinePunct/>
        <w:autoSpaceDE/>
        <w:autoSpaceDN/>
        <w:bidi w:val="0"/>
        <w:adjustRightInd/>
        <w:snapToGrid/>
        <w:spacing w:before="43" w:line="430" w:lineRule="exact"/>
        <w:ind w:left="0" w:leftChars="0" w:firstLine="480" w:firstLineChars="200"/>
        <w:jc w:val="both"/>
        <w:textAlignment w:val="auto"/>
        <w:rPr>
          <w:rFonts w:hint="eastAsia" w:ascii="宋体" w:hAnsi="宋体" w:eastAsia="宋体" w:cs="宋体"/>
          <w:strike/>
          <w:dstrike w:val="0"/>
          <w:snapToGrid w:val="0"/>
          <w:color w:val="auto"/>
          <w:kern w:val="0"/>
          <w:sz w:val="24"/>
          <w:szCs w:val="24"/>
          <w:highlight w:val="none"/>
        </w:rPr>
      </w:pPr>
      <w:r>
        <w:rPr>
          <w:rFonts w:hint="eastAsia" w:ascii="宋体" w:hAnsi="宋体" w:eastAsia="宋体" w:cs="宋体"/>
          <w:strike/>
          <w:dstrike w:val="0"/>
          <w:snapToGrid w:val="0"/>
          <w:color w:val="auto"/>
          <w:kern w:val="0"/>
          <w:sz w:val="24"/>
          <w:szCs w:val="24"/>
          <w:highlight w:val="none"/>
        </w:rPr>
        <w:t>□2.</w:t>
      </w:r>
      <w:r>
        <w:rPr>
          <w:rFonts w:hint="eastAsia" w:ascii="宋体" w:hAnsi="宋体" w:eastAsia="宋体" w:cs="宋体"/>
          <w:strike/>
          <w:dstrike w:val="0"/>
          <w:snapToGrid w:val="0"/>
          <w:color w:val="auto"/>
          <w:kern w:val="0"/>
          <w:sz w:val="24"/>
          <w:szCs w:val="24"/>
          <w:highlight w:val="none"/>
          <w:lang w:val="en-US" w:eastAsia="zh-CN"/>
        </w:rPr>
        <w:t>3</w:t>
      </w:r>
      <w:r>
        <w:rPr>
          <w:rFonts w:hint="eastAsia" w:ascii="宋体" w:hAnsi="宋体" w:eastAsia="宋体" w:cs="宋体"/>
          <w:strike/>
          <w:dstrike w:val="0"/>
          <w:snapToGrid w:val="0"/>
          <w:color w:val="auto"/>
          <w:kern w:val="0"/>
          <w:sz w:val="24"/>
          <w:szCs w:val="24"/>
          <w:highlight w:val="none"/>
        </w:rPr>
        <w:t>本项目对</w:t>
      </w:r>
      <w:r>
        <w:rPr>
          <w:rFonts w:hint="eastAsia" w:ascii="宋体" w:hAnsi="宋体" w:eastAsia="宋体" w:cs="宋体"/>
          <w:strike/>
          <w:dstrike w:val="0"/>
          <w:snapToGrid w:val="0"/>
          <w:color w:val="auto"/>
          <w:kern w:val="0"/>
          <w:sz w:val="24"/>
          <w:szCs w:val="24"/>
          <w:highlight w:val="none"/>
          <w:u w:val="none"/>
        </w:rPr>
        <w:t xml:space="preserve"> </w:t>
      </w:r>
      <w:r>
        <w:rPr>
          <w:rFonts w:hint="eastAsia" w:ascii="宋体" w:hAnsi="宋体" w:eastAsia="宋体" w:cs="宋体"/>
          <w:strike/>
          <w:dstrike w:val="0"/>
          <w:snapToGrid w:val="0"/>
          <w:color w:val="auto"/>
          <w:kern w:val="0"/>
          <w:sz w:val="24"/>
          <w:szCs w:val="24"/>
          <w:highlight w:val="none"/>
          <w:u w:val="none"/>
          <w:lang w:val="en-US" w:eastAsia="zh-CN"/>
        </w:rPr>
        <w:t>/</w:t>
      </w:r>
      <w:r>
        <w:rPr>
          <w:rFonts w:hint="eastAsia" w:ascii="宋体" w:hAnsi="宋体" w:eastAsia="宋体" w:cs="宋体"/>
          <w:strike/>
          <w:dstrike w:val="0"/>
          <w:snapToGrid w:val="0"/>
          <w:color w:val="auto"/>
          <w:kern w:val="0"/>
          <w:sz w:val="24"/>
          <w:szCs w:val="24"/>
          <w:highlight w:val="none"/>
          <w:u w:val="none"/>
        </w:rPr>
        <w:t xml:space="preserve"> </w:t>
      </w:r>
      <w:r>
        <w:rPr>
          <w:rFonts w:hint="eastAsia" w:ascii="宋体" w:hAnsi="宋体" w:eastAsia="宋体" w:cs="宋体"/>
          <w:strike/>
          <w:dstrike w:val="0"/>
          <w:snapToGrid w:val="0"/>
          <w:color w:val="auto"/>
          <w:kern w:val="0"/>
          <w:sz w:val="24"/>
          <w:szCs w:val="24"/>
          <w:highlight w:val="none"/>
        </w:rPr>
        <w:t>行业信用评价结果最高等级的投标人免收投标保证金，须具备</w:t>
      </w:r>
      <w:r>
        <w:rPr>
          <w:rFonts w:hint="eastAsia" w:ascii="宋体" w:hAnsi="宋体" w:eastAsia="宋体" w:cs="宋体"/>
          <w:strike/>
          <w:dstrike w:val="0"/>
          <w:snapToGrid w:val="0"/>
          <w:color w:val="auto"/>
          <w:kern w:val="0"/>
          <w:sz w:val="24"/>
          <w:szCs w:val="24"/>
          <w:highlight w:val="none"/>
          <w:u w:val="none"/>
        </w:rPr>
        <w:t xml:space="preserve"> </w:t>
      </w:r>
      <w:r>
        <w:rPr>
          <w:rFonts w:hint="eastAsia" w:ascii="宋体" w:hAnsi="宋体" w:eastAsia="宋体" w:cs="宋体"/>
          <w:strike/>
          <w:dstrike w:val="0"/>
          <w:snapToGrid w:val="0"/>
          <w:color w:val="auto"/>
          <w:kern w:val="0"/>
          <w:sz w:val="24"/>
          <w:szCs w:val="24"/>
          <w:highlight w:val="none"/>
          <w:u w:val="none"/>
          <w:lang w:val="en-US" w:eastAsia="zh-CN"/>
        </w:rPr>
        <w:t>/</w:t>
      </w:r>
      <w:r>
        <w:rPr>
          <w:rFonts w:hint="eastAsia" w:ascii="宋体" w:hAnsi="宋体" w:eastAsia="宋体" w:cs="宋体"/>
          <w:strike/>
          <w:dstrike w:val="0"/>
          <w:snapToGrid w:val="0"/>
          <w:color w:val="auto"/>
          <w:kern w:val="0"/>
          <w:sz w:val="24"/>
          <w:szCs w:val="24"/>
          <w:highlight w:val="none"/>
          <w:u w:val="none"/>
        </w:rPr>
        <w:t xml:space="preserve"> </w:t>
      </w:r>
      <w:r>
        <w:rPr>
          <w:rFonts w:hint="eastAsia" w:ascii="宋体" w:hAnsi="宋体" w:eastAsia="宋体" w:cs="宋体"/>
          <w:strike/>
          <w:dstrike w:val="0"/>
          <w:snapToGrid w:val="0"/>
          <w:color w:val="auto"/>
          <w:kern w:val="0"/>
          <w:sz w:val="24"/>
          <w:szCs w:val="24"/>
          <w:highlight w:val="none"/>
        </w:rPr>
        <w:t>条件。</w:t>
      </w:r>
    </w:p>
    <w:p w14:paraId="470E4866">
      <w:pPr>
        <w:keepNext w:val="0"/>
        <w:keepLines w:val="0"/>
        <w:pageBreakBefore w:val="0"/>
        <w:widowControl/>
        <w:tabs>
          <w:tab w:val="left" w:pos="3725"/>
        </w:tabs>
        <w:kinsoku/>
        <w:wordWrap/>
        <w:overflowPunct/>
        <w:topLinePunct/>
        <w:autoSpaceDE/>
        <w:autoSpaceDN/>
        <w:bidi w:val="0"/>
        <w:adjustRightInd/>
        <w:snapToGrid/>
        <w:spacing w:before="43" w:line="430" w:lineRule="exact"/>
        <w:ind w:left="0" w:leftChars="0" w:firstLine="480" w:firstLineChars="200"/>
        <w:jc w:val="both"/>
        <w:textAlignment w:val="auto"/>
        <w:rPr>
          <w:rFonts w:hint="eastAsia" w:ascii="宋体" w:hAnsi="宋体" w:eastAsia="宋体" w:cs="宋体"/>
          <w:strike w:val="0"/>
          <w:dstrike w:val="0"/>
          <w:snapToGrid w:val="0"/>
          <w:color w:val="auto"/>
          <w:kern w:val="0"/>
          <w:sz w:val="24"/>
          <w:szCs w:val="24"/>
          <w:highlight w:val="none"/>
        </w:rPr>
      </w:pPr>
      <w:r>
        <w:rPr>
          <w:rFonts w:hint="eastAsia" w:ascii="宋体" w:hAnsi="宋体" w:eastAsia="宋体" w:cs="宋体"/>
          <w:strike w:val="0"/>
          <w:dstrike w:val="0"/>
          <w:snapToGrid w:val="0"/>
          <w:color w:val="auto"/>
          <w:kern w:val="0"/>
          <w:sz w:val="24"/>
          <w:szCs w:val="24"/>
          <w:highlight w:val="none"/>
        </w:rPr>
        <w:t>注：1.请各投标人在缴纳投标保证金前自行核对统一主体库内填写的基本账户信息，避免出现保证金缴纳后无法匹配的现象。</w:t>
      </w:r>
    </w:p>
    <w:p w14:paraId="2A5A795C">
      <w:pPr>
        <w:tabs>
          <w:tab w:val="left" w:pos="3725"/>
        </w:tabs>
        <w:kinsoku/>
        <w:topLinePunct/>
        <w:autoSpaceDE/>
        <w:autoSpaceDN/>
        <w:spacing w:before="43" w:line="430" w:lineRule="exact"/>
        <w:ind w:left="0" w:firstLine="480" w:firstLineChars="200"/>
        <w:jc w:val="both"/>
        <w:outlineLvl w:val="9"/>
        <w:rPr>
          <w:rFonts w:hint="eastAsia" w:ascii="宋体" w:hAnsi="宋体" w:eastAsia="宋体" w:cs="宋体"/>
          <w:color w:val="auto"/>
          <w:sz w:val="24"/>
          <w:szCs w:val="24"/>
          <w:highlight w:val="none"/>
        </w:rPr>
      </w:pPr>
      <w:bookmarkStart w:id="85" w:name="_Toc24673"/>
      <w:bookmarkStart w:id="86" w:name="_Toc21042"/>
      <w:r>
        <w:rPr>
          <w:rFonts w:hint="eastAsia" w:ascii="宋体" w:hAnsi="宋体" w:eastAsia="宋体" w:cs="宋体"/>
          <w:color w:val="auto"/>
          <w:sz w:val="24"/>
          <w:szCs w:val="24"/>
          <w:highlight w:val="none"/>
        </w:rPr>
        <w:t>五、投标文件递交</w:t>
      </w:r>
      <w:bookmarkEnd w:id="85"/>
      <w:bookmarkEnd w:id="86"/>
    </w:p>
    <w:p w14:paraId="1F13D058">
      <w:pPr>
        <w:tabs>
          <w:tab w:val="left" w:pos="3725"/>
        </w:tabs>
        <w:kinsoku/>
        <w:topLinePunct/>
        <w:autoSpaceDE/>
        <w:autoSpaceDN/>
        <w:spacing w:before="43" w:line="430" w:lineRule="exact"/>
        <w:ind w:lef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1.投标文件递交截止时间</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none"/>
          <w:lang w:val="en-US" w:eastAsia="zh-CN"/>
        </w:rPr>
        <w:t>2026</w:t>
      </w: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none"/>
          <w:lang w:val="en-US" w:eastAsia="zh-CN"/>
        </w:rPr>
        <w:t>3</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none"/>
          <w:lang w:val="en-US" w:eastAsia="zh-CN"/>
        </w:rPr>
        <w:t>30</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none"/>
          <w:lang w:val="en-US" w:eastAsia="zh-CN"/>
        </w:rPr>
        <w:t>14</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u w:val="none"/>
          <w:lang w:val="en-US" w:eastAsia="zh-CN"/>
        </w:rPr>
        <w:t>30</w:t>
      </w:r>
      <w:r>
        <w:rPr>
          <w:rFonts w:hint="eastAsia" w:ascii="宋体" w:hAnsi="宋体" w:eastAsia="宋体" w:cs="宋体"/>
          <w:color w:val="auto"/>
          <w:sz w:val="24"/>
          <w:szCs w:val="24"/>
          <w:highlight w:val="none"/>
        </w:rPr>
        <w:t>分；</w:t>
      </w:r>
    </w:p>
    <w:p w14:paraId="7E14F6FB">
      <w:pPr>
        <w:tabs>
          <w:tab w:val="left" w:pos="3725"/>
        </w:tabs>
        <w:autoSpaceDE/>
        <w:autoSpaceDN/>
        <w:spacing w:before="43" w:line="430" w:lineRule="exact"/>
        <w:ind w:left="0" w:firstLine="480" w:firstLineChars="20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2.投标文件递交方式：</w:t>
      </w:r>
    </w:p>
    <w:p w14:paraId="7A904736">
      <w:pPr>
        <w:tabs>
          <w:tab w:val="left" w:pos="3725"/>
        </w:tabs>
        <w:autoSpaceDE/>
        <w:autoSpaceDN/>
        <w:spacing w:before="43" w:line="430" w:lineRule="exact"/>
        <w:ind w:left="0" w:firstLine="480" w:firstLineChars="200"/>
        <w:jc w:val="both"/>
        <w:rPr>
          <w:rFonts w:hint="eastAsia" w:ascii="宋体" w:hAnsi="宋体" w:eastAsia="宋体" w:cs="宋体"/>
          <w:strike w:val="0"/>
          <w:dstrike w:val="0"/>
          <w:color w:val="auto"/>
          <w:sz w:val="24"/>
          <w:szCs w:val="24"/>
          <w:highlight w:val="none"/>
          <w:u w:val="none"/>
        </w:rPr>
      </w:pPr>
      <w:r>
        <w:rPr>
          <w:rFonts w:hint="eastAsia" w:ascii="宋体" w:hAnsi="宋体" w:eastAsia="宋体" w:cs="宋体"/>
          <w:strike w:val="0"/>
          <w:dstrike w:val="0"/>
          <w:color w:val="auto"/>
          <w:sz w:val="24"/>
          <w:szCs w:val="24"/>
          <w:highlight w:val="none"/>
          <w:lang w:eastAsia="zh-CN"/>
        </w:rPr>
        <w:t>☑</w:t>
      </w:r>
      <w:r>
        <w:rPr>
          <w:rFonts w:hint="eastAsia" w:ascii="宋体" w:hAnsi="宋体" w:eastAsia="宋体" w:cs="宋体"/>
          <w:strike w:val="0"/>
          <w:dstrike w:val="0"/>
          <w:color w:val="auto"/>
          <w:sz w:val="24"/>
          <w:szCs w:val="24"/>
          <w:highlight w:val="none"/>
        </w:rPr>
        <w:t>2.1电子招标投标交易平台：绍兴市公共资源交易中心电子招投标交易平台。</w:t>
      </w:r>
    </w:p>
    <w:p w14:paraId="0ED8BE19">
      <w:pPr>
        <w:tabs>
          <w:tab w:val="left" w:pos="3725"/>
        </w:tabs>
        <w:autoSpaceDE/>
        <w:autoSpaceDN/>
        <w:spacing w:before="43" w:line="430" w:lineRule="exact"/>
        <w:ind w:left="0" w:firstLine="480" w:firstLineChars="20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2.2纸质标书递交，地点为：绍兴市公共资源交易中心指定开标室（绍兴市越城区洋江西路699号梅山春晓）。</w:t>
      </w:r>
    </w:p>
    <w:p w14:paraId="02B2CCB0">
      <w:pPr>
        <w:tabs>
          <w:tab w:val="left" w:pos="3725"/>
        </w:tabs>
        <w:kinsoku/>
        <w:topLinePunct/>
        <w:autoSpaceDE/>
        <w:autoSpaceDN/>
        <w:spacing w:before="43" w:line="430" w:lineRule="exact"/>
        <w:ind w:left="0" w:firstLine="480" w:firstLineChars="200"/>
        <w:jc w:val="both"/>
        <w:rPr>
          <w:rFonts w:hint="eastAsia" w:ascii="宋体" w:hAnsi="宋体" w:eastAsia="宋体" w:cs="宋体"/>
          <w:strike/>
          <w:dstrike w:val="0"/>
          <w:color w:val="auto"/>
          <w:sz w:val="24"/>
          <w:szCs w:val="24"/>
          <w:highlight w:val="none"/>
        </w:rPr>
      </w:pPr>
      <w:r>
        <w:rPr>
          <w:rFonts w:hint="eastAsia" w:ascii="宋体" w:hAnsi="宋体" w:eastAsia="宋体" w:cs="宋体"/>
          <w:strike/>
          <w:dstrike w:val="0"/>
          <w:color w:val="auto"/>
          <w:sz w:val="24"/>
          <w:szCs w:val="24"/>
          <w:highlight w:val="none"/>
        </w:rPr>
        <w:t>3.□招标文件要求递交的光盘、样品等材料，投标人应在投标截止时间前递交至</w:t>
      </w:r>
      <w:r>
        <w:rPr>
          <w:rFonts w:hint="eastAsia" w:ascii="宋体" w:hAnsi="宋体" w:eastAsia="宋体" w:cs="宋体"/>
          <w:strike/>
          <w:dstrike w:val="0"/>
          <w:color w:val="auto"/>
          <w:sz w:val="24"/>
          <w:szCs w:val="24"/>
          <w:highlight w:val="none"/>
          <w:u w:val="none"/>
        </w:rPr>
        <w:t>（招标人指定地点）</w:t>
      </w:r>
      <w:r>
        <w:rPr>
          <w:rFonts w:hint="eastAsia" w:ascii="宋体" w:hAnsi="宋体" w:eastAsia="宋体" w:cs="宋体"/>
          <w:strike/>
          <w:dstrike w:val="0"/>
          <w:color w:val="auto"/>
          <w:sz w:val="24"/>
          <w:szCs w:val="24"/>
          <w:highlight w:val="none"/>
        </w:rPr>
        <w:t>。递交光盘、样品等材料时应同时携带递交人法定代表人授权委托书及身份证原件</w:t>
      </w:r>
      <w:r>
        <w:rPr>
          <w:rFonts w:hint="eastAsia" w:ascii="宋体" w:hAnsi="宋体" w:eastAsia="宋体" w:cs="宋体"/>
          <w:strike/>
          <w:dstrike w:val="0"/>
          <w:color w:val="auto"/>
          <w:sz w:val="24"/>
          <w:szCs w:val="24"/>
          <w:highlight w:val="none"/>
          <w:lang w:eastAsia="zh-CN"/>
        </w:rPr>
        <w:t>（</w:t>
      </w:r>
      <w:r>
        <w:rPr>
          <w:rFonts w:hint="eastAsia" w:ascii="宋体" w:hAnsi="宋体" w:eastAsia="宋体" w:cs="宋体"/>
          <w:strike/>
          <w:dstrike w:val="0"/>
          <w:color w:val="auto"/>
          <w:sz w:val="24"/>
          <w:szCs w:val="24"/>
          <w:highlight w:val="none"/>
        </w:rPr>
        <w:t>法定代表人递交的仅需提供身份证原件</w:t>
      </w:r>
      <w:r>
        <w:rPr>
          <w:rFonts w:hint="eastAsia" w:ascii="宋体" w:hAnsi="宋体" w:eastAsia="宋体" w:cs="宋体"/>
          <w:strike/>
          <w:dstrike w:val="0"/>
          <w:color w:val="auto"/>
          <w:sz w:val="24"/>
          <w:szCs w:val="24"/>
          <w:highlight w:val="none"/>
          <w:lang w:eastAsia="zh-CN"/>
        </w:rPr>
        <w:t>）</w:t>
      </w:r>
      <w:r>
        <w:rPr>
          <w:rFonts w:hint="eastAsia" w:ascii="宋体" w:hAnsi="宋体" w:eastAsia="宋体" w:cs="宋体"/>
          <w:strike/>
          <w:dstrike w:val="0"/>
          <w:color w:val="auto"/>
          <w:sz w:val="24"/>
          <w:szCs w:val="24"/>
          <w:highlight w:val="none"/>
        </w:rPr>
        <w:t>。</w:t>
      </w:r>
    </w:p>
    <w:p w14:paraId="22D11ADB">
      <w:pPr>
        <w:tabs>
          <w:tab w:val="left" w:pos="3725"/>
        </w:tabs>
        <w:kinsoku/>
        <w:topLinePunct/>
        <w:autoSpaceDE/>
        <w:autoSpaceDN/>
        <w:spacing w:before="43" w:line="430" w:lineRule="exact"/>
        <w:ind w:left="0" w:firstLine="480" w:firstLineChars="200"/>
        <w:jc w:val="both"/>
        <w:outlineLvl w:val="9"/>
        <w:rPr>
          <w:rFonts w:hint="eastAsia" w:ascii="宋体" w:hAnsi="宋体" w:eastAsia="宋体" w:cs="宋体"/>
          <w:color w:val="auto"/>
          <w:sz w:val="24"/>
          <w:szCs w:val="24"/>
          <w:highlight w:val="none"/>
        </w:rPr>
      </w:pPr>
      <w:bookmarkStart w:id="87" w:name="_Toc29823"/>
      <w:bookmarkStart w:id="88" w:name="_Toc3557"/>
      <w:r>
        <w:rPr>
          <w:rFonts w:hint="eastAsia" w:ascii="宋体" w:hAnsi="宋体" w:eastAsia="宋体" w:cs="宋体"/>
          <w:color w:val="auto"/>
          <w:sz w:val="24"/>
          <w:szCs w:val="24"/>
          <w:highlight w:val="none"/>
        </w:rPr>
        <w:t>六、发布公告的媒介</w:t>
      </w:r>
      <w:bookmarkEnd w:id="87"/>
      <w:bookmarkEnd w:id="88"/>
    </w:p>
    <w:p w14:paraId="6A046E4C">
      <w:pPr>
        <w:tabs>
          <w:tab w:val="left" w:pos="3725"/>
        </w:tabs>
        <w:kinsoku/>
        <w:topLinePunct/>
        <w:autoSpaceDE/>
        <w:autoSpaceDN/>
        <w:spacing w:before="43" w:line="430" w:lineRule="exact"/>
        <w:ind w:left="0"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本次招标公告同时在</w:t>
      </w:r>
      <w:r>
        <w:rPr>
          <w:rFonts w:hint="eastAsia" w:ascii="宋体" w:hAnsi="宋体" w:eastAsia="宋体" w:cs="宋体"/>
          <w:color w:val="auto"/>
          <w:sz w:val="24"/>
          <w:szCs w:val="24"/>
          <w:highlight w:val="none"/>
          <w:u w:val="none"/>
          <w:lang w:eastAsia="zh-CN"/>
        </w:rPr>
        <w:t>浙江省公共资源交易服务平台、绍兴市公共资源交易网</w:t>
      </w:r>
      <w:r>
        <w:rPr>
          <w:rFonts w:hint="eastAsia" w:ascii="宋体" w:hAnsi="宋体" w:eastAsia="宋体" w:cs="宋体"/>
          <w:color w:val="auto"/>
          <w:sz w:val="24"/>
          <w:szCs w:val="24"/>
          <w:highlight w:val="none"/>
        </w:rPr>
        <w:t>上发布。</w:t>
      </w:r>
    </w:p>
    <w:p w14:paraId="33C73C3C">
      <w:pPr>
        <w:tabs>
          <w:tab w:val="left" w:pos="3725"/>
        </w:tabs>
        <w:kinsoku/>
        <w:topLinePunct/>
        <w:autoSpaceDE/>
        <w:autoSpaceDN/>
        <w:spacing w:before="43" w:line="336" w:lineRule="auto"/>
        <w:ind w:left="0" w:firstLine="480" w:firstLineChars="200"/>
        <w:jc w:val="both"/>
        <w:rPr>
          <w:rFonts w:hint="default" w:ascii="宋体" w:hAnsi="宋体" w:eastAsia="宋体" w:cs="宋体"/>
          <w:color w:val="auto"/>
          <w:highlight w:val="none"/>
          <w:lang w:val="en-US"/>
        </w:rPr>
      </w:pPr>
      <w:r>
        <w:rPr>
          <w:rFonts w:hint="eastAsia" w:ascii="宋体" w:hAnsi="宋体" w:eastAsia="宋体" w:cs="宋体"/>
          <w:color w:val="auto"/>
          <w:sz w:val="24"/>
          <w:szCs w:val="24"/>
          <w:highlight w:val="none"/>
        </w:rPr>
        <w:br w:type="page"/>
      </w:r>
      <w:r>
        <w:rPr>
          <w:rFonts w:hint="eastAsia" w:ascii="宋体" w:hAnsi="宋体" w:eastAsia="宋体" w:cs="宋体"/>
          <w:color w:val="auto"/>
          <w:sz w:val="24"/>
          <w:szCs w:val="24"/>
          <w:highlight w:val="none"/>
        </w:rPr>
        <w:t>七、监管机构：</w:t>
      </w:r>
      <w:r>
        <w:rPr>
          <w:rFonts w:hint="eastAsia" w:ascii="宋体" w:hAnsi="宋体" w:eastAsia="宋体" w:cs="宋体"/>
          <w:color w:val="auto"/>
          <w:sz w:val="24"/>
          <w:szCs w:val="24"/>
          <w:highlight w:val="none"/>
          <w:lang w:val="en-US" w:eastAsia="zh-CN"/>
        </w:rPr>
        <w:t>绍兴市水利局</w:t>
      </w:r>
    </w:p>
    <w:p w14:paraId="094FC72C">
      <w:pPr>
        <w:tabs>
          <w:tab w:val="left" w:pos="3725"/>
        </w:tabs>
        <w:kinsoku/>
        <w:topLinePunct/>
        <w:autoSpaceDE/>
        <w:autoSpaceDN/>
        <w:spacing w:before="43" w:line="360" w:lineRule="auto"/>
        <w:ind w:left="1"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八、联系方式</w:t>
      </w:r>
    </w:p>
    <w:p w14:paraId="1730FAB4">
      <w:pPr>
        <w:kinsoku/>
        <w:topLinePunct/>
        <w:autoSpaceDE/>
        <w:autoSpaceDN/>
        <w:spacing w:before="75" w:line="312" w:lineRule="auto"/>
        <w:ind w:left="480"/>
        <w:jc w:val="both"/>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t>招标人：</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lang w:val="en-US" w:eastAsia="zh-CN"/>
        </w:rPr>
        <w:t xml:space="preserve">浙江镜岭水库有限公司  </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none"/>
          <w:lang w:val="en-US" w:eastAsia="zh-CN"/>
        </w:rPr>
        <w:t xml:space="preserve">     </w:t>
      </w:r>
      <w:r>
        <w:rPr>
          <w:rFonts w:ascii="宋体" w:hAnsi="宋体" w:eastAsia="宋体" w:cs="宋体"/>
          <w:color w:val="auto"/>
          <w:spacing w:val="-20"/>
          <w:sz w:val="24"/>
          <w:szCs w:val="24"/>
          <w:highlight w:val="none"/>
        </w:rPr>
        <w:t>招标</w:t>
      </w:r>
      <w:r>
        <w:rPr>
          <w:rFonts w:hint="eastAsia" w:ascii="宋体" w:hAnsi="宋体" w:eastAsia="宋体" w:cs="宋体"/>
          <w:color w:val="auto"/>
          <w:spacing w:val="-20"/>
          <w:sz w:val="24"/>
          <w:szCs w:val="24"/>
          <w:highlight w:val="none"/>
        </w:rPr>
        <w:t>代理机构</w:t>
      </w:r>
      <w:r>
        <w:rPr>
          <w:rFonts w:ascii="宋体" w:hAnsi="宋体" w:eastAsia="宋体" w:cs="宋体"/>
          <w:color w:val="auto"/>
          <w:spacing w:val="-20"/>
          <w:sz w:val="24"/>
          <w:szCs w:val="24"/>
          <w:highlight w:val="none"/>
        </w:rPr>
        <w:t>：</w:t>
      </w:r>
      <w:r>
        <w:rPr>
          <w:rFonts w:hint="eastAsia" w:ascii="宋体" w:hAnsi="宋体" w:eastAsia="宋体" w:cs="宋体"/>
          <w:color w:val="auto"/>
          <w:spacing w:val="-20"/>
          <w:sz w:val="24"/>
          <w:szCs w:val="24"/>
          <w:highlight w:val="none"/>
          <w:u w:val="single"/>
          <w:lang w:val="en-US" w:eastAsia="zh-CN"/>
        </w:rPr>
        <w:t>长江勘测规划设计研究有限责任公司</w:t>
      </w:r>
    </w:p>
    <w:p w14:paraId="68AFC226">
      <w:pPr>
        <w:kinsoku/>
        <w:topLinePunct/>
        <w:autoSpaceDE/>
        <w:autoSpaceDN/>
        <w:spacing w:line="312" w:lineRule="auto"/>
        <w:ind w:left="484"/>
        <w:jc w:val="both"/>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t>联系人：</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lang w:val="en-US" w:eastAsia="zh-CN"/>
        </w:rPr>
        <w:t>杨工</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none"/>
          <w:lang w:val="en-US" w:eastAsia="zh-CN"/>
        </w:rPr>
        <w:t xml:space="preserve">    </w:t>
      </w:r>
      <w:r>
        <w:rPr>
          <w:rFonts w:ascii="宋体" w:hAnsi="宋体" w:eastAsia="宋体" w:cs="宋体"/>
          <w:color w:val="auto"/>
          <w:spacing w:val="-20"/>
          <w:sz w:val="24"/>
          <w:szCs w:val="24"/>
          <w:highlight w:val="none"/>
        </w:rPr>
        <w:t>联系人：</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lang w:val="en-US" w:eastAsia="zh-CN"/>
        </w:rPr>
        <w:t>高工</w:t>
      </w:r>
      <w:r>
        <w:rPr>
          <w:rFonts w:ascii="宋体" w:hAnsi="宋体" w:eastAsia="宋体" w:cs="宋体"/>
          <w:color w:val="auto"/>
          <w:spacing w:val="-20"/>
          <w:sz w:val="24"/>
          <w:szCs w:val="24"/>
          <w:highlight w:val="none"/>
          <w:u w:val="single"/>
        </w:rPr>
        <w:t xml:space="preserve">              </w:t>
      </w:r>
    </w:p>
    <w:p w14:paraId="451F614B">
      <w:pPr>
        <w:kinsoku/>
        <w:topLinePunct/>
        <w:autoSpaceDE/>
        <w:autoSpaceDN/>
        <w:spacing w:before="155" w:line="312" w:lineRule="auto"/>
        <w:ind w:left="484"/>
        <w:jc w:val="both"/>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t>联系电话：</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rPr>
        <w:t>0575-882648</w:t>
      </w:r>
      <w:r>
        <w:rPr>
          <w:rFonts w:hint="eastAsia" w:ascii="宋体" w:hAnsi="宋体" w:eastAsia="宋体" w:cs="宋体"/>
          <w:color w:val="auto"/>
          <w:spacing w:val="-20"/>
          <w:sz w:val="24"/>
          <w:szCs w:val="24"/>
          <w:highlight w:val="none"/>
          <w:u w:val="single"/>
          <w:lang w:val="en-US" w:eastAsia="zh-CN"/>
        </w:rPr>
        <w:t>90</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lang w:val="en-US" w:eastAsia="zh-CN"/>
        </w:rPr>
        <w:t xml:space="preserve">             </w:t>
      </w:r>
      <w:r>
        <w:rPr>
          <w:rFonts w:hint="eastAsia" w:ascii="宋体" w:hAnsi="宋体" w:eastAsia="宋体" w:cs="宋体"/>
          <w:color w:val="auto"/>
          <w:spacing w:val="-20"/>
          <w:sz w:val="24"/>
          <w:szCs w:val="24"/>
          <w:highlight w:val="none"/>
          <w:u w:val="none"/>
          <w:lang w:val="en-US" w:eastAsia="zh-CN"/>
        </w:rPr>
        <w:t xml:space="preserve">   </w:t>
      </w:r>
      <w:r>
        <w:rPr>
          <w:rFonts w:ascii="宋体" w:hAnsi="宋体" w:eastAsia="宋体" w:cs="宋体"/>
          <w:color w:val="auto"/>
          <w:spacing w:val="-20"/>
          <w:sz w:val="24"/>
          <w:szCs w:val="24"/>
          <w:highlight w:val="none"/>
        </w:rPr>
        <w:t>联系电话：</w:t>
      </w:r>
      <w:r>
        <w:rPr>
          <w:rFonts w:ascii="宋体" w:hAnsi="宋体" w:eastAsia="宋体" w:cs="宋体"/>
          <w:color w:val="auto"/>
          <w:spacing w:val="-20"/>
          <w:sz w:val="24"/>
          <w:szCs w:val="24"/>
          <w:highlight w:val="none"/>
          <w:u w:val="single"/>
        </w:rPr>
        <w:t xml:space="preserve"> </w:t>
      </w:r>
      <w:r>
        <w:rPr>
          <w:rFonts w:hint="eastAsia" w:ascii="宋体" w:hAnsi="宋体" w:eastAsia="宋体" w:cs="宋体"/>
          <w:color w:val="auto"/>
          <w:spacing w:val="-20"/>
          <w:sz w:val="24"/>
          <w:szCs w:val="24"/>
          <w:highlight w:val="none"/>
          <w:u w:val="single"/>
        </w:rPr>
        <w:t>13806751365</w:t>
      </w:r>
      <w:r>
        <w:rPr>
          <w:rFonts w:ascii="宋体" w:hAnsi="宋体" w:eastAsia="宋体" w:cs="宋体"/>
          <w:color w:val="auto"/>
          <w:spacing w:val="-20"/>
          <w:sz w:val="24"/>
          <w:szCs w:val="24"/>
          <w:highlight w:val="none"/>
          <w:u w:val="single"/>
        </w:rPr>
        <w:t xml:space="preserve">              </w:t>
      </w:r>
    </w:p>
    <w:p w14:paraId="6A1EFD7E">
      <w:pPr>
        <w:kinsoku/>
        <w:topLinePunct/>
        <w:autoSpaceDE/>
        <w:autoSpaceDN/>
        <w:spacing w:before="153" w:line="312" w:lineRule="auto"/>
        <w:ind w:left="483"/>
        <w:jc w:val="both"/>
        <w:rPr>
          <w:rFonts w:ascii="宋体" w:hAnsi="宋体" w:eastAsia="宋体" w:cs="宋体"/>
          <w:color w:val="auto"/>
          <w:spacing w:val="-20"/>
          <w:sz w:val="24"/>
          <w:szCs w:val="24"/>
          <w:highlight w:val="none"/>
        </w:rPr>
      </w:pPr>
      <w:r>
        <w:rPr>
          <w:rFonts w:ascii="宋体" w:hAnsi="宋体" w:eastAsia="宋体" w:cs="宋体"/>
          <w:color w:val="auto"/>
          <w:spacing w:val="-20"/>
          <w:sz w:val="24"/>
          <w:szCs w:val="24"/>
          <w:highlight w:val="none"/>
        </w:rPr>
        <w:t>地址：</w:t>
      </w:r>
      <w:r>
        <w:rPr>
          <w:rFonts w:hint="eastAsia" w:ascii="宋体" w:hAnsi="宋体" w:eastAsia="宋体" w:cs="宋体"/>
          <w:color w:val="auto"/>
          <w:spacing w:val="-20"/>
          <w:sz w:val="24"/>
          <w:szCs w:val="24"/>
          <w:highlight w:val="none"/>
          <w:u w:val="single"/>
        </w:rPr>
        <w:t>绍兴市越城区鑫洲国际商务大厦15楼</w:t>
      </w:r>
      <w:r>
        <w:rPr>
          <w:rFonts w:hint="eastAsia" w:ascii="宋体" w:hAnsi="宋体" w:eastAsia="宋体" w:cs="宋体"/>
          <w:color w:val="auto"/>
          <w:spacing w:val="-20"/>
          <w:sz w:val="24"/>
          <w:szCs w:val="24"/>
          <w:highlight w:val="none"/>
          <w:u w:val="none"/>
          <w:lang w:val="en-US" w:eastAsia="zh-CN"/>
        </w:rPr>
        <w:t xml:space="preserve">   </w:t>
      </w:r>
      <w:r>
        <w:rPr>
          <w:rFonts w:ascii="宋体" w:hAnsi="宋体" w:eastAsia="宋体" w:cs="宋体"/>
          <w:color w:val="auto"/>
          <w:spacing w:val="-20"/>
          <w:sz w:val="24"/>
          <w:szCs w:val="24"/>
          <w:highlight w:val="none"/>
        </w:rPr>
        <w:t>地址：</w:t>
      </w:r>
      <w:r>
        <w:rPr>
          <w:rFonts w:hint="eastAsia" w:ascii="宋体" w:hAnsi="宋体" w:eastAsia="宋体" w:cs="宋体"/>
          <w:color w:val="auto"/>
          <w:spacing w:val="-20"/>
          <w:sz w:val="24"/>
          <w:szCs w:val="24"/>
          <w:highlight w:val="none"/>
          <w:u w:val="single"/>
        </w:rPr>
        <w:t>绍兴市越城区鑫洲国际商务大厦2105室</w:t>
      </w:r>
    </w:p>
    <w:p w14:paraId="6FD1371B">
      <w:pPr>
        <w:tabs>
          <w:tab w:val="left" w:pos="3725"/>
        </w:tabs>
        <w:kinsoku/>
        <w:topLinePunct/>
        <w:autoSpaceDE/>
        <w:autoSpaceDN/>
        <w:spacing w:before="43" w:line="336" w:lineRule="auto"/>
        <w:ind w:left="0" w:firstLine="480" w:firstLineChars="200"/>
        <w:jc w:val="both"/>
        <w:rPr>
          <w:rFonts w:hint="eastAsia" w:ascii="宋体" w:hAnsi="宋体" w:eastAsia="宋体" w:cs="宋体"/>
          <w:color w:val="auto"/>
          <w:sz w:val="24"/>
          <w:szCs w:val="24"/>
          <w:highlight w:val="none"/>
          <w:lang w:val="en-US" w:eastAsia="zh-CN"/>
        </w:rPr>
      </w:pPr>
    </w:p>
    <w:p w14:paraId="739F4148">
      <w:pPr>
        <w:kinsoku/>
        <w:topLinePunct/>
        <w:autoSpaceDE/>
        <w:autoSpaceDN/>
        <w:spacing w:before="153" w:line="312" w:lineRule="auto"/>
        <w:ind w:left="483" w:firstLine="5600" w:firstLineChars="2800"/>
        <w:jc w:val="both"/>
        <w:rPr>
          <w:rFonts w:hint="eastAsia" w:ascii="宋体" w:hAnsi="宋体" w:eastAsia="宋体" w:cs="宋体"/>
          <w:color w:val="auto"/>
          <w:spacing w:val="-20"/>
          <w:sz w:val="24"/>
          <w:szCs w:val="24"/>
          <w:highlight w:val="none"/>
          <w:u w:val="single"/>
          <w:lang w:val="en-US" w:eastAsia="zh-CN"/>
        </w:rPr>
      </w:pPr>
    </w:p>
    <w:p w14:paraId="59378137">
      <w:pPr>
        <w:kinsoku/>
        <w:topLinePunct/>
        <w:autoSpaceDE/>
        <w:autoSpaceDN/>
        <w:spacing w:before="153" w:line="312" w:lineRule="auto"/>
        <w:ind w:left="483" w:firstLine="5600" w:firstLineChars="2800"/>
        <w:jc w:val="both"/>
        <w:rPr>
          <w:rFonts w:hint="eastAsia" w:ascii="宋体" w:hAnsi="宋体" w:eastAsia="宋体" w:cs="宋体"/>
          <w:color w:val="auto"/>
          <w:spacing w:val="-20"/>
          <w:sz w:val="24"/>
          <w:szCs w:val="24"/>
          <w:highlight w:val="none"/>
          <w:u w:val="single"/>
          <w:lang w:val="en-US" w:eastAsia="zh-CN"/>
        </w:rPr>
      </w:pPr>
    </w:p>
    <w:p w14:paraId="6CC98BE0">
      <w:pPr>
        <w:kinsoku/>
        <w:topLinePunct/>
        <w:autoSpaceDE/>
        <w:autoSpaceDN/>
        <w:spacing w:before="153" w:line="312" w:lineRule="auto"/>
        <w:ind w:left="483" w:firstLine="5600" w:firstLineChars="2800"/>
        <w:jc w:val="both"/>
        <w:rPr>
          <w:rFonts w:hint="eastAsia" w:ascii="宋体" w:hAnsi="宋体" w:eastAsia="宋体" w:cs="宋体"/>
          <w:color w:val="auto"/>
          <w:spacing w:val="-20"/>
          <w:sz w:val="24"/>
          <w:szCs w:val="24"/>
          <w:highlight w:val="none"/>
          <w:u w:val="single"/>
          <w:lang w:val="en-US" w:eastAsia="zh-CN"/>
        </w:rPr>
      </w:pPr>
    </w:p>
    <w:p w14:paraId="6FE5735D">
      <w:pPr>
        <w:kinsoku/>
        <w:topLinePunct/>
        <w:autoSpaceDE/>
        <w:autoSpaceDN/>
        <w:spacing w:before="153" w:line="312" w:lineRule="auto"/>
        <w:ind w:left="5880" w:firstLine="420" w:firstLineChars="0"/>
        <w:jc w:val="both"/>
        <w:rPr>
          <w:rFonts w:hint="eastAsia" w:ascii="宋体" w:hAnsi="宋体" w:eastAsia="宋体" w:cs="宋体"/>
          <w:color w:val="auto"/>
          <w:spacing w:val="0"/>
          <w:sz w:val="24"/>
          <w:szCs w:val="24"/>
          <w:highlight w:val="none"/>
          <w:u w:val="single"/>
        </w:rPr>
      </w:pPr>
      <w:r>
        <w:rPr>
          <w:rFonts w:hint="eastAsia" w:ascii="宋体" w:hAnsi="宋体" w:eastAsia="宋体" w:cs="宋体"/>
          <w:color w:val="auto"/>
          <w:spacing w:val="0"/>
          <w:sz w:val="24"/>
          <w:szCs w:val="24"/>
          <w:highlight w:val="none"/>
          <w:u w:val="single"/>
          <w:lang w:val="en-US" w:eastAsia="zh-CN"/>
        </w:rPr>
        <w:t xml:space="preserve">2026 </w:t>
      </w:r>
      <w:r>
        <w:rPr>
          <w:rFonts w:hint="eastAsia" w:ascii="宋体" w:hAnsi="宋体" w:eastAsia="宋体" w:cs="宋体"/>
          <w:color w:val="auto"/>
          <w:spacing w:val="0"/>
          <w:sz w:val="24"/>
          <w:szCs w:val="24"/>
          <w:highlight w:val="none"/>
          <w:u w:val="none"/>
        </w:rPr>
        <w:t>年</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single"/>
          <w:lang w:val="en-US" w:eastAsia="zh-CN"/>
        </w:rPr>
        <w:t>3</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none"/>
        </w:rPr>
        <w:t>月</w:t>
      </w:r>
      <w:r>
        <w:rPr>
          <w:rFonts w:hint="eastAsia" w:ascii="宋体" w:hAnsi="宋体" w:eastAsia="宋体" w:cs="宋体"/>
          <w:color w:val="auto"/>
          <w:spacing w:val="0"/>
          <w:sz w:val="24"/>
          <w:szCs w:val="24"/>
          <w:highlight w:val="none"/>
          <w:u w:val="single"/>
          <w:lang w:val="en-US" w:eastAsia="zh-CN"/>
        </w:rPr>
        <w:t>6</w:t>
      </w:r>
      <w:r>
        <w:rPr>
          <w:rFonts w:hint="eastAsia" w:ascii="宋体" w:hAnsi="宋体" w:eastAsia="宋体" w:cs="宋体"/>
          <w:color w:val="auto"/>
          <w:spacing w:val="0"/>
          <w:sz w:val="24"/>
          <w:szCs w:val="24"/>
          <w:highlight w:val="none"/>
          <w:u w:val="single"/>
        </w:rPr>
        <w:t xml:space="preserve"> </w:t>
      </w:r>
      <w:r>
        <w:rPr>
          <w:rFonts w:hint="eastAsia" w:ascii="宋体" w:hAnsi="宋体" w:eastAsia="宋体" w:cs="宋体"/>
          <w:color w:val="auto"/>
          <w:spacing w:val="0"/>
          <w:sz w:val="24"/>
          <w:szCs w:val="24"/>
          <w:highlight w:val="none"/>
          <w:u w:val="none"/>
        </w:rPr>
        <w:t>日</w:t>
      </w:r>
    </w:p>
    <w:p w14:paraId="022036D7">
      <w:pPr>
        <w:kinsoku/>
        <w:topLinePunct/>
        <w:spacing w:line="265" w:lineRule="auto"/>
        <w:jc w:val="both"/>
        <w:rPr>
          <w:color w:val="auto"/>
          <w:highlight w:val="none"/>
        </w:rPr>
      </w:pPr>
    </w:p>
    <w:p w14:paraId="06367175">
      <w:pPr>
        <w:kinsoku/>
        <w:topLinePunct/>
        <w:spacing w:line="265" w:lineRule="auto"/>
        <w:jc w:val="both"/>
        <w:rPr>
          <w:color w:val="auto"/>
          <w:highlight w:val="none"/>
        </w:rPr>
      </w:pPr>
    </w:p>
    <w:p w14:paraId="7D53A7B5">
      <w:pPr>
        <w:kinsoku/>
        <w:topLinePunct/>
        <w:spacing w:line="265" w:lineRule="auto"/>
        <w:jc w:val="both"/>
        <w:rPr>
          <w:color w:val="auto"/>
          <w:highlight w:val="none"/>
        </w:rPr>
      </w:pPr>
    </w:p>
    <w:p w14:paraId="3F16D436">
      <w:pPr>
        <w:kinsoku/>
        <w:topLinePunct/>
        <w:spacing w:line="265" w:lineRule="auto"/>
        <w:jc w:val="both"/>
        <w:rPr>
          <w:color w:val="auto"/>
          <w:highlight w:val="none"/>
        </w:rPr>
      </w:pPr>
    </w:p>
    <w:p w14:paraId="5A56F01A">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ascii="宋体" w:hAnsi="宋体" w:eastAsia="宋体" w:cs="宋体"/>
          <w:b/>
          <w:bCs/>
          <w:color w:val="auto"/>
          <w:sz w:val="36"/>
          <w:szCs w:val="36"/>
          <w:highlight w:val="none"/>
        </w:rPr>
      </w:pPr>
      <w:bookmarkStart w:id="89" w:name="_bookmark2"/>
      <w:bookmarkEnd w:id="89"/>
      <w:bookmarkStart w:id="90" w:name="_Toc12813"/>
      <w:bookmarkStart w:id="91" w:name="_Toc6052"/>
      <w:bookmarkStart w:id="92" w:name="_Toc24194"/>
      <w:bookmarkStart w:id="93" w:name="_Toc15481"/>
      <w:bookmarkStart w:id="94" w:name="_Toc1722"/>
      <w:bookmarkStart w:id="95" w:name="_Toc2573"/>
      <w:bookmarkStart w:id="96" w:name="_Toc19638"/>
      <w:bookmarkStart w:id="97" w:name="_Toc14103"/>
      <w:bookmarkStart w:id="98" w:name="_Toc30809"/>
      <w:bookmarkStart w:id="99" w:name="_Toc9764"/>
      <w:bookmarkStart w:id="100" w:name="_Toc6547"/>
      <w:bookmarkStart w:id="101" w:name="_Toc8689"/>
      <w:bookmarkStart w:id="102" w:name="_Toc22595"/>
      <w:bookmarkStart w:id="103" w:name="_Toc1953"/>
      <w:bookmarkStart w:id="104" w:name="_Toc10620"/>
      <w:bookmarkStart w:id="105" w:name="_Toc23206"/>
      <w:bookmarkStart w:id="106" w:name="_Toc12444"/>
      <w:r>
        <w:rPr>
          <w:rFonts w:ascii="宋体" w:hAnsi="宋体" w:eastAsia="宋体" w:cs="宋体"/>
          <w:b/>
          <w:bCs/>
          <w:color w:val="auto"/>
          <w:sz w:val="36"/>
          <w:szCs w:val="36"/>
          <w:highlight w:val="none"/>
        </w:rPr>
        <w:br w:type="page"/>
      </w:r>
      <w:bookmarkStart w:id="107" w:name="_Toc18832"/>
      <w:bookmarkStart w:id="108" w:name="_Toc31285"/>
      <w:bookmarkStart w:id="109" w:name="_Toc799"/>
      <w:bookmarkStart w:id="110" w:name="_Toc26904"/>
      <w:bookmarkStart w:id="111" w:name="_Toc20454"/>
      <w:bookmarkStart w:id="112" w:name="_Toc32306"/>
      <w:r>
        <w:rPr>
          <w:rFonts w:ascii="宋体" w:hAnsi="宋体" w:eastAsia="宋体" w:cs="宋体"/>
          <w:b/>
          <w:bCs/>
          <w:color w:val="auto"/>
          <w:sz w:val="36"/>
          <w:szCs w:val="36"/>
          <w:highlight w:val="none"/>
        </w:rPr>
        <w:t>第二章</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投标人须知</w:t>
      </w:r>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1B07398D">
      <w:pPr>
        <w:kinsoku/>
        <w:topLinePunct/>
        <w:spacing w:before="236" w:line="220" w:lineRule="auto"/>
        <w:ind w:left="3329"/>
        <w:jc w:val="both"/>
        <w:outlineLvl w:val="1"/>
        <w:rPr>
          <w:rFonts w:ascii="宋体" w:hAnsi="宋体" w:eastAsia="宋体" w:cs="宋体"/>
          <w:color w:val="auto"/>
          <w:sz w:val="28"/>
          <w:szCs w:val="28"/>
          <w:highlight w:val="none"/>
        </w:rPr>
      </w:pPr>
      <w:bookmarkStart w:id="113" w:name="_bookmark3"/>
      <w:bookmarkEnd w:id="113"/>
      <w:bookmarkStart w:id="114" w:name="_Toc23887"/>
      <w:bookmarkStart w:id="115" w:name="_Toc3900"/>
      <w:bookmarkStart w:id="116" w:name="_Toc180"/>
      <w:bookmarkStart w:id="117" w:name="_Toc10899"/>
      <w:bookmarkStart w:id="118" w:name="_Toc22107"/>
      <w:bookmarkStart w:id="119" w:name="_Toc23177"/>
      <w:bookmarkStart w:id="120" w:name="_Toc19944"/>
      <w:bookmarkStart w:id="121" w:name="_Toc20278"/>
      <w:bookmarkStart w:id="122" w:name="_Toc23378"/>
      <w:bookmarkStart w:id="123" w:name="_Toc31782"/>
      <w:bookmarkStart w:id="124" w:name="_Toc17682"/>
      <w:bookmarkStart w:id="125" w:name="_Toc10893"/>
      <w:bookmarkStart w:id="126" w:name="_Toc29774"/>
      <w:bookmarkStart w:id="127" w:name="_Toc21360"/>
      <w:bookmarkStart w:id="128" w:name="_Toc28681"/>
      <w:bookmarkStart w:id="129" w:name="_Toc3596"/>
      <w:bookmarkStart w:id="130" w:name="_Toc13046"/>
      <w:bookmarkStart w:id="131" w:name="_Toc12332"/>
      <w:bookmarkStart w:id="132" w:name="_Toc28896"/>
      <w:bookmarkStart w:id="133" w:name="_Toc31210"/>
      <w:bookmarkStart w:id="134" w:name="_Toc30621"/>
      <w:bookmarkStart w:id="135" w:name="_Toc21684"/>
      <w:bookmarkStart w:id="136" w:name="_Toc766"/>
      <w:r>
        <w:rPr>
          <w:rFonts w:ascii="宋体" w:hAnsi="宋体" w:eastAsia="宋体" w:cs="宋体"/>
          <w:color w:val="auto"/>
          <w:sz w:val="28"/>
          <w:szCs w:val="28"/>
          <w:highlight w:val="none"/>
        </w:rPr>
        <w:t>第一节投标人须知前附表</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14:paraId="40FC2913">
      <w:pPr>
        <w:kinsoku/>
        <w:topLinePunct/>
        <w:spacing w:line="170" w:lineRule="exact"/>
        <w:jc w:val="both"/>
        <w:rPr>
          <w:color w:val="auto"/>
          <w:highlight w:val="none"/>
        </w:rPr>
      </w:pPr>
    </w:p>
    <w:tbl>
      <w:tblPr>
        <w:tblStyle w:val="37"/>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7"/>
        <w:gridCol w:w="2155"/>
        <w:gridCol w:w="6045"/>
      </w:tblGrid>
      <w:tr w14:paraId="48FC53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593A2E76">
            <w:pPr>
              <w:kinsoku/>
              <w:topLinePunct/>
              <w:spacing w:line="360" w:lineRule="auto"/>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2155" w:type="dxa"/>
            <w:noWrap w:val="0"/>
            <w:vAlign w:val="center"/>
          </w:tcPr>
          <w:p w14:paraId="2CEB506E">
            <w:pPr>
              <w:tabs>
                <w:tab w:val="left" w:pos="1480"/>
              </w:tabs>
              <w:kinsoku/>
              <w:topLinePunct/>
              <w:spacing w:line="360" w:lineRule="auto"/>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条款名称</w:t>
            </w:r>
          </w:p>
        </w:tc>
        <w:tc>
          <w:tcPr>
            <w:tcW w:w="6045" w:type="dxa"/>
            <w:noWrap w:val="0"/>
            <w:vAlign w:val="center"/>
          </w:tcPr>
          <w:p w14:paraId="379E489E">
            <w:pPr>
              <w:tabs>
                <w:tab w:val="left" w:pos="5680"/>
              </w:tabs>
              <w:kinsoku/>
              <w:topLinePunct/>
              <w:spacing w:line="360" w:lineRule="auto"/>
              <w:ind w:left="105" w:leftChars="50" w:right="105" w:rightChars="5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编列内容</w:t>
            </w:r>
          </w:p>
        </w:tc>
      </w:tr>
      <w:tr w14:paraId="4ADF38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1978C79">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2155" w:type="dxa"/>
            <w:noWrap w:val="0"/>
            <w:vAlign w:val="center"/>
          </w:tcPr>
          <w:p w14:paraId="04AD0E8B">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w:t>
            </w:r>
          </w:p>
        </w:tc>
        <w:tc>
          <w:tcPr>
            <w:tcW w:w="6045" w:type="dxa"/>
            <w:noWrap w:val="0"/>
            <w:vAlign w:val="top"/>
          </w:tcPr>
          <w:p w14:paraId="4DDE523A">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none"/>
                <w:lang w:val="en-US" w:eastAsia="zh-CN"/>
              </w:rPr>
              <w:t>浙江镜岭水库有限公司</w:t>
            </w:r>
          </w:p>
          <w:p w14:paraId="29D2AC75">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none"/>
              </w:rPr>
              <w:t>绍兴市越城区鑫洲国际商务大厦15楼</w:t>
            </w:r>
          </w:p>
          <w:p w14:paraId="1DC40CE3">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杨工</w:t>
            </w:r>
          </w:p>
          <w:p w14:paraId="2B04EFC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none"/>
              </w:rPr>
              <w:t>0575-88264890</w:t>
            </w:r>
          </w:p>
          <w:p w14:paraId="728418AD">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电子邮箱：</w:t>
            </w:r>
            <w:r>
              <w:rPr>
                <w:rFonts w:hint="eastAsia" w:ascii="宋体" w:hAnsi="宋体" w:eastAsia="宋体" w:cs="宋体"/>
                <w:color w:val="auto"/>
                <w:sz w:val="24"/>
                <w:szCs w:val="24"/>
                <w:highlight w:val="none"/>
                <w:lang w:val="en-US" w:eastAsia="zh-CN"/>
              </w:rPr>
              <w:t>/</w:t>
            </w:r>
          </w:p>
        </w:tc>
      </w:tr>
      <w:tr w14:paraId="721D01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025DB06A">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p>
        </w:tc>
        <w:tc>
          <w:tcPr>
            <w:tcW w:w="2155" w:type="dxa"/>
            <w:noWrap w:val="0"/>
            <w:vAlign w:val="center"/>
          </w:tcPr>
          <w:p w14:paraId="7C030587">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招标代理机构</w:t>
            </w:r>
          </w:p>
        </w:tc>
        <w:tc>
          <w:tcPr>
            <w:tcW w:w="6045" w:type="dxa"/>
            <w:noWrap w:val="0"/>
            <w:vAlign w:val="top"/>
          </w:tcPr>
          <w:p w14:paraId="5F1FFC95">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none"/>
                <w:lang w:val="en-US" w:eastAsia="zh-CN"/>
              </w:rPr>
              <w:t>长江勘测规划设计研究有限责任公司</w:t>
            </w:r>
          </w:p>
          <w:p w14:paraId="76CFDD52">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none"/>
              </w:rPr>
              <w:t>绍兴市越城区鑫洲国际商务大厦2105室</w:t>
            </w:r>
          </w:p>
          <w:p w14:paraId="06499D6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高工</w:t>
            </w:r>
          </w:p>
          <w:p w14:paraId="428737F5">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none"/>
              </w:rPr>
              <w:t>13806751365</w:t>
            </w:r>
          </w:p>
          <w:p w14:paraId="2B36874E">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r>
              <w:rPr>
                <w:rFonts w:hint="eastAsia" w:ascii="宋体" w:hAnsi="宋体" w:eastAsia="宋体" w:cs="宋体"/>
                <w:color w:val="auto"/>
                <w:kern w:val="2"/>
                <w:sz w:val="24"/>
                <w:szCs w:val="24"/>
                <w:highlight w:val="none"/>
              </w:rPr>
              <w:t>284539594@qq.com</w:t>
            </w:r>
          </w:p>
        </w:tc>
      </w:tr>
      <w:tr w14:paraId="5AF60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38CDDC1">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w:t>
            </w:r>
          </w:p>
        </w:tc>
        <w:tc>
          <w:tcPr>
            <w:tcW w:w="2155" w:type="dxa"/>
            <w:noWrap w:val="0"/>
            <w:vAlign w:val="center"/>
          </w:tcPr>
          <w:p w14:paraId="2EB629BE">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6045" w:type="dxa"/>
            <w:noWrap w:val="0"/>
            <w:vAlign w:val="top"/>
          </w:tcPr>
          <w:p w14:paraId="36EADF52">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浙江镜岭水库工程阀门等</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采购</w:t>
            </w:r>
          </w:p>
        </w:tc>
      </w:tr>
      <w:tr w14:paraId="3EF55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1EE69580">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1.1.5</w:t>
            </w:r>
          </w:p>
        </w:tc>
        <w:tc>
          <w:tcPr>
            <w:tcW w:w="2155" w:type="dxa"/>
            <w:noWrap w:val="0"/>
            <w:vAlign w:val="center"/>
          </w:tcPr>
          <w:p w14:paraId="067E0FF0">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建设地点</w:t>
            </w:r>
          </w:p>
        </w:tc>
        <w:tc>
          <w:tcPr>
            <w:tcW w:w="6045" w:type="dxa"/>
            <w:noWrap w:val="0"/>
            <w:vAlign w:val="top"/>
          </w:tcPr>
          <w:p w14:paraId="61581DDB">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浙江省绍兴市</w:t>
            </w:r>
          </w:p>
        </w:tc>
      </w:tr>
      <w:tr w14:paraId="6E6E5F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FC758CA">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w:t>
            </w:r>
          </w:p>
        </w:tc>
        <w:tc>
          <w:tcPr>
            <w:tcW w:w="2155" w:type="dxa"/>
            <w:noWrap w:val="0"/>
            <w:vAlign w:val="center"/>
          </w:tcPr>
          <w:p w14:paraId="0D6F4C16">
            <w:pPr>
              <w:tabs>
                <w:tab w:val="left" w:pos="1480"/>
              </w:tabs>
              <w:kinsoku/>
              <w:topLinePunct/>
              <w:spacing w:line="360" w:lineRule="auto"/>
              <w:ind w:left="105" w:leftChars="50" w:right="105" w:rightChars="50"/>
              <w:jc w:val="both"/>
              <w:rPr>
                <w:rFonts w:hint="eastAsia" w:ascii="宋体" w:hAnsi="宋体" w:eastAsia="宋体" w:cs="宋体"/>
                <w:color w:val="auto"/>
                <w:position w:val="12"/>
                <w:sz w:val="24"/>
                <w:szCs w:val="24"/>
                <w:highlight w:val="none"/>
              </w:rPr>
            </w:pPr>
            <w:r>
              <w:rPr>
                <w:rFonts w:hint="eastAsia" w:ascii="宋体" w:hAnsi="宋体" w:eastAsia="宋体" w:cs="宋体"/>
                <w:color w:val="auto"/>
                <w:position w:val="12"/>
                <w:sz w:val="24"/>
                <w:szCs w:val="24"/>
                <w:highlight w:val="none"/>
              </w:rPr>
              <w:t>资金来源</w:t>
            </w:r>
          </w:p>
          <w:p w14:paraId="6A450E21">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及比例</w:t>
            </w:r>
          </w:p>
        </w:tc>
        <w:tc>
          <w:tcPr>
            <w:tcW w:w="6045" w:type="dxa"/>
            <w:noWrap w:val="0"/>
            <w:vAlign w:val="top"/>
          </w:tcPr>
          <w:p w14:paraId="0C32C808">
            <w:pPr>
              <w:widowControl w:val="0"/>
              <w:tabs>
                <w:tab w:val="left" w:pos="5680"/>
              </w:tabs>
              <w:suppressAutoHyphens/>
              <w:kinsoku/>
              <w:topLinePunct/>
              <w:autoSpaceDE/>
              <w:autoSpaceDN/>
              <w:adjustRightInd/>
              <w:snapToGrid/>
              <w:spacing w:beforeLines="0" w:afterLines="0" w:line="360" w:lineRule="auto"/>
              <w:ind w:firstLine="0" w:firstLineChars="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val="en-US" w:eastAsia="zh-CN"/>
              </w:rPr>
              <w:t>资金来源：</w:t>
            </w:r>
            <w:r>
              <w:rPr>
                <w:rFonts w:hint="eastAsia" w:ascii="宋体" w:hAnsi="宋体" w:eastAsia="宋体" w:cs="宋体"/>
                <w:color w:val="auto"/>
                <w:kern w:val="2"/>
                <w:sz w:val="24"/>
                <w:szCs w:val="24"/>
                <w:highlight w:val="none"/>
              </w:rPr>
              <w:t>政府投资、银行贷款及自筹</w:t>
            </w:r>
            <w:r>
              <w:rPr>
                <w:rFonts w:hint="eastAsia" w:ascii="宋体" w:hAnsi="宋体" w:eastAsia="宋体" w:cs="宋体"/>
                <w:color w:val="auto"/>
                <w:kern w:val="2"/>
                <w:sz w:val="24"/>
                <w:szCs w:val="24"/>
                <w:highlight w:val="none"/>
                <w:lang w:eastAsia="zh-CN"/>
              </w:rPr>
              <w:t>；</w:t>
            </w:r>
          </w:p>
          <w:p w14:paraId="3047BD2D">
            <w:pPr>
              <w:tabs>
                <w:tab w:val="left" w:pos="5680"/>
              </w:tabs>
              <w:kinsoku/>
              <w:topLinePunct/>
              <w:spacing w:line="360" w:lineRule="auto"/>
              <w:ind w:left="0" w:leftChars="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比例：100%</w:t>
            </w:r>
          </w:p>
        </w:tc>
      </w:tr>
      <w:tr w14:paraId="60D9D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6625803C">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w:t>
            </w:r>
          </w:p>
        </w:tc>
        <w:tc>
          <w:tcPr>
            <w:tcW w:w="2155" w:type="dxa"/>
            <w:noWrap w:val="0"/>
            <w:vAlign w:val="center"/>
          </w:tcPr>
          <w:p w14:paraId="43EE6B0A">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资金落实情况</w:t>
            </w:r>
          </w:p>
        </w:tc>
        <w:tc>
          <w:tcPr>
            <w:tcW w:w="6045" w:type="dxa"/>
            <w:noWrap w:val="0"/>
            <w:vAlign w:val="top"/>
          </w:tcPr>
          <w:p w14:paraId="40081C4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已落实</w:t>
            </w:r>
          </w:p>
        </w:tc>
      </w:tr>
      <w:tr w14:paraId="2DB691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7B55051">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2155" w:type="dxa"/>
            <w:noWrap w:val="0"/>
            <w:vAlign w:val="center"/>
          </w:tcPr>
          <w:p w14:paraId="1FDC1BC2">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招标范围</w:t>
            </w:r>
          </w:p>
        </w:tc>
        <w:tc>
          <w:tcPr>
            <w:tcW w:w="6045" w:type="dxa"/>
            <w:noWrap w:val="0"/>
            <w:vAlign w:val="top"/>
          </w:tcPr>
          <w:p w14:paraId="2656568E">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见招标公告内容</w:t>
            </w:r>
          </w:p>
        </w:tc>
      </w:tr>
      <w:tr w14:paraId="121204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8B9658C">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w:t>
            </w:r>
          </w:p>
        </w:tc>
        <w:tc>
          <w:tcPr>
            <w:tcW w:w="2155" w:type="dxa"/>
            <w:noWrap w:val="0"/>
            <w:vAlign w:val="center"/>
          </w:tcPr>
          <w:p w14:paraId="4F0730EC">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交货期</w:t>
            </w:r>
          </w:p>
        </w:tc>
        <w:tc>
          <w:tcPr>
            <w:tcW w:w="6045" w:type="dxa"/>
            <w:noWrap w:val="0"/>
            <w:vAlign w:val="top"/>
          </w:tcPr>
          <w:p w14:paraId="34051FE4">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不超过</w:t>
            </w:r>
            <w:r>
              <w:rPr>
                <w:rFonts w:hint="eastAsia" w:ascii="宋体" w:hAnsi="宋体" w:eastAsia="宋体" w:cs="宋体"/>
                <w:color w:val="auto"/>
                <w:sz w:val="24"/>
                <w:szCs w:val="24"/>
                <w:highlight w:val="none"/>
                <w:u w:val="single"/>
                <w:lang w:val="en-US" w:eastAsia="zh-CN"/>
              </w:rPr>
              <w:t>750</w:t>
            </w:r>
            <w:r>
              <w:rPr>
                <w:rFonts w:hint="eastAsia" w:ascii="宋体" w:hAnsi="宋体" w:eastAsia="宋体" w:cs="宋体"/>
                <w:color w:val="auto"/>
                <w:sz w:val="24"/>
                <w:szCs w:val="24"/>
                <w:highlight w:val="none"/>
              </w:rPr>
              <w:t>个日历天</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lang w:val="en-US" w:eastAsia="zh-CN"/>
              </w:rPr>
              <w:t>满足</w:t>
            </w:r>
            <w:r>
              <w:rPr>
                <w:rFonts w:hint="eastAsia" w:ascii="宋体" w:hAnsi="宋体" w:eastAsia="宋体" w:cs="宋体"/>
                <w:color w:val="auto"/>
                <w:sz w:val="24"/>
                <w:szCs w:val="24"/>
                <w:highlight w:val="none"/>
              </w:rPr>
              <w:t>工程施工进度及项目业主需求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具体制造开始时间，需经</w:t>
            </w:r>
            <w:r>
              <w:rPr>
                <w:rFonts w:hint="eastAsia" w:ascii="宋体" w:hAnsi="宋体" w:eastAsia="宋体" w:cs="宋体"/>
                <w:color w:val="auto"/>
                <w:sz w:val="24"/>
                <w:szCs w:val="24"/>
                <w:highlight w:val="none"/>
                <w:lang w:val="en-US" w:eastAsia="zh-CN"/>
              </w:rPr>
              <w:t>监</w:t>
            </w:r>
            <w:r>
              <w:rPr>
                <w:rFonts w:hint="eastAsia" w:ascii="宋体" w:hAnsi="宋体" w:eastAsia="宋体" w:cs="宋体"/>
                <w:color w:val="auto"/>
                <w:sz w:val="24"/>
                <w:szCs w:val="24"/>
                <w:highlight w:val="none"/>
              </w:rPr>
              <w:t>造监理同意，并以监造监理的指示为准。</w:t>
            </w:r>
          </w:p>
        </w:tc>
      </w:tr>
      <w:tr w14:paraId="728A1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3C796CB8">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w:t>
            </w:r>
          </w:p>
        </w:tc>
        <w:tc>
          <w:tcPr>
            <w:tcW w:w="2155" w:type="dxa"/>
            <w:noWrap w:val="0"/>
            <w:vAlign w:val="center"/>
          </w:tcPr>
          <w:p w14:paraId="6850AA1C">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w:t>
            </w:r>
          </w:p>
        </w:tc>
        <w:tc>
          <w:tcPr>
            <w:tcW w:w="6045" w:type="dxa"/>
            <w:noWrap w:val="0"/>
            <w:vAlign w:val="top"/>
          </w:tcPr>
          <w:p w14:paraId="1CFB2969">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不少于</w:t>
            </w:r>
            <w:r>
              <w:rPr>
                <w:rFonts w:hint="eastAsia" w:ascii="宋体" w:hAnsi="宋体" w:eastAsia="宋体" w:cs="宋体"/>
                <w:color w:val="auto"/>
                <w:sz w:val="24"/>
                <w:szCs w:val="24"/>
                <w:highlight w:val="none"/>
                <w:u w:val="single"/>
                <w:lang w:val="en-US" w:eastAsia="zh-CN"/>
              </w:rPr>
              <w:t>24</w:t>
            </w:r>
            <w:r>
              <w:rPr>
                <w:rFonts w:hint="eastAsia" w:ascii="宋体" w:hAnsi="宋体" w:eastAsia="宋体" w:cs="宋体"/>
                <w:color w:val="auto"/>
                <w:sz w:val="24"/>
                <w:szCs w:val="24"/>
                <w:highlight w:val="none"/>
              </w:rPr>
              <w:t>个月，</w:t>
            </w:r>
            <w:r>
              <w:rPr>
                <w:rFonts w:hint="eastAsia" w:ascii="宋体" w:hAnsi="宋体" w:eastAsia="宋体" w:cs="宋体"/>
                <w:color w:val="auto"/>
                <w:sz w:val="24"/>
                <w:szCs w:val="24"/>
                <w:highlight w:val="none"/>
                <w:lang w:eastAsia="zh-CN"/>
              </w:rPr>
              <w:t>时间从浙江镜岭水库工程通过试运行之日起算</w:t>
            </w:r>
            <w:r>
              <w:rPr>
                <w:rFonts w:hint="eastAsia" w:ascii="宋体" w:hAnsi="宋体" w:eastAsia="宋体" w:cs="宋体"/>
                <w:color w:val="auto"/>
                <w:sz w:val="24"/>
                <w:szCs w:val="24"/>
                <w:highlight w:val="none"/>
              </w:rPr>
              <w:t>。</w:t>
            </w:r>
          </w:p>
        </w:tc>
      </w:tr>
      <w:tr w14:paraId="656C7F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1B8C3E15">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p>
        </w:tc>
        <w:tc>
          <w:tcPr>
            <w:tcW w:w="2155" w:type="dxa"/>
            <w:noWrap w:val="0"/>
            <w:vAlign w:val="center"/>
          </w:tcPr>
          <w:p w14:paraId="059E0BE8">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投标人资格条件、要求</w:t>
            </w:r>
          </w:p>
        </w:tc>
        <w:tc>
          <w:tcPr>
            <w:tcW w:w="6045" w:type="dxa"/>
            <w:noWrap w:val="0"/>
            <w:vAlign w:val="top"/>
          </w:tcPr>
          <w:p w14:paraId="51F265FA">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见招标公告内容</w:t>
            </w:r>
          </w:p>
        </w:tc>
      </w:tr>
      <w:tr w14:paraId="5A0AA1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4B6FDA6">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w:t>
            </w:r>
          </w:p>
        </w:tc>
        <w:tc>
          <w:tcPr>
            <w:tcW w:w="2155" w:type="dxa"/>
            <w:noWrap w:val="0"/>
            <w:vAlign w:val="center"/>
          </w:tcPr>
          <w:p w14:paraId="726FB568">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是否接受联合体投标</w:t>
            </w:r>
          </w:p>
        </w:tc>
        <w:tc>
          <w:tcPr>
            <w:tcW w:w="6045" w:type="dxa"/>
            <w:noWrap w:val="0"/>
            <w:vAlign w:val="top"/>
          </w:tcPr>
          <w:p w14:paraId="65DA843B">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不接受</w:t>
            </w:r>
          </w:p>
          <w:p w14:paraId="1C8916D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接受，应满足下列要求</w:t>
            </w:r>
            <w:r>
              <w:rPr>
                <w:rFonts w:hint="eastAsia" w:ascii="宋体" w:hAnsi="宋体" w:eastAsia="宋体" w:cs="宋体"/>
                <w:strike/>
                <w:color w:val="auto"/>
                <w:sz w:val="24"/>
                <w:szCs w:val="24"/>
                <w:highlight w:val="none"/>
                <w:lang w:eastAsia="zh-CN"/>
              </w:rPr>
              <w:t>：</w:t>
            </w:r>
          </w:p>
        </w:tc>
      </w:tr>
      <w:tr w14:paraId="3F2654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5908D5F9">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p>
        </w:tc>
        <w:tc>
          <w:tcPr>
            <w:tcW w:w="2155" w:type="dxa"/>
            <w:noWrap w:val="0"/>
            <w:vAlign w:val="center"/>
          </w:tcPr>
          <w:p w14:paraId="72C1030A">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踏勘现场</w:t>
            </w:r>
          </w:p>
        </w:tc>
        <w:tc>
          <w:tcPr>
            <w:tcW w:w="6045" w:type="dxa"/>
            <w:noWrap w:val="0"/>
            <w:vAlign w:val="top"/>
          </w:tcPr>
          <w:p w14:paraId="36B471D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不组织。</w:t>
            </w:r>
          </w:p>
          <w:p w14:paraId="6193F707">
            <w:pPr>
              <w:tabs>
                <w:tab w:val="left" w:pos="5680"/>
              </w:tabs>
              <w:kinsoku/>
              <w:topLinePunct/>
              <w:spacing w:line="360" w:lineRule="auto"/>
              <w:ind w:left="105" w:leftChars="50" w:right="105" w:rightChars="5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□组织。联系人：</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联系电话：</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踏勘时间：</w:t>
            </w:r>
            <w:r>
              <w:rPr>
                <w:rFonts w:hint="eastAsia" w:ascii="宋体" w:hAnsi="宋体" w:eastAsia="宋体" w:cs="宋体"/>
                <w:strike/>
                <w:color w:val="auto"/>
                <w:sz w:val="24"/>
                <w:szCs w:val="24"/>
                <w:highlight w:val="none"/>
                <w:u w:val="single"/>
              </w:rPr>
              <w:t xml:space="preserve">                  </w:t>
            </w:r>
          </w:p>
          <w:p w14:paraId="723D22DA">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strike/>
                <w:color w:val="auto"/>
                <w:sz w:val="24"/>
                <w:szCs w:val="24"/>
                <w:highlight w:val="none"/>
              </w:rPr>
              <w:t>踏勘集中地点：</w:t>
            </w:r>
            <w:r>
              <w:rPr>
                <w:rFonts w:hint="eastAsia" w:ascii="宋体" w:hAnsi="宋体" w:eastAsia="宋体" w:cs="宋体"/>
                <w:strike/>
                <w:color w:val="auto"/>
                <w:sz w:val="24"/>
                <w:szCs w:val="24"/>
                <w:highlight w:val="none"/>
                <w:u w:val="single"/>
              </w:rPr>
              <w:t xml:space="preserve">                  </w:t>
            </w:r>
          </w:p>
        </w:tc>
      </w:tr>
      <w:tr w14:paraId="0C438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52FA3A38">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1.10.1</w:t>
            </w:r>
          </w:p>
        </w:tc>
        <w:tc>
          <w:tcPr>
            <w:tcW w:w="2155" w:type="dxa"/>
            <w:noWrap w:val="0"/>
            <w:vAlign w:val="center"/>
          </w:tcPr>
          <w:p w14:paraId="0FC58BA3">
            <w:pPr>
              <w:widowControl w:val="0"/>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投标预备会</w:t>
            </w:r>
          </w:p>
        </w:tc>
        <w:tc>
          <w:tcPr>
            <w:tcW w:w="6045" w:type="dxa"/>
            <w:noWrap w:val="0"/>
            <w:vAlign w:val="top"/>
          </w:tcPr>
          <w:p w14:paraId="1312D995">
            <w:pPr>
              <w:widowControl w:val="0"/>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不召开。</w:t>
            </w:r>
          </w:p>
          <w:p w14:paraId="4D468D44">
            <w:pPr>
              <w:widowControl w:val="0"/>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strike/>
                <w:color w:val="auto"/>
                <w:sz w:val="24"/>
                <w:szCs w:val="24"/>
                <w:highlight w:val="none"/>
              </w:rPr>
              <w:t>□召开。召开时间：</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召开地点：</w:t>
            </w:r>
            <w:r>
              <w:rPr>
                <w:rFonts w:hint="eastAsia" w:ascii="宋体" w:hAnsi="宋体" w:eastAsia="宋体" w:cs="宋体"/>
                <w:strike/>
                <w:color w:val="auto"/>
                <w:sz w:val="24"/>
                <w:szCs w:val="24"/>
                <w:highlight w:val="none"/>
                <w:u w:val="single"/>
              </w:rPr>
              <w:t xml:space="preserve">       </w:t>
            </w:r>
          </w:p>
        </w:tc>
      </w:tr>
      <w:tr w14:paraId="09E066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FECECB1">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1.10.2</w:t>
            </w:r>
          </w:p>
        </w:tc>
        <w:tc>
          <w:tcPr>
            <w:tcW w:w="2155" w:type="dxa"/>
            <w:noWrap w:val="0"/>
            <w:vAlign w:val="center"/>
          </w:tcPr>
          <w:p w14:paraId="650D0F74">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投标人提出问题的截止时间、上传疑问方式</w:t>
            </w:r>
          </w:p>
        </w:tc>
        <w:tc>
          <w:tcPr>
            <w:tcW w:w="6045" w:type="dxa"/>
            <w:noWrap w:val="0"/>
            <w:vAlign w:val="top"/>
          </w:tcPr>
          <w:p w14:paraId="49E8F53C">
            <w:pPr>
              <w:kinsoku/>
              <w:topLinePunct/>
              <w:snapToGrid/>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提问截止时间：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分。（投标人在截止时间以后提出的澄清招标文件的要求，招标人可以拒绝受理），提交方式</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olor w:val="auto"/>
                <w:sz w:val="24"/>
                <w:szCs w:val="24"/>
                <w:highlight w:val="none"/>
                <w:u w:val="single"/>
              </w:rPr>
              <w:t>请在上述时间截止前将加盖公章的PDF电子格式的投标提问书发送至</w:t>
            </w:r>
            <w:r>
              <w:rPr>
                <w:rFonts w:hint="eastAsia" w:ascii="宋体" w:hAnsi="宋体" w:eastAsia="宋体" w:cs="宋体"/>
                <w:i w:val="0"/>
                <w:iCs w:val="0"/>
                <w:color w:val="auto"/>
                <w:kern w:val="2"/>
                <w:sz w:val="24"/>
                <w:szCs w:val="24"/>
                <w:highlight w:val="none"/>
                <w:u w:val="single"/>
              </w:rPr>
              <w:t>284539594@qq.com</w:t>
            </w:r>
            <w:r>
              <w:rPr>
                <w:rFonts w:hint="eastAsia" w:ascii="宋体" w:hAnsi="宋体" w:eastAsia="宋体" w:cs="宋体"/>
                <w:i/>
                <w:color w:val="auto"/>
                <w:sz w:val="24"/>
                <w:szCs w:val="24"/>
                <w:highlight w:val="none"/>
                <w:u w:val="single"/>
              </w:rPr>
              <w:t>。</w:t>
            </w:r>
          </w:p>
          <w:p w14:paraId="48F93E39">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i w:val="0"/>
                <w:iCs/>
                <w:color w:val="auto"/>
                <w:sz w:val="24"/>
                <w:szCs w:val="24"/>
                <w:highlight w:val="none"/>
                <w:u w:val="single"/>
                <w:lang w:val="en-US" w:eastAsia="zh-CN"/>
              </w:rPr>
              <w:t>1</w:t>
            </w:r>
            <w:r>
              <w:rPr>
                <w:rFonts w:hint="eastAsia" w:ascii="宋体" w:hAnsi="宋体" w:eastAsia="宋体" w:cs="宋体"/>
                <w:i w:val="0"/>
                <w:iCs/>
                <w:color w:val="auto"/>
                <w:kern w:val="2"/>
                <w:sz w:val="24"/>
                <w:szCs w:val="24"/>
                <w:highlight w:val="none"/>
                <w:u w:val="single"/>
              </w:rPr>
              <w:t>3806751365</w:t>
            </w:r>
            <w:r>
              <w:rPr>
                <w:rFonts w:hint="eastAsia" w:ascii="宋体" w:hAnsi="宋体" w:eastAsia="宋体" w:cs="宋体"/>
                <w:i w:val="0"/>
                <w:iCs/>
                <w:color w:val="auto"/>
                <w:kern w:val="2"/>
                <w:sz w:val="24"/>
                <w:szCs w:val="24"/>
                <w:highlight w:val="none"/>
                <w:u w:val="none"/>
                <w:lang w:val="en-US" w:eastAsia="zh-CN"/>
              </w:rPr>
              <w:t xml:space="preserve">  </w:t>
            </w:r>
            <w:r>
              <w:rPr>
                <w:rFonts w:hint="eastAsia" w:ascii="宋体" w:hAnsi="宋体" w:eastAsia="宋体" w:cs="宋体"/>
                <w:color w:val="auto"/>
                <w:sz w:val="24"/>
                <w:szCs w:val="24"/>
                <w:highlight w:val="none"/>
              </w:rPr>
              <w:t>联系人：</w:t>
            </w:r>
            <w:r>
              <w:rPr>
                <w:rFonts w:hint="eastAsia" w:ascii="宋体" w:hAnsi="宋体" w:eastAsia="宋体" w:cs="宋体"/>
                <w:i w:val="0"/>
                <w:iCs/>
                <w:color w:val="auto"/>
                <w:sz w:val="24"/>
                <w:szCs w:val="24"/>
                <w:highlight w:val="none"/>
                <w:u w:val="single"/>
                <w:lang w:val="en-US" w:eastAsia="zh-CN"/>
              </w:rPr>
              <w:t>高工</w:t>
            </w:r>
            <w:r>
              <w:rPr>
                <w:rFonts w:hint="eastAsia" w:ascii="宋体" w:hAnsi="宋体" w:eastAsia="宋体" w:cs="宋体"/>
                <w:i/>
                <w:color w:val="auto"/>
                <w:sz w:val="24"/>
                <w:szCs w:val="24"/>
                <w:highlight w:val="none"/>
                <w:u w:val="single"/>
              </w:rPr>
              <w:t>。</w:t>
            </w:r>
          </w:p>
        </w:tc>
      </w:tr>
      <w:tr w14:paraId="2767A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F784235">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1.10.3</w:t>
            </w:r>
          </w:p>
        </w:tc>
        <w:tc>
          <w:tcPr>
            <w:tcW w:w="2155" w:type="dxa"/>
            <w:noWrap w:val="0"/>
            <w:vAlign w:val="center"/>
          </w:tcPr>
          <w:p w14:paraId="46B57993">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招标文件的澄清、补充、修改的时间，澄清、修改、补充文件的下载网址</w:t>
            </w:r>
          </w:p>
        </w:tc>
        <w:tc>
          <w:tcPr>
            <w:tcW w:w="6045" w:type="dxa"/>
            <w:noWrap w:val="0"/>
            <w:vAlign w:val="top"/>
          </w:tcPr>
          <w:p w14:paraId="643A7A8B">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52552B89">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澄清、补充、修改的内容不影响投标文件编制的，将在投标文件递交截止时间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天前，以上款相同的形式发布。</w:t>
            </w:r>
          </w:p>
          <w:p w14:paraId="0A54748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潜在投标人应自行关注绍兴公共资源交易网，招标人不再逐一通知。投标人因自身贻误行为导致投标失败的，责任自负。</w:t>
            </w:r>
          </w:p>
          <w:p w14:paraId="6F300F00">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公布、下载网址：绍兴市公共资源交易中心电子招投标交易平台（http://220.187.225.202:8088/TPBidderztk/memberLogin)</w:t>
            </w:r>
          </w:p>
        </w:tc>
      </w:tr>
      <w:tr w14:paraId="340C1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3B2630F6">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w:t>
            </w:r>
          </w:p>
        </w:tc>
        <w:tc>
          <w:tcPr>
            <w:tcW w:w="2155" w:type="dxa"/>
            <w:noWrap w:val="0"/>
            <w:vAlign w:val="center"/>
          </w:tcPr>
          <w:p w14:paraId="4DE04C56">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6045" w:type="dxa"/>
            <w:noWrap w:val="0"/>
            <w:vAlign w:val="top"/>
          </w:tcPr>
          <w:p w14:paraId="656B5A4A">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tc>
      </w:tr>
      <w:tr w14:paraId="340E64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1EC76589">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2155" w:type="dxa"/>
            <w:noWrap w:val="0"/>
            <w:vAlign w:val="center"/>
          </w:tcPr>
          <w:p w14:paraId="37768D0C">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偏离</w:t>
            </w:r>
          </w:p>
        </w:tc>
        <w:tc>
          <w:tcPr>
            <w:tcW w:w="6045" w:type="dxa"/>
            <w:noWrap w:val="0"/>
            <w:vAlign w:val="top"/>
          </w:tcPr>
          <w:p w14:paraId="62D16DA0">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不允许。</w:t>
            </w:r>
          </w:p>
          <w:p w14:paraId="6002FD3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strike/>
                <w:color w:val="auto"/>
                <w:sz w:val="24"/>
                <w:szCs w:val="24"/>
                <w:highlight w:val="none"/>
              </w:rPr>
              <w:t>□允许。允许偏离的内容、偏离范围和幅度</w:t>
            </w:r>
            <w:r>
              <w:rPr>
                <w:rFonts w:hint="eastAsia" w:ascii="宋体" w:hAnsi="宋体" w:eastAsia="宋体" w:cs="宋体"/>
                <w:strike/>
                <w:color w:val="auto"/>
                <w:sz w:val="24"/>
                <w:szCs w:val="24"/>
                <w:highlight w:val="none"/>
                <w:lang w:eastAsia="zh-CN"/>
              </w:rPr>
              <w:t>：</w:t>
            </w:r>
          </w:p>
        </w:tc>
      </w:tr>
      <w:tr w14:paraId="1C941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218C378">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p>
        </w:tc>
        <w:tc>
          <w:tcPr>
            <w:tcW w:w="2155" w:type="dxa"/>
            <w:noWrap w:val="0"/>
            <w:vAlign w:val="center"/>
          </w:tcPr>
          <w:p w14:paraId="0683F217">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构成招标文件的其他材料</w:t>
            </w:r>
          </w:p>
        </w:tc>
        <w:tc>
          <w:tcPr>
            <w:tcW w:w="6045" w:type="dxa"/>
            <w:noWrap w:val="0"/>
            <w:vAlign w:val="center"/>
          </w:tcPr>
          <w:p w14:paraId="5AB8B613">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u w:val="none"/>
              </w:rPr>
              <w:t>补充文件（答疑、澄清、补充、修改）</w:t>
            </w:r>
          </w:p>
        </w:tc>
      </w:tr>
      <w:tr w14:paraId="4138DA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2E1A986">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2155" w:type="dxa"/>
            <w:noWrap w:val="0"/>
            <w:vAlign w:val="center"/>
          </w:tcPr>
          <w:p w14:paraId="189F25E6">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投标人要求澄清招标文件的截止时间</w:t>
            </w:r>
          </w:p>
        </w:tc>
        <w:tc>
          <w:tcPr>
            <w:tcW w:w="6045" w:type="dxa"/>
            <w:noWrap w:val="0"/>
            <w:vAlign w:val="center"/>
          </w:tcPr>
          <w:p w14:paraId="02CE11CD">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同投标人须知前附表第1.10.2项</w:t>
            </w:r>
          </w:p>
        </w:tc>
      </w:tr>
      <w:tr w14:paraId="20F958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8FE3ECF">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w:t>
            </w:r>
          </w:p>
        </w:tc>
        <w:tc>
          <w:tcPr>
            <w:tcW w:w="2155" w:type="dxa"/>
            <w:noWrap w:val="0"/>
            <w:vAlign w:val="center"/>
          </w:tcPr>
          <w:p w14:paraId="5447E624">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投标截止时间</w:t>
            </w:r>
          </w:p>
        </w:tc>
        <w:tc>
          <w:tcPr>
            <w:tcW w:w="6045" w:type="dxa"/>
            <w:noWrap w:val="0"/>
            <w:vAlign w:val="top"/>
          </w:tcPr>
          <w:p w14:paraId="0092162C">
            <w:pPr>
              <w:tabs>
                <w:tab w:val="left" w:pos="558"/>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val="en-US" w:eastAsia="zh-CN"/>
              </w:rPr>
              <w:t xml:space="preserve">2026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w:t>
            </w:r>
          </w:p>
        </w:tc>
      </w:tr>
      <w:tr w14:paraId="34A05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578013A1">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w:t>
            </w:r>
          </w:p>
        </w:tc>
        <w:tc>
          <w:tcPr>
            <w:tcW w:w="2155" w:type="dxa"/>
            <w:noWrap w:val="0"/>
            <w:vAlign w:val="center"/>
          </w:tcPr>
          <w:p w14:paraId="33D935E9">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投标人确认收到招标文件澄清的时间</w:t>
            </w:r>
          </w:p>
        </w:tc>
        <w:tc>
          <w:tcPr>
            <w:tcW w:w="6045" w:type="dxa"/>
            <w:noWrap w:val="0"/>
            <w:vAlign w:val="top"/>
          </w:tcPr>
          <w:p w14:paraId="6DCBD2AF">
            <w:pPr>
              <w:tabs>
                <w:tab w:val="left" w:pos="5680"/>
              </w:tabs>
              <w:kinsoku/>
              <w:topLinePunct/>
              <w:autoSpaceDE/>
              <w:autoSpaceDN/>
              <w:spacing w:line="360" w:lineRule="auto"/>
              <w:ind w:left="0" w:leftChars="0" w:right="0" w:right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潜在投标人应自行关注绍兴公共资源交易网（http：//oa.ggb.sx.gov.cn/TPBidder-ztk）和绍兴市公共资源交易中心电子招投标交易平台（http://220.187.225.202:8088/TPBidderztk/memberLogin)），招标人不再一一通知。投标人因自身贻误行为导致投标失败的，责任自负。</w:t>
            </w:r>
          </w:p>
        </w:tc>
      </w:tr>
      <w:tr w14:paraId="40AE0B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63C45F1">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2155" w:type="dxa"/>
            <w:noWrap w:val="0"/>
            <w:vAlign w:val="center"/>
          </w:tcPr>
          <w:p w14:paraId="71B64BC4">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构成投标文件</w:t>
            </w:r>
          </w:p>
          <w:p w14:paraId="27D52C21">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其他材料</w:t>
            </w:r>
          </w:p>
        </w:tc>
        <w:tc>
          <w:tcPr>
            <w:tcW w:w="6045" w:type="dxa"/>
            <w:noWrap w:val="0"/>
            <w:vAlign w:val="center"/>
          </w:tcPr>
          <w:p w14:paraId="7F66D6DE">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p>
        </w:tc>
      </w:tr>
      <w:tr w14:paraId="426B80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3EB57344">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w:t>
            </w:r>
          </w:p>
        </w:tc>
        <w:tc>
          <w:tcPr>
            <w:tcW w:w="2155" w:type="dxa"/>
            <w:noWrap w:val="0"/>
            <w:vAlign w:val="center"/>
          </w:tcPr>
          <w:p w14:paraId="659A111B">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最高投标限价</w:t>
            </w:r>
          </w:p>
        </w:tc>
        <w:tc>
          <w:tcPr>
            <w:tcW w:w="6045" w:type="dxa"/>
            <w:noWrap w:val="0"/>
            <w:vAlign w:val="top"/>
          </w:tcPr>
          <w:p w14:paraId="004CE7F5">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本次招标最高投标限价为：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2700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p>
          <w:p w14:paraId="13D659A2">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在投标截止时间15个日历天前以补充文件的形式公布</w:t>
            </w:r>
          </w:p>
          <w:p w14:paraId="7757A35E">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□本次招标最高投标限价的计算方法</w:t>
            </w:r>
            <w:r>
              <w:rPr>
                <w:rFonts w:hint="eastAsia" w:ascii="宋体" w:hAnsi="宋体" w:eastAsia="宋体" w:cs="宋体"/>
                <w:color w:val="auto"/>
                <w:sz w:val="24"/>
                <w:szCs w:val="24"/>
                <w:highlight w:val="none"/>
                <w:lang w:eastAsia="zh-CN"/>
              </w:rPr>
              <w:t>：</w:t>
            </w:r>
          </w:p>
        </w:tc>
      </w:tr>
      <w:tr w14:paraId="713027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58A5F19D">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3.2.4</w:t>
            </w:r>
          </w:p>
        </w:tc>
        <w:tc>
          <w:tcPr>
            <w:tcW w:w="2155" w:type="dxa"/>
            <w:noWrap w:val="0"/>
            <w:vAlign w:val="center"/>
          </w:tcPr>
          <w:p w14:paraId="3E13AB06">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w:t>
            </w:r>
          </w:p>
          <w:p w14:paraId="18A63EE9">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其他要求</w:t>
            </w:r>
          </w:p>
        </w:tc>
        <w:tc>
          <w:tcPr>
            <w:tcW w:w="6045" w:type="dxa"/>
            <w:noWrap w:val="0"/>
            <w:vAlign w:val="center"/>
          </w:tcPr>
          <w:p w14:paraId="2AFC6EA4">
            <w:pPr>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一、投标总价应为投标人为完成本项目所发生的一切费用，包括设备供货及相关服务等全过程产生的所有成本和费用以及一切税</w:t>
            </w:r>
            <w:r>
              <w:rPr>
                <w:rFonts w:hint="eastAsia" w:ascii="宋体" w:hAnsi="宋体" w:eastAsia="宋体" w:cs="宋体"/>
                <w:color w:val="auto"/>
                <w:sz w:val="24"/>
                <w:szCs w:val="24"/>
                <w:highlight w:val="none"/>
              </w:rPr>
              <w:t>费。</w:t>
            </w:r>
          </w:p>
          <w:p w14:paraId="4B614F8B">
            <w:pPr>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pacing w:val="12"/>
                <w:sz w:val="24"/>
                <w:szCs w:val="24"/>
                <w:highlight w:val="none"/>
              </w:rPr>
              <w:t>二、投标人应按“投标报价表”的要求报价，在投标报价表上</w:t>
            </w:r>
            <w:r>
              <w:rPr>
                <w:rFonts w:hint="eastAsia" w:ascii="宋体" w:hAnsi="宋体" w:eastAsia="宋体" w:cs="宋体"/>
                <w:color w:val="auto"/>
                <w:spacing w:val="13"/>
                <w:sz w:val="24"/>
                <w:szCs w:val="24"/>
                <w:highlight w:val="none"/>
              </w:rPr>
              <w:t>写明拟提供货物的单价和总价。对同一规格型号的设备，要求在所</w:t>
            </w:r>
            <w:r>
              <w:rPr>
                <w:rFonts w:hint="eastAsia" w:ascii="宋体" w:hAnsi="宋体" w:eastAsia="宋体" w:cs="宋体"/>
                <w:color w:val="auto"/>
                <w:spacing w:val="8"/>
                <w:sz w:val="24"/>
                <w:szCs w:val="24"/>
                <w:highlight w:val="none"/>
              </w:rPr>
              <w:t>有报价表中的单价相同。</w:t>
            </w:r>
          </w:p>
          <w:p w14:paraId="3BC97CFB">
            <w:pPr>
              <w:tabs>
                <w:tab w:val="left" w:pos="5680"/>
              </w:tabs>
              <w:kinsoku/>
              <w:topLinePunct w:val="0"/>
              <w:spacing w:line="360" w:lineRule="auto"/>
              <w:ind w:left="0" w:leftChars="0" w:right="0" w:rightChars="0"/>
              <w:jc w:val="left"/>
              <w:rPr>
                <w:rFonts w:hint="eastAsia" w:ascii="宋体" w:hAnsi="宋体" w:eastAsia="宋体" w:cs="宋体"/>
                <w:color w:val="auto"/>
                <w:sz w:val="24"/>
                <w:szCs w:val="24"/>
                <w:highlight w:val="none"/>
              </w:rPr>
            </w:pPr>
            <w:r>
              <w:rPr>
                <w:rFonts w:hint="eastAsia" w:ascii="宋体" w:hAnsi="宋体" w:eastAsia="宋体" w:cs="宋体"/>
                <w:color w:val="auto"/>
                <w:spacing w:val="13"/>
                <w:sz w:val="24"/>
                <w:szCs w:val="24"/>
                <w:highlight w:val="none"/>
              </w:rPr>
              <w:t>三、如果投标人认为为圆满完成本项目还有其他需要单独计价的配合工作，则应列明具体的细目和金额。所有与本项目有关的未</w:t>
            </w:r>
            <w:r>
              <w:rPr>
                <w:rFonts w:hint="eastAsia" w:ascii="宋体" w:hAnsi="宋体" w:eastAsia="宋体" w:cs="宋体"/>
                <w:color w:val="auto"/>
                <w:spacing w:val="12"/>
                <w:sz w:val="24"/>
                <w:szCs w:val="24"/>
                <w:highlight w:val="none"/>
              </w:rPr>
              <w:t>列入“投标报价表”的工作内容，均被认为已经包含在其他</w:t>
            </w:r>
            <w:r>
              <w:rPr>
                <w:rFonts w:hint="eastAsia" w:ascii="宋体" w:hAnsi="宋体" w:eastAsia="宋体" w:cs="宋体"/>
                <w:color w:val="auto"/>
                <w:spacing w:val="11"/>
                <w:sz w:val="24"/>
                <w:szCs w:val="24"/>
                <w:highlight w:val="none"/>
              </w:rPr>
              <w:t>细目及</w:t>
            </w:r>
            <w:r>
              <w:rPr>
                <w:rFonts w:hint="eastAsia" w:ascii="宋体" w:hAnsi="宋体" w:eastAsia="宋体" w:cs="宋体"/>
                <w:color w:val="auto"/>
                <w:spacing w:val="6"/>
                <w:sz w:val="24"/>
                <w:szCs w:val="24"/>
                <w:highlight w:val="none"/>
              </w:rPr>
              <w:t>投标总价中。</w:t>
            </w:r>
          </w:p>
        </w:tc>
      </w:tr>
      <w:tr w14:paraId="6D05A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37BB6155">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w:t>
            </w:r>
          </w:p>
        </w:tc>
        <w:tc>
          <w:tcPr>
            <w:tcW w:w="2155" w:type="dxa"/>
            <w:noWrap w:val="0"/>
            <w:vAlign w:val="center"/>
          </w:tcPr>
          <w:p w14:paraId="5BAC2A2E">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045" w:type="dxa"/>
            <w:noWrap w:val="0"/>
            <w:vAlign w:val="top"/>
          </w:tcPr>
          <w:p w14:paraId="4734570B">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不少于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90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个日历天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从投标截止之日起算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r>
      <w:tr w14:paraId="46DB8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A8F1356">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w:t>
            </w:r>
          </w:p>
        </w:tc>
        <w:tc>
          <w:tcPr>
            <w:tcW w:w="2155" w:type="dxa"/>
            <w:noWrap w:val="0"/>
            <w:vAlign w:val="center"/>
          </w:tcPr>
          <w:p w14:paraId="3ED160F7">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投标保证金数额</w:t>
            </w:r>
          </w:p>
        </w:tc>
        <w:tc>
          <w:tcPr>
            <w:tcW w:w="6045" w:type="dxa"/>
            <w:noWrap w:val="0"/>
            <w:vAlign w:val="center"/>
          </w:tcPr>
          <w:p w14:paraId="54C1F3D4">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投标保证金的金额与形式：见公告。</w:t>
            </w:r>
          </w:p>
        </w:tc>
      </w:tr>
      <w:tr w14:paraId="20473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06BBBC99">
            <w:pPr>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3.5.2</w:t>
            </w:r>
          </w:p>
        </w:tc>
        <w:tc>
          <w:tcPr>
            <w:tcW w:w="2155" w:type="dxa"/>
            <w:noWrap w:val="0"/>
            <w:vAlign w:val="center"/>
          </w:tcPr>
          <w:p w14:paraId="44485A71">
            <w:pPr>
              <w:tabs>
                <w:tab w:val="left" w:pos="14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近年财务状况的年份要求</w:t>
            </w:r>
          </w:p>
        </w:tc>
        <w:tc>
          <w:tcPr>
            <w:tcW w:w="6045" w:type="dxa"/>
            <w:noWrap w:val="0"/>
            <w:vAlign w:val="center"/>
          </w:tcPr>
          <w:p w14:paraId="6DC31E0C">
            <w:pPr>
              <w:tabs>
                <w:tab w:val="left" w:pos="5680"/>
              </w:tabs>
              <w:kinsoku/>
              <w:topLinePunct/>
              <w:spacing w:line="360" w:lineRule="auto"/>
              <w:ind w:left="105" w:leftChars="50" w:right="105" w:rightChars="50"/>
              <w:jc w:val="both"/>
              <w:rPr>
                <w:rFonts w:hint="eastAsia" w:ascii="宋体" w:hAnsi="宋体" w:eastAsia="宋体" w:cs="宋体"/>
                <w:strike/>
                <w:color w:val="auto"/>
                <w:sz w:val="24"/>
                <w:szCs w:val="24"/>
                <w:highlight w:val="none"/>
                <w:lang w:val="en-US" w:eastAsia="zh-CN"/>
              </w:rPr>
            </w:pPr>
            <w:r>
              <w:rPr>
                <w:rFonts w:hint="eastAsia" w:ascii="宋体" w:hAnsi="宋体" w:eastAsia="宋体" w:cs="宋体"/>
                <w:strike w:val="0"/>
                <w:color w:val="auto"/>
                <w:sz w:val="24"/>
                <w:szCs w:val="24"/>
                <w:highlight w:val="none"/>
                <w:lang w:val="en-US" w:eastAsia="zh-CN"/>
              </w:rPr>
              <w:t>近3年（2022—2024年）</w:t>
            </w:r>
          </w:p>
        </w:tc>
      </w:tr>
      <w:tr w14:paraId="0E0547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08C12C4">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3.5.3</w:t>
            </w:r>
          </w:p>
        </w:tc>
        <w:tc>
          <w:tcPr>
            <w:tcW w:w="2155" w:type="dxa"/>
            <w:noWrap w:val="0"/>
            <w:vAlign w:val="center"/>
          </w:tcPr>
          <w:p w14:paraId="7820C05D">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近年完成的类似项目的年份要求</w:t>
            </w:r>
          </w:p>
        </w:tc>
        <w:tc>
          <w:tcPr>
            <w:tcW w:w="6045" w:type="dxa"/>
            <w:noWrap w:val="0"/>
            <w:vAlign w:val="center"/>
          </w:tcPr>
          <w:p w14:paraId="4514DE1C">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bookmarkStart w:id="137" w:name="EBdba3d28d83e447b0b8d657e917a28616"/>
            <w:r>
              <w:rPr>
                <w:rFonts w:hint="eastAsia" w:ascii="宋体" w:hAnsi="宋体" w:eastAsia="宋体" w:cs="宋体"/>
                <w:color w:val="auto"/>
                <w:sz w:val="24"/>
                <w:szCs w:val="24"/>
                <w:highlight w:val="none"/>
              </w:rPr>
              <w:t>详见招标公告</w:t>
            </w:r>
            <w:bookmarkEnd w:id="137"/>
            <w:r>
              <w:rPr>
                <w:rFonts w:hint="eastAsia" w:ascii="宋体" w:hAnsi="宋体" w:eastAsia="宋体" w:cs="宋体"/>
                <w:color w:val="auto"/>
                <w:sz w:val="24"/>
                <w:szCs w:val="24"/>
                <w:highlight w:val="none"/>
                <w:lang w:val="en-US" w:eastAsia="zh-CN"/>
              </w:rPr>
              <w:t>及评标办法</w:t>
            </w:r>
          </w:p>
        </w:tc>
      </w:tr>
      <w:tr w14:paraId="5603EF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60F4E235">
            <w:pPr>
              <w:kinsoku/>
              <w:topLinePunct/>
              <w:spacing w:line="360" w:lineRule="auto"/>
              <w:ind w:left="105" w:leftChars="50" w:right="105" w:rightChars="5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3.5.5</w:t>
            </w:r>
          </w:p>
        </w:tc>
        <w:tc>
          <w:tcPr>
            <w:tcW w:w="2155" w:type="dxa"/>
            <w:noWrap w:val="0"/>
            <w:vAlign w:val="center"/>
          </w:tcPr>
          <w:p w14:paraId="5F07530F">
            <w:pPr>
              <w:tabs>
                <w:tab w:val="left" w:pos="1480"/>
              </w:tabs>
              <w:kinsoku/>
              <w:topLinePunct/>
              <w:spacing w:line="360" w:lineRule="auto"/>
              <w:ind w:left="105" w:leftChars="50" w:right="105" w:rightChars="5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近年发生的重大诉讼及仲裁情况的年份要求</w:t>
            </w:r>
          </w:p>
        </w:tc>
        <w:tc>
          <w:tcPr>
            <w:tcW w:w="6045" w:type="dxa"/>
            <w:noWrap w:val="0"/>
            <w:vAlign w:val="top"/>
          </w:tcPr>
          <w:p w14:paraId="6C701229">
            <w:pPr>
              <w:tabs>
                <w:tab w:val="left" w:pos="5680"/>
              </w:tabs>
              <w:kinsoku/>
              <w:topLinePunct/>
              <w:spacing w:line="360" w:lineRule="auto"/>
              <w:ind w:left="105" w:leftChars="50" w:right="105" w:rightChars="50"/>
              <w:jc w:val="both"/>
              <w:rPr>
                <w:rFonts w:hint="eastAsia" w:ascii="宋体" w:hAnsi="宋体" w:eastAsia="宋体" w:cs="宋体"/>
                <w:strike/>
                <w:color w:val="auto"/>
                <w:sz w:val="24"/>
                <w:szCs w:val="24"/>
                <w:highlight w:val="none"/>
                <w:lang w:val="en-US" w:eastAsia="zh-CN"/>
              </w:rPr>
            </w:pPr>
            <w:r>
              <w:rPr>
                <w:rFonts w:hint="eastAsia" w:ascii="宋体" w:hAnsi="宋体" w:eastAsia="宋体" w:cs="宋体"/>
                <w:strike/>
                <w:color w:val="auto"/>
                <w:sz w:val="24"/>
                <w:szCs w:val="24"/>
                <w:highlight w:val="none"/>
                <w:lang w:val="en-US" w:eastAsia="zh-CN"/>
              </w:rPr>
              <w:t>/</w:t>
            </w:r>
          </w:p>
        </w:tc>
      </w:tr>
      <w:tr w14:paraId="18320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0D0BD106">
            <w:pPr>
              <w:kinsoku/>
              <w:topLinePunct/>
              <w:spacing w:line="360" w:lineRule="auto"/>
              <w:ind w:left="105" w:leftChars="50" w:right="105" w:rightChars="5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3.5.</w:t>
            </w:r>
            <w:r>
              <w:rPr>
                <w:rFonts w:hint="eastAsia" w:ascii="宋体" w:hAnsi="宋体" w:eastAsia="宋体" w:cs="宋体"/>
                <w:color w:val="auto"/>
                <w:sz w:val="24"/>
                <w:szCs w:val="24"/>
                <w:highlight w:val="none"/>
                <w:lang w:val="en-US" w:eastAsia="zh-CN"/>
              </w:rPr>
              <w:t>9</w:t>
            </w:r>
          </w:p>
        </w:tc>
        <w:tc>
          <w:tcPr>
            <w:tcW w:w="2155" w:type="dxa"/>
            <w:noWrap w:val="0"/>
            <w:vAlign w:val="center"/>
          </w:tcPr>
          <w:p w14:paraId="54E8917C">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实质性响应招标文件及评审打分资料</w:t>
            </w:r>
          </w:p>
        </w:tc>
        <w:tc>
          <w:tcPr>
            <w:tcW w:w="6045" w:type="dxa"/>
            <w:noWrap w:val="0"/>
            <w:vAlign w:val="top"/>
          </w:tcPr>
          <w:p w14:paraId="00A519C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一、实质性响应招标文件资料</w:t>
            </w:r>
          </w:p>
          <w:p w14:paraId="74B265E9">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1.企业法人营业执照；</w:t>
            </w:r>
          </w:p>
          <w:p w14:paraId="2F64577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2.法定代表人授权委托书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投标文件委托代理人签字的提供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1F88704">
            <w:pPr>
              <w:tabs>
                <w:tab w:val="left" w:pos="5680"/>
              </w:tabs>
              <w:kinsoku/>
              <w:topLinePunct/>
              <w:spacing w:line="360" w:lineRule="auto"/>
              <w:ind w:left="105" w:leftChars="50" w:right="105" w:rightChars="5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□3.联合体各方签订的共同投标协议</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联合体投标的提供</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w:t>
            </w:r>
          </w:p>
          <w:p w14:paraId="6E2A57D3">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4.投标保证金缴纳证明资料</w:t>
            </w:r>
            <w:r>
              <w:rPr>
                <w:rFonts w:hint="eastAsia" w:ascii="宋体" w:hAnsi="宋体" w:eastAsia="宋体" w:cs="宋体"/>
                <w:bCs/>
                <w:color w:val="auto"/>
                <w:sz w:val="24"/>
                <w:szCs w:val="24"/>
                <w:highlight w:val="none"/>
              </w:rPr>
              <w:t>（银行转账记录或银行保函或投标保险保单或担保保函</w:t>
            </w:r>
            <w:r>
              <w:rPr>
                <w:rFonts w:hint="eastAsia" w:ascii="宋体" w:hAnsi="宋体" w:eastAsia="宋体" w:cs="宋体"/>
                <w:color w:val="auto"/>
                <w:sz w:val="24"/>
                <w:szCs w:val="24"/>
                <w:highlight w:val="none"/>
              </w:rPr>
              <w:t>，购买保险或办理保函、担保等保证金相关费用从投标人基本账户转出的凭证，基本账户开户证明）；</w:t>
            </w:r>
          </w:p>
          <w:p w14:paraId="4EEE86A7">
            <w:pPr>
              <w:tabs>
                <w:tab w:val="left" w:pos="5680"/>
              </w:tabs>
              <w:kinsoku/>
              <w:topLinePunct/>
              <w:spacing w:line="360" w:lineRule="auto"/>
              <w:ind w:left="105" w:leftChars="50" w:right="105" w:rightChars="5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□5.中小企业声明函；</w:t>
            </w:r>
          </w:p>
          <w:p w14:paraId="51227A1D">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投标人符合招标公告要求的证明材料：</w:t>
            </w:r>
            <w:r>
              <w:rPr>
                <w:rFonts w:hint="eastAsia" w:ascii="宋体" w:hAnsi="宋体" w:eastAsia="宋体" w:cs="宋体"/>
                <w:color w:val="auto"/>
                <w:sz w:val="24"/>
                <w:szCs w:val="24"/>
                <w:highlight w:val="none"/>
              </w:rPr>
              <w:t>其所能承载的证明内容应符合业绩要求的具体表述。（招标人认为需要增加的符合法 律法规规定的其他实质性响应的资料）</w:t>
            </w:r>
            <w:r>
              <w:rPr>
                <w:rFonts w:hint="eastAsia" w:ascii="宋体" w:hAnsi="宋体" w:eastAsia="宋体" w:cs="宋体"/>
                <w:color w:val="auto"/>
                <w:sz w:val="24"/>
                <w:szCs w:val="24"/>
                <w:highlight w:val="none"/>
                <w:lang w:eastAsia="zh-CN"/>
              </w:rPr>
              <w:t>。</w:t>
            </w:r>
          </w:p>
          <w:p w14:paraId="3A15E4C9">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二、评审打分资料</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须同时提供以下①和②：①合同协议书及已标价工程量清单；</w:t>
            </w:r>
            <w:r>
              <w:rPr>
                <w:rFonts w:hint="default" w:ascii="宋体" w:hAnsi="宋体" w:eastAsia="宋体" w:cs="宋体"/>
                <w:color w:val="auto"/>
                <w:sz w:val="24"/>
                <w:szCs w:val="24"/>
                <w:highlight w:val="none"/>
              </w:rPr>
              <w:t>②阀门安装验收报告或工程完工（或竣工）验收报告,及供货发票。若①和②材料中有不一致时，以②为准。供货业绩时间以阀门安装验收报告或工程完工（或竣工）验收报告为准，其中任何一项报告时间满足要求即可。</w:t>
            </w:r>
            <w:r>
              <w:rPr>
                <w:rFonts w:hint="eastAsia" w:ascii="宋体" w:hAnsi="宋体" w:eastAsia="宋体" w:cs="宋体"/>
                <w:color w:val="auto"/>
                <w:position w:val="1"/>
                <w:sz w:val="24"/>
                <w:szCs w:val="24"/>
                <w:highlight w:val="none"/>
              </w:rPr>
              <w:t>阀门直径和类型仅以证明材料①和②作为有效证明材料，其它证明材料不予认可。若合同中无法体现为水利水电工程或市政公用工程的，水利水电工程须提供初步设计（或可研）批复或行政许可文件，市政公用工程须提供初步设计（或可研）批复文件或行政主管部门有效证明材料，其它证明材料不予认可。如提供的合同同时包含阀门以外的其他内容的，且在合同中无法体现阀门部分金额时，须提供业主出具并加盖业主公章的证明材料，同时在已标价工程量清单中标记出阀门部分清单。以上业绩证明材料均应提供证明材料的复制件并加盖投标人公章</w:t>
            </w:r>
            <w:r>
              <w:rPr>
                <w:rFonts w:hint="eastAsia" w:ascii="宋体" w:hAnsi="宋体" w:eastAsia="宋体" w:cs="宋体"/>
                <w:color w:val="auto"/>
                <w:sz w:val="24"/>
                <w:szCs w:val="24"/>
                <w:highlight w:val="none"/>
              </w:rPr>
              <w:t>。</w:t>
            </w:r>
          </w:p>
          <w:p w14:paraId="26DE27DF">
            <w:pPr>
              <w:tabs>
                <w:tab w:val="left" w:pos="5680"/>
              </w:tabs>
              <w:kinsoku/>
              <w:topLinePunct/>
              <w:spacing w:line="360" w:lineRule="auto"/>
              <w:ind w:left="105" w:leftChars="50" w:right="105" w:rightChars="5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42F9C5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B28E7FB">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w:t>
            </w:r>
          </w:p>
        </w:tc>
        <w:tc>
          <w:tcPr>
            <w:tcW w:w="2155" w:type="dxa"/>
            <w:noWrap w:val="0"/>
            <w:vAlign w:val="center"/>
          </w:tcPr>
          <w:p w14:paraId="0CA56C65">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12"/>
                <w:sz w:val="24"/>
                <w:szCs w:val="24"/>
                <w:highlight w:val="none"/>
              </w:rPr>
              <w:t>是否允许递交</w:t>
            </w:r>
          </w:p>
          <w:p w14:paraId="366D98D8">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备选投标方案</w:t>
            </w:r>
          </w:p>
        </w:tc>
        <w:tc>
          <w:tcPr>
            <w:tcW w:w="6045" w:type="dxa"/>
            <w:noWrap w:val="0"/>
            <w:vAlign w:val="top"/>
          </w:tcPr>
          <w:p w14:paraId="1F253E2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不允许。</w:t>
            </w:r>
          </w:p>
          <w:p w14:paraId="7861A61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w:t>
            </w:r>
          </w:p>
        </w:tc>
      </w:tr>
      <w:tr w14:paraId="38D0F8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9A30D81">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p>
        </w:tc>
        <w:tc>
          <w:tcPr>
            <w:tcW w:w="2155" w:type="dxa"/>
            <w:noWrap w:val="0"/>
            <w:vAlign w:val="center"/>
          </w:tcPr>
          <w:p w14:paraId="048B2434">
            <w:pPr>
              <w:tabs>
                <w:tab w:val="left" w:pos="1480"/>
              </w:tabs>
              <w:kinsoku/>
              <w:topLinePunct/>
              <w:spacing w:line="360" w:lineRule="auto"/>
              <w:ind w:left="105" w:leftChars="50" w:right="105" w:rightChars="50"/>
              <w:jc w:val="both"/>
              <w:rPr>
                <w:rFonts w:hint="eastAsia" w:ascii="宋体" w:hAnsi="宋体" w:eastAsia="宋体" w:cs="宋体"/>
                <w:strike/>
                <w:dstrike w:val="0"/>
                <w:color w:val="auto"/>
                <w:sz w:val="24"/>
                <w:szCs w:val="24"/>
                <w:highlight w:val="none"/>
              </w:rPr>
            </w:pPr>
            <w:r>
              <w:rPr>
                <w:rFonts w:hint="eastAsia" w:ascii="宋体" w:hAnsi="宋体" w:eastAsia="宋体" w:cs="宋体"/>
                <w:strike/>
                <w:dstrike w:val="0"/>
                <w:color w:val="auto"/>
                <w:sz w:val="24"/>
                <w:szCs w:val="24"/>
                <w:highlight w:val="none"/>
                <w:lang w:eastAsia="zh-CN"/>
              </w:rPr>
              <w:t>□</w:t>
            </w:r>
            <w:r>
              <w:rPr>
                <w:rFonts w:hint="eastAsia" w:ascii="宋体" w:hAnsi="宋体" w:eastAsia="宋体" w:cs="宋体"/>
                <w:strike/>
                <w:dstrike w:val="0"/>
                <w:color w:val="auto"/>
                <w:sz w:val="24"/>
                <w:szCs w:val="24"/>
                <w:highlight w:val="none"/>
              </w:rPr>
              <w:t>纸质投标文件签字或盖章要求</w:t>
            </w:r>
          </w:p>
        </w:tc>
        <w:tc>
          <w:tcPr>
            <w:tcW w:w="6045" w:type="dxa"/>
            <w:noWrap w:val="0"/>
            <w:vAlign w:val="center"/>
          </w:tcPr>
          <w:p w14:paraId="18E865E6">
            <w:pPr>
              <w:tabs>
                <w:tab w:val="left" w:pos="5680"/>
              </w:tabs>
              <w:kinsoku/>
              <w:topLinePunct/>
              <w:spacing w:line="360" w:lineRule="auto"/>
              <w:ind w:left="105" w:leftChars="50" w:right="105" w:rightChars="50"/>
              <w:jc w:val="both"/>
              <w:rPr>
                <w:rFonts w:hint="eastAsia" w:ascii="宋体" w:hAnsi="宋体" w:eastAsia="宋体" w:cs="宋体"/>
                <w:strike/>
                <w:dstrike w:val="0"/>
                <w:color w:val="auto"/>
                <w:sz w:val="24"/>
                <w:szCs w:val="24"/>
                <w:highlight w:val="none"/>
              </w:rPr>
            </w:pPr>
            <w:r>
              <w:rPr>
                <w:rFonts w:hint="eastAsia" w:ascii="宋体" w:hAnsi="宋体" w:eastAsia="宋体" w:cs="宋体"/>
                <w:strike/>
                <w:dstrike w:val="0"/>
                <w:color w:val="auto"/>
                <w:sz w:val="24"/>
                <w:szCs w:val="24"/>
                <w:highlight w:val="none"/>
              </w:rPr>
              <w:t>按招标文件要求盖单位公章、法定代表人签字或盖章。委托代理人签字的，投标文件应附法定代表人签署的授权委托书。</w:t>
            </w:r>
          </w:p>
        </w:tc>
      </w:tr>
      <w:tr w14:paraId="1D1D3C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vMerge w:val="restart"/>
            <w:noWrap w:val="0"/>
            <w:vAlign w:val="center"/>
          </w:tcPr>
          <w:p w14:paraId="3FDA0966">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p>
        </w:tc>
        <w:tc>
          <w:tcPr>
            <w:tcW w:w="2155" w:type="dxa"/>
            <w:noWrap w:val="0"/>
            <w:vAlign w:val="center"/>
          </w:tcPr>
          <w:p w14:paraId="4183ED61">
            <w:pPr>
              <w:pStyle w:val="40"/>
              <w:kinsoku/>
              <w:topLinePunct/>
              <w:spacing w:line="360" w:lineRule="auto"/>
              <w:ind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sym w:font="Wingdings 2" w:char="0052"/>
            </w:r>
            <w:r>
              <w:rPr>
                <w:rFonts w:hint="eastAsia" w:ascii="宋体" w:hAnsi="宋体" w:eastAsia="宋体" w:cs="宋体"/>
                <w:strike w:val="0"/>
                <w:color w:val="auto"/>
                <w:sz w:val="24"/>
                <w:szCs w:val="24"/>
                <w:highlight w:val="none"/>
              </w:rPr>
              <w:t>电子投标文件盖章要求</w:t>
            </w:r>
          </w:p>
        </w:tc>
        <w:tc>
          <w:tcPr>
            <w:tcW w:w="6045" w:type="dxa"/>
            <w:noWrap w:val="0"/>
            <w:vAlign w:val="center"/>
          </w:tcPr>
          <w:p w14:paraId="2FBDA14D">
            <w:pPr>
              <w:pStyle w:val="40"/>
              <w:kinsoku/>
              <w:topLinePunct/>
              <w:spacing w:line="360" w:lineRule="auto"/>
              <w:ind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3D35A1FA">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2.</w:t>
            </w:r>
            <w:r>
              <w:rPr>
                <w:rFonts w:hint="eastAsia" w:ascii="宋体" w:hAnsi="宋体" w:eastAsia="宋体" w:cs="宋体"/>
                <w:strike w:val="0"/>
                <w:color w:val="auto"/>
                <w:sz w:val="24"/>
                <w:szCs w:val="24"/>
                <w:highlight w:val="none"/>
              </w:rPr>
              <w:sym w:font="Wingdings 2" w:char="00A3"/>
            </w:r>
            <w:r>
              <w:rPr>
                <w:rFonts w:hint="eastAsia" w:ascii="宋体" w:hAnsi="宋体" w:eastAsia="宋体" w:cs="宋体"/>
                <w:strike w:val="0"/>
                <w:color w:val="auto"/>
                <w:sz w:val="24"/>
                <w:szCs w:val="24"/>
                <w:highlight w:val="none"/>
              </w:rPr>
              <w:t>投标文件所附证书证件、业绩证明文件、投标保证金等证明材料用原件扫描件并加盖投标单位电子印章；</w:t>
            </w:r>
          </w:p>
        </w:tc>
      </w:tr>
      <w:tr w14:paraId="23368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vMerge w:val="continue"/>
            <w:noWrap w:val="0"/>
            <w:vAlign w:val="center"/>
          </w:tcPr>
          <w:p w14:paraId="570321C6">
            <w:pPr>
              <w:kinsoku/>
              <w:topLinePunct/>
              <w:spacing w:line="360" w:lineRule="auto"/>
              <w:ind w:left="105" w:leftChars="50" w:right="105" w:rightChars="50"/>
              <w:jc w:val="both"/>
              <w:rPr>
                <w:rFonts w:hint="eastAsia" w:ascii="宋体" w:hAnsi="宋体" w:eastAsia="宋体" w:cs="宋体"/>
                <w:color w:val="auto"/>
                <w:sz w:val="24"/>
                <w:szCs w:val="24"/>
                <w:highlight w:val="none"/>
              </w:rPr>
            </w:pPr>
          </w:p>
        </w:tc>
        <w:tc>
          <w:tcPr>
            <w:tcW w:w="2155" w:type="dxa"/>
            <w:noWrap w:val="0"/>
            <w:vAlign w:val="center"/>
          </w:tcPr>
          <w:p w14:paraId="7D5D25CA">
            <w:pPr>
              <w:pStyle w:val="40"/>
              <w:kinsoku/>
              <w:topLinePunct/>
              <w:spacing w:line="360" w:lineRule="auto"/>
              <w:ind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sym w:font="Wingdings 2" w:char="0052"/>
            </w:r>
            <w:r>
              <w:rPr>
                <w:rFonts w:hint="eastAsia" w:ascii="宋体" w:hAnsi="宋体" w:eastAsia="宋体" w:cs="宋体"/>
                <w:strike w:val="0"/>
                <w:color w:val="auto"/>
                <w:sz w:val="24"/>
                <w:szCs w:val="24"/>
                <w:highlight w:val="none"/>
              </w:rPr>
              <w:t>电子投标文件加密章要求</w:t>
            </w:r>
          </w:p>
        </w:tc>
        <w:tc>
          <w:tcPr>
            <w:tcW w:w="6045" w:type="dxa"/>
            <w:noWrap w:val="0"/>
            <w:vAlign w:val="center"/>
          </w:tcPr>
          <w:p w14:paraId="1C7E0C87">
            <w:pPr>
              <w:pStyle w:val="40"/>
              <w:kinsoku/>
              <w:topLinePunct/>
              <w:spacing w:line="360" w:lineRule="auto"/>
              <w:ind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电子投标的项目，在投标截止时间前，将由投标工具软件制作生成的加密投标文件上传至绍兴市公共资源交易中心电子招投标交易平台。</w:t>
            </w:r>
          </w:p>
          <w:p w14:paraId="202394AB">
            <w:pPr>
              <w:pStyle w:val="40"/>
              <w:kinsoku/>
              <w:topLinePunct/>
              <w:spacing w:line="360" w:lineRule="auto"/>
              <w:ind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其他：/。</w:t>
            </w:r>
          </w:p>
        </w:tc>
      </w:tr>
      <w:tr w14:paraId="6B6E46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381DF7B">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3.7.4</w:t>
            </w:r>
          </w:p>
        </w:tc>
        <w:tc>
          <w:tcPr>
            <w:tcW w:w="2155" w:type="dxa"/>
            <w:noWrap w:val="0"/>
            <w:vAlign w:val="center"/>
          </w:tcPr>
          <w:p w14:paraId="1096DA43">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投标文件份数</w:t>
            </w:r>
          </w:p>
        </w:tc>
        <w:tc>
          <w:tcPr>
            <w:tcW w:w="6045" w:type="dxa"/>
            <w:noWrap w:val="0"/>
            <w:vAlign w:val="top"/>
          </w:tcPr>
          <w:p w14:paraId="251DC8E5">
            <w:pPr>
              <w:pStyle w:val="13"/>
              <w:topLinePunc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w:t>
            </w:r>
          </w:p>
        </w:tc>
      </w:tr>
      <w:tr w14:paraId="4D86D0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56FFA25A">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2155" w:type="dxa"/>
            <w:noWrap w:val="0"/>
            <w:vAlign w:val="center"/>
          </w:tcPr>
          <w:p w14:paraId="0D090569">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光盘、样品等材料的包装和标记</w:t>
            </w:r>
          </w:p>
        </w:tc>
        <w:tc>
          <w:tcPr>
            <w:tcW w:w="6045" w:type="dxa"/>
            <w:noWrap w:val="0"/>
            <w:vAlign w:val="center"/>
          </w:tcPr>
          <w:p w14:paraId="694999C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r w14:paraId="63537D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top"/>
          </w:tcPr>
          <w:p w14:paraId="1F25074E">
            <w:pPr>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4.2</w:t>
            </w:r>
          </w:p>
        </w:tc>
        <w:tc>
          <w:tcPr>
            <w:tcW w:w="2155" w:type="dxa"/>
            <w:noWrap w:val="0"/>
            <w:vAlign w:val="top"/>
          </w:tcPr>
          <w:p w14:paraId="091C3491">
            <w:pPr>
              <w:tabs>
                <w:tab w:val="left" w:pos="14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sym w:font="Wingdings 2" w:char="0052"/>
            </w:r>
            <w:r>
              <w:rPr>
                <w:rFonts w:hint="eastAsia" w:ascii="宋体" w:hAnsi="宋体" w:eastAsia="宋体" w:cs="宋体"/>
                <w:strike w:val="0"/>
                <w:color w:val="auto"/>
                <w:sz w:val="24"/>
                <w:szCs w:val="24"/>
                <w:highlight w:val="none"/>
              </w:rPr>
              <w:t>电子投标文件加密要求</w:t>
            </w:r>
          </w:p>
        </w:tc>
        <w:tc>
          <w:tcPr>
            <w:tcW w:w="6045" w:type="dxa"/>
            <w:noWrap w:val="0"/>
            <w:vAlign w:val="center"/>
          </w:tcPr>
          <w:p w14:paraId="60006D33">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使用投标工具软件编制生成的电子投标文件。</w:t>
            </w:r>
          </w:p>
        </w:tc>
      </w:tr>
      <w:tr w14:paraId="06B06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vMerge w:val="restart"/>
            <w:noWrap w:val="0"/>
            <w:vAlign w:val="center"/>
          </w:tcPr>
          <w:p w14:paraId="0A101AC5">
            <w:pPr>
              <w:kinsoku/>
              <w:topLinePunct/>
              <w:spacing w:line="360" w:lineRule="auto"/>
              <w:ind w:right="105" w:rightChars="5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4.2.2</w:t>
            </w:r>
          </w:p>
        </w:tc>
        <w:tc>
          <w:tcPr>
            <w:tcW w:w="2155" w:type="dxa"/>
            <w:vMerge w:val="restart"/>
            <w:noWrap w:val="0"/>
            <w:vAlign w:val="center"/>
          </w:tcPr>
          <w:p w14:paraId="62E181B2">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递交投标文件方式和地点</w:t>
            </w:r>
          </w:p>
        </w:tc>
        <w:tc>
          <w:tcPr>
            <w:tcW w:w="6045" w:type="dxa"/>
            <w:noWrap w:val="0"/>
            <w:vAlign w:val="top"/>
          </w:tcPr>
          <w:p w14:paraId="5E683E5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w:t>
            </w:r>
          </w:p>
        </w:tc>
      </w:tr>
      <w:tr w14:paraId="08423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vMerge w:val="continue"/>
            <w:noWrap w:val="0"/>
            <w:vAlign w:val="center"/>
          </w:tcPr>
          <w:p w14:paraId="409E5A93">
            <w:pPr>
              <w:kinsoku/>
              <w:topLinePunct/>
              <w:spacing w:line="360" w:lineRule="auto"/>
              <w:ind w:left="105" w:leftChars="50" w:right="105" w:rightChars="50"/>
              <w:jc w:val="both"/>
              <w:rPr>
                <w:rFonts w:hint="eastAsia" w:ascii="宋体" w:hAnsi="宋体" w:eastAsia="宋体" w:cs="宋体"/>
                <w:color w:val="auto"/>
                <w:sz w:val="24"/>
                <w:szCs w:val="24"/>
                <w:highlight w:val="none"/>
              </w:rPr>
            </w:pPr>
          </w:p>
        </w:tc>
        <w:tc>
          <w:tcPr>
            <w:tcW w:w="2155" w:type="dxa"/>
            <w:vMerge w:val="continue"/>
            <w:noWrap w:val="0"/>
            <w:vAlign w:val="center"/>
          </w:tcPr>
          <w:p w14:paraId="2803FAFD">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p>
        </w:tc>
        <w:tc>
          <w:tcPr>
            <w:tcW w:w="6045" w:type="dxa"/>
            <w:noWrap w:val="0"/>
            <w:vAlign w:val="top"/>
          </w:tcPr>
          <w:p w14:paraId="0890E8B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本项目投标文件投标人采用□现场递交/□电子投标文件上传平台。</w:t>
            </w:r>
          </w:p>
          <w:p w14:paraId="475AFFD2">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现场递交：投标人将密封的投标文件在开标当日09:00时至09:30时递交至绍兴市公共资源交易中心四楼指定开标室，投标文件递交后即交即走。投标文件递交地址：</w:t>
            </w:r>
            <w:r>
              <w:rPr>
                <w:rFonts w:hint="eastAsia" w:ascii="宋体" w:hAnsi="宋体" w:eastAsia="宋体" w:cs="宋体"/>
                <w:b/>
                <w:bCs/>
                <w:color w:val="auto"/>
                <w:sz w:val="24"/>
                <w:szCs w:val="24"/>
                <w:highlight w:val="none"/>
              </w:rPr>
              <w:t>绍兴市洋江西路699号四楼指定开标室（绍兴市公共资源交易中心）</w:t>
            </w:r>
            <w:r>
              <w:rPr>
                <w:rFonts w:hint="eastAsia" w:ascii="宋体" w:hAnsi="宋体" w:eastAsia="宋体" w:cs="宋体"/>
                <w:color w:val="auto"/>
                <w:sz w:val="24"/>
                <w:szCs w:val="24"/>
                <w:highlight w:val="none"/>
              </w:rPr>
              <w:t>。</w:t>
            </w:r>
          </w:p>
        </w:tc>
      </w:tr>
      <w:tr w14:paraId="142C5B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vMerge w:val="continue"/>
            <w:noWrap w:val="0"/>
            <w:vAlign w:val="center"/>
          </w:tcPr>
          <w:p w14:paraId="5898EE02">
            <w:pPr>
              <w:kinsoku/>
              <w:topLinePunct/>
              <w:spacing w:line="360" w:lineRule="auto"/>
              <w:ind w:left="105" w:leftChars="50" w:right="105" w:rightChars="50"/>
              <w:jc w:val="both"/>
              <w:rPr>
                <w:rFonts w:hint="eastAsia" w:ascii="宋体" w:hAnsi="宋体" w:eastAsia="宋体" w:cs="宋体"/>
                <w:color w:val="auto"/>
                <w:sz w:val="24"/>
                <w:szCs w:val="24"/>
                <w:highlight w:val="none"/>
              </w:rPr>
            </w:pPr>
          </w:p>
        </w:tc>
        <w:tc>
          <w:tcPr>
            <w:tcW w:w="2155" w:type="dxa"/>
            <w:vMerge w:val="continue"/>
            <w:noWrap w:val="0"/>
            <w:vAlign w:val="center"/>
          </w:tcPr>
          <w:p w14:paraId="7FE4CC8E">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p>
        </w:tc>
        <w:tc>
          <w:tcPr>
            <w:tcW w:w="6045" w:type="dxa"/>
            <w:noWrap w:val="0"/>
            <w:vAlign w:val="top"/>
          </w:tcPr>
          <w:p w14:paraId="5CB7401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使用专用密钥上传至绍兴市公共资源交易中心电子招投标交易平台（http://oa.ggb.sx.gov.cn/TPBidder-ztk/）</w:t>
            </w:r>
          </w:p>
        </w:tc>
      </w:tr>
      <w:tr w14:paraId="0F4D7B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9BB0F0F">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4.2.3</w:t>
            </w:r>
          </w:p>
        </w:tc>
        <w:tc>
          <w:tcPr>
            <w:tcW w:w="2155" w:type="dxa"/>
            <w:noWrap w:val="0"/>
            <w:vAlign w:val="center"/>
          </w:tcPr>
          <w:p w14:paraId="14D97F86">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是否退还投标文件</w:t>
            </w:r>
          </w:p>
        </w:tc>
        <w:tc>
          <w:tcPr>
            <w:tcW w:w="6045" w:type="dxa"/>
            <w:noWrap w:val="0"/>
            <w:vAlign w:val="top"/>
          </w:tcPr>
          <w:p w14:paraId="3552D4E2">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否</w:t>
            </w:r>
          </w:p>
          <w:p w14:paraId="28FCBF3A">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□是。未中标的投标文件将予以退还。</w:t>
            </w:r>
          </w:p>
        </w:tc>
      </w:tr>
      <w:tr w14:paraId="55FC1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vMerge w:val="restart"/>
            <w:noWrap w:val="0"/>
            <w:vAlign w:val="center"/>
          </w:tcPr>
          <w:p w14:paraId="1DA27E92">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w:t>
            </w:r>
          </w:p>
        </w:tc>
        <w:tc>
          <w:tcPr>
            <w:tcW w:w="2155" w:type="dxa"/>
            <w:noWrap w:val="0"/>
            <w:vAlign w:val="center"/>
          </w:tcPr>
          <w:p w14:paraId="204A59B4">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投标文件的拒收</w:t>
            </w:r>
          </w:p>
          <w:p w14:paraId="3ED70264">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情形</w:t>
            </w:r>
          </w:p>
        </w:tc>
        <w:tc>
          <w:tcPr>
            <w:tcW w:w="6045" w:type="dxa"/>
            <w:noWrap w:val="0"/>
            <w:vAlign w:val="top"/>
          </w:tcPr>
          <w:p w14:paraId="13ADFFFE">
            <w:pPr>
              <w:tabs>
                <w:tab w:val="left" w:pos="5680"/>
              </w:tabs>
              <w:kinsoku/>
              <w:topLinePunct/>
              <w:spacing w:line="360" w:lineRule="auto"/>
              <w:ind w:left="105" w:leftChars="50" w:right="105" w:rightChars="50"/>
              <w:jc w:val="both"/>
              <w:rPr>
                <w:rFonts w:hint="eastAsia" w:ascii="宋体" w:hAnsi="宋体" w:eastAsia="宋体" w:cs="宋体"/>
                <w:color w:val="auto"/>
                <w:position w:val="2"/>
                <w:sz w:val="24"/>
                <w:szCs w:val="24"/>
                <w:highlight w:val="none"/>
              </w:rPr>
            </w:pPr>
            <w:r>
              <w:rPr>
                <w:rFonts w:hint="eastAsia" w:ascii="宋体" w:hAnsi="宋体" w:eastAsia="宋体" w:cs="宋体"/>
                <w:color w:val="auto"/>
                <w:position w:val="2"/>
                <w:sz w:val="24"/>
                <w:szCs w:val="24"/>
                <w:highlight w:val="none"/>
              </w:rPr>
              <w:t>一、投标人未按规定密封或封套外信息与所投标段内容不符的投标文件。</w:t>
            </w:r>
          </w:p>
          <w:p w14:paraId="596F49DD">
            <w:pPr>
              <w:tabs>
                <w:tab w:val="left" w:pos="5680"/>
              </w:tabs>
              <w:kinsoku/>
              <w:topLinePunct/>
              <w:spacing w:line="360" w:lineRule="auto"/>
              <w:ind w:left="105" w:leftChars="50" w:right="105" w:rightChars="50"/>
              <w:jc w:val="both"/>
              <w:rPr>
                <w:rFonts w:hint="eastAsia" w:ascii="宋体" w:hAnsi="宋体" w:eastAsia="宋体" w:cs="宋体"/>
                <w:color w:val="auto"/>
                <w:position w:val="2"/>
                <w:sz w:val="24"/>
                <w:szCs w:val="24"/>
                <w:highlight w:val="none"/>
              </w:rPr>
            </w:pPr>
            <w:r>
              <w:rPr>
                <w:rFonts w:hint="eastAsia" w:ascii="宋体" w:hAnsi="宋体" w:eastAsia="宋体" w:cs="宋体"/>
                <w:color w:val="auto"/>
                <w:position w:val="2"/>
                <w:sz w:val="24"/>
                <w:szCs w:val="24"/>
                <w:highlight w:val="none"/>
              </w:rPr>
              <w:t>二、未在投标截止时间前递交的投标文件。</w:t>
            </w:r>
          </w:p>
        </w:tc>
      </w:tr>
      <w:tr w14:paraId="385725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vMerge w:val="continue"/>
            <w:noWrap w:val="0"/>
            <w:vAlign w:val="center"/>
          </w:tcPr>
          <w:p w14:paraId="7F43F21E">
            <w:pPr>
              <w:kinsoku/>
              <w:topLinePunct/>
              <w:spacing w:line="360" w:lineRule="auto"/>
              <w:ind w:left="105" w:leftChars="50" w:right="105" w:rightChars="50"/>
              <w:jc w:val="both"/>
              <w:rPr>
                <w:rFonts w:hint="eastAsia" w:ascii="宋体" w:hAnsi="宋体" w:eastAsia="宋体" w:cs="宋体"/>
                <w:color w:val="auto"/>
                <w:sz w:val="24"/>
                <w:szCs w:val="24"/>
                <w:highlight w:val="none"/>
              </w:rPr>
            </w:pPr>
          </w:p>
        </w:tc>
        <w:tc>
          <w:tcPr>
            <w:tcW w:w="2155" w:type="dxa"/>
            <w:noWrap w:val="0"/>
            <w:vAlign w:val="center"/>
          </w:tcPr>
          <w:p w14:paraId="109BB7AC">
            <w:pPr>
              <w:tabs>
                <w:tab w:val="left" w:pos="14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电子投标文件的拒收情形</w:t>
            </w:r>
          </w:p>
        </w:tc>
        <w:tc>
          <w:tcPr>
            <w:tcW w:w="6045" w:type="dxa"/>
            <w:noWrap w:val="0"/>
            <w:vAlign w:val="center"/>
          </w:tcPr>
          <w:p w14:paraId="0EF69585">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1.投标截止时间后送达（上传）的投标文件、未按招标文件要求上传的；</w:t>
            </w:r>
          </w:p>
          <w:p w14:paraId="5B03DF42">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2.投标人未按规定加密的投标文件，应当拒收并提示。</w:t>
            </w:r>
            <w:r>
              <w:rPr>
                <w:rFonts w:hint="eastAsia" w:ascii="宋体" w:hAnsi="宋体" w:eastAsia="宋体" w:cs="宋体"/>
                <w:strike w:val="0"/>
                <w:color w:val="auto"/>
                <w:sz w:val="24"/>
                <w:szCs w:val="24"/>
                <w:highlight w:val="none"/>
              </w:rPr>
              <w:br w:type="textWrapping"/>
            </w:r>
            <w:r>
              <w:rPr>
                <w:rFonts w:hint="eastAsia" w:ascii="宋体" w:hAnsi="宋体" w:eastAsia="宋体" w:cs="宋体"/>
                <w:strike w:val="0"/>
                <w:color w:val="auto"/>
                <w:sz w:val="24"/>
                <w:szCs w:val="24"/>
                <w:highlight w:val="none"/>
              </w:rPr>
              <w:t>3.存在下列情况之一的，视为拒收：</w:t>
            </w:r>
          </w:p>
          <w:p w14:paraId="3EAD19A9">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（1）电子投标文件无法解密的；</w:t>
            </w:r>
          </w:p>
          <w:p w14:paraId="19C2D966">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（2）电子投标文件解密后无法正确读取的；</w:t>
            </w:r>
          </w:p>
          <w:p w14:paraId="21305B0F">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（3）电子投标文件无法导入成功的；</w:t>
            </w:r>
          </w:p>
          <w:p w14:paraId="6EE3A7A5">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4.□未被邀请的申请人提交的投标文件</w:t>
            </w:r>
          </w:p>
          <w:p w14:paraId="5DCEB2F7">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5.其他</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法律、法规所规定的其他情形。</w:t>
            </w:r>
          </w:p>
        </w:tc>
      </w:tr>
      <w:tr w14:paraId="3F14A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BB5EFCB">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w:t>
            </w:r>
          </w:p>
        </w:tc>
        <w:tc>
          <w:tcPr>
            <w:tcW w:w="2155" w:type="dxa"/>
            <w:noWrap w:val="0"/>
            <w:vAlign w:val="center"/>
          </w:tcPr>
          <w:p w14:paraId="553A63FC">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开标时间和地点、参加开标会议的要求</w:t>
            </w:r>
          </w:p>
        </w:tc>
        <w:tc>
          <w:tcPr>
            <w:tcW w:w="6045" w:type="dxa"/>
            <w:noWrap w:val="0"/>
            <w:vAlign w:val="top"/>
          </w:tcPr>
          <w:p w14:paraId="2F7299B7">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一、开标时间：同投标截止时间。</w:t>
            </w:r>
          </w:p>
          <w:p w14:paraId="7080C279">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二、开标地点：绍兴市公共资源交易中心四楼指定开标室。</w:t>
            </w:r>
          </w:p>
          <w:p w14:paraId="248DD551">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三、开标平台</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本项目采用“不见面”开标方式，不强制要求 投 标 人 参 加 现 场 开 标 会 。 不 见 面 开 标 大 厅 网 址 为 ：</w:t>
            </w:r>
            <w:r>
              <w:rPr>
                <w:rFonts w:hint="eastAsia" w:ascii="宋体" w:hAnsi="宋体" w:eastAsia="宋体" w:cs="宋体"/>
                <w:strike w:val="0"/>
                <w:color w:val="auto"/>
                <w:sz w:val="24"/>
                <w:szCs w:val="24"/>
                <w:highlight w:val="none"/>
              </w:rPr>
              <w:fldChar w:fldCharType="begin"/>
            </w:r>
            <w:r>
              <w:rPr>
                <w:rFonts w:hint="eastAsia" w:ascii="宋体" w:hAnsi="宋体" w:eastAsia="宋体" w:cs="宋体"/>
                <w:strike w:val="0"/>
                <w:color w:val="auto"/>
                <w:sz w:val="24"/>
                <w:szCs w:val="24"/>
                <w:highlight w:val="none"/>
              </w:rPr>
              <w:instrText xml:space="preserve"> HYPERLINK "http://220.187.225.202:18088/BidOpening/bidopeninghallaction/hall/login。" </w:instrText>
            </w:r>
            <w:r>
              <w:rPr>
                <w:rFonts w:hint="eastAsia" w:ascii="宋体" w:hAnsi="宋体" w:eastAsia="宋体" w:cs="宋体"/>
                <w:strike w:val="0"/>
                <w:color w:val="auto"/>
                <w:sz w:val="24"/>
                <w:szCs w:val="24"/>
                <w:highlight w:val="none"/>
              </w:rPr>
              <w:fldChar w:fldCharType="separate"/>
            </w:r>
            <w:r>
              <w:rPr>
                <w:rStyle w:val="27"/>
                <w:rFonts w:hint="eastAsia" w:ascii="宋体" w:hAnsi="宋体" w:eastAsia="宋体" w:cs="宋体"/>
                <w:strike w:val="0"/>
                <w:sz w:val="24"/>
                <w:szCs w:val="24"/>
                <w:highlight w:val="none"/>
              </w:rPr>
              <w:t>http://220.187.225.202:18088/BidOpening/bidopeninghallaction/hall/login。</w:t>
            </w:r>
            <w:r>
              <w:rPr>
                <w:rFonts w:hint="eastAsia" w:ascii="宋体" w:hAnsi="宋体" w:eastAsia="宋体" w:cs="宋体"/>
                <w:strike w:val="0"/>
                <w:color w:val="auto"/>
                <w:sz w:val="24"/>
                <w:szCs w:val="24"/>
                <w:highlight w:val="none"/>
              </w:rPr>
              <w:fldChar w:fldCharType="end"/>
            </w:r>
          </w:p>
          <w:p w14:paraId="6C1127D3">
            <w:pPr>
              <w:tabs>
                <w:tab w:val="left" w:pos="5680"/>
              </w:tabs>
              <w:kinsoku/>
              <w:topLinePunct/>
              <w:spacing w:line="360" w:lineRule="auto"/>
              <w:ind w:left="105" w:leftChars="50" w:right="105" w:rightChars="50"/>
              <w:jc w:val="both"/>
              <w:rPr>
                <w:rFonts w:hint="eastAsia" w:ascii="宋体" w:hAnsi="宋体" w:eastAsia="宋体" w:cs="宋体"/>
                <w:i/>
                <w:color w:val="auto"/>
                <w:sz w:val="24"/>
                <w:szCs w:val="24"/>
                <w:highlight w:val="none"/>
              </w:rPr>
            </w:pPr>
            <w:r>
              <w:rPr>
                <w:rFonts w:hint="eastAsia" w:ascii="宋体" w:hAnsi="宋体" w:eastAsia="宋体" w:cs="宋体"/>
                <w:color w:val="auto"/>
                <w:position w:val="1"/>
                <w:sz w:val="24"/>
                <w:szCs w:val="24"/>
                <w:highlight w:val="none"/>
              </w:rPr>
              <w:t>四、参加开标会议的要求</w:t>
            </w:r>
            <w:r>
              <w:rPr>
                <w:rFonts w:hint="eastAsia" w:ascii="宋体" w:hAnsi="宋体" w:eastAsia="宋体" w:cs="宋体"/>
                <w:i/>
                <w:strike/>
                <w:color w:val="auto"/>
                <w:position w:val="2"/>
                <w:sz w:val="24"/>
                <w:szCs w:val="24"/>
                <w:highlight w:val="none"/>
              </w:rPr>
              <w:t>（各区县市可根据时间情况修改）</w:t>
            </w:r>
          </w:p>
          <w:p w14:paraId="38F7AF2F">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1410CF8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2、开标过程中要求投标人进行澄清、说明或者补正的，须通过指定的电子邮箱</w:t>
            </w:r>
            <w:r>
              <w:rPr>
                <w:rFonts w:hint="eastAsia" w:ascii="宋体" w:hAnsi="宋体" w:eastAsia="宋体" w:cs="宋体"/>
                <w:color w:val="auto"/>
                <w:sz w:val="24"/>
                <w:szCs w:val="24"/>
                <w:highlight w:val="none"/>
                <w:u w:val="none"/>
              </w:rPr>
              <w:t>284539594@qq.com</w:t>
            </w:r>
            <w:r>
              <w:rPr>
                <w:rFonts w:hint="eastAsia" w:ascii="宋体" w:hAnsi="宋体" w:eastAsia="宋体" w:cs="宋体"/>
                <w:color w:val="auto"/>
                <w:sz w:val="24"/>
                <w:szCs w:val="24"/>
                <w:highlight w:val="none"/>
              </w:rPr>
              <w:t>作出澄清、说明或者补正，提交澄清、说明或补正的时间为接到工作人员电话通知后半小时内。请投标单位期间电话保持畅通，如未及时接听电话，视为放弃澄清、说明或补正的权利；</w:t>
            </w:r>
          </w:p>
          <w:p w14:paraId="11E12CC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3、取消投标人法定代表人或授权委托人到场签字要求，取消开标记录表签字要求；</w:t>
            </w:r>
          </w:p>
          <w:p w14:paraId="3560D0F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4、由代理机构工作人员现场在监督部门、公证处监督下核验投标文件密封性并开启投标文件，组织评审，并对开评标活动进行全程录音录像</w:t>
            </w:r>
            <w:r>
              <w:rPr>
                <w:rFonts w:hint="eastAsia" w:ascii="宋体" w:hAnsi="宋体" w:eastAsia="宋体" w:cs="宋体"/>
                <w:color w:val="auto"/>
                <w:sz w:val="24"/>
                <w:szCs w:val="24"/>
                <w:highlight w:val="none"/>
                <w:lang w:eastAsia="zh-CN"/>
              </w:rPr>
              <w:t>；</w:t>
            </w:r>
          </w:p>
        </w:tc>
      </w:tr>
      <w:tr w14:paraId="6909C5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45704C6">
            <w:pPr>
              <w:kinsoku/>
              <w:topLinePunct/>
              <w:spacing w:line="360" w:lineRule="auto"/>
              <w:ind w:left="105" w:leftChars="50" w:right="105" w:rightChars="5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w:t>
            </w:r>
          </w:p>
        </w:tc>
        <w:tc>
          <w:tcPr>
            <w:tcW w:w="2155" w:type="dxa"/>
            <w:noWrap w:val="0"/>
            <w:vAlign w:val="center"/>
          </w:tcPr>
          <w:p w14:paraId="5D548FC3">
            <w:pPr>
              <w:tabs>
                <w:tab w:val="left" w:pos="1480"/>
              </w:tabs>
              <w:kinsoku/>
              <w:topLinePunct/>
              <w:spacing w:line="360" w:lineRule="auto"/>
              <w:ind w:left="105" w:leftChars="50" w:right="105" w:rightChars="50"/>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开标程序</w:t>
            </w:r>
          </w:p>
        </w:tc>
        <w:tc>
          <w:tcPr>
            <w:tcW w:w="6045" w:type="dxa"/>
            <w:noWrap w:val="0"/>
            <w:vAlign w:val="top"/>
          </w:tcPr>
          <w:p w14:paraId="27C3DF74">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（一）宣布开标</w:t>
            </w:r>
          </w:p>
          <w:p w14:paraId="5E4C4CF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（二）公布投标人数量</w:t>
            </w:r>
          </w:p>
          <w:p w14:paraId="089D1C14">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（三）投标人解密（投标文件解密在 60 分钟内完成，具体以</w:t>
            </w:r>
          </w:p>
          <w:p w14:paraId="06BEBF47">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电子招投标交易平台系统时间为准）</w:t>
            </w:r>
          </w:p>
          <w:p w14:paraId="728C730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（四）参数录入。</w:t>
            </w:r>
          </w:p>
          <w:p w14:paraId="5E29523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（五）公布开标结果</w:t>
            </w:r>
          </w:p>
          <w:p w14:paraId="4CD6375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（六）开标结束</w:t>
            </w:r>
          </w:p>
        </w:tc>
      </w:tr>
      <w:tr w14:paraId="38D6F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17B2E32">
            <w:pPr>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w:t>
            </w:r>
          </w:p>
        </w:tc>
        <w:tc>
          <w:tcPr>
            <w:tcW w:w="2155" w:type="dxa"/>
            <w:noWrap w:val="0"/>
            <w:vAlign w:val="center"/>
          </w:tcPr>
          <w:p w14:paraId="51D0F010">
            <w:pPr>
              <w:pStyle w:val="40"/>
              <w:kinsoku/>
              <w:topLinePunct/>
              <w:spacing w:line="360" w:lineRule="auto"/>
              <w:ind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sym w:font="Wingdings 2" w:char="0052"/>
            </w:r>
            <w:r>
              <w:rPr>
                <w:rFonts w:hint="eastAsia" w:ascii="宋体" w:hAnsi="宋体" w:eastAsia="宋体" w:cs="宋体"/>
                <w:strike w:val="0"/>
                <w:color w:val="auto"/>
                <w:sz w:val="24"/>
                <w:szCs w:val="24"/>
                <w:highlight w:val="none"/>
              </w:rPr>
              <w:t>特殊情况处置</w:t>
            </w:r>
          </w:p>
        </w:tc>
        <w:tc>
          <w:tcPr>
            <w:tcW w:w="6045" w:type="dxa"/>
            <w:noWrap w:val="0"/>
            <w:vAlign w:val="center"/>
          </w:tcPr>
          <w:p w14:paraId="3769A08C">
            <w:pPr>
              <w:tabs>
                <w:tab w:val="left" w:pos="5680"/>
              </w:tabs>
              <w:kinsoku/>
              <w:topLinePunct/>
              <w:spacing w:line="360" w:lineRule="auto"/>
              <w:ind w:left="105" w:leftChars="50" w:right="105" w:rightChars="50"/>
              <w:jc w:val="both"/>
              <w:textAlignment w:val="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1.因网络、系统、电力等不可抗力因素延期开标的，需更新制作投标文件并按招标文件要求重新递交。</w:t>
            </w:r>
          </w:p>
          <w:p w14:paraId="54D6D2D2">
            <w:pPr>
              <w:tabs>
                <w:tab w:val="left" w:pos="5680"/>
              </w:tabs>
              <w:kinsoku/>
              <w:topLinePunct/>
              <w:spacing w:line="360" w:lineRule="auto"/>
              <w:ind w:left="105" w:leftChars="50" w:right="105" w:rightChars="50"/>
              <w:jc w:val="both"/>
              <w:textAlignment w:val="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1FFB684B">
            <w:pPr>
              <w:tabs>
                <w:tab w:val="left" w:pos="5680"/>
              </w:tabs>
              <w:kinsoku/>
              <w:topLinePunct/>
              <w:spacing w:line="360" w:lineRule="auto"/>
              <w:ind w:left="105" w:leftChars="50" w:right="105" w:rightChars="50"/>
              <w:jc w:val="both"/>
              <w:textAlignment w:val="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（2）投标人必须使用生成电子投标文件的CA数字证书加密电子投标文件，未加密的视为撤销其投标文件。</w:t>
            </w:r>
          </w:p>
          <w:p w14:paraId="091CD12E">
            <w:pPr>
              <w:tabs>
                <w:tab w:val="left" w:pos="5680"/>
              </w:tabs>
              <w:kinsoku/>
              <w:topLinePunct/>
              <w:spacing w:line="360" w:lineRule="auto"/>
              <w:ind w:left="105" w:leftChars="50" w:right="105" w:rightChars="50"/>
              <w:jc w:val="both"/>
              <w:textAlignment w:val="auto"/>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3.其他：电子投标项目开标的其他相关程序按照我市相关规定《绍兴市区工程建设项目电子招标投标管理暂行办法》执行。</w:t>
            </w:r>
          </w:p>
        </w:tc>
      </w:tr>
      <w:tr w14:paraId="3408CA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7" w:hRule="atLeast"/>
        </w:trPr>
        <w:tc>
          <w:tcPr>
            <w:tcW w:w="967" w:type="dxa"/>
            <w:noWrap w:val="0"/>
            <w:vAlign w:val="center"/>
          </w:tcPr>
          <w:p w14:paraId="0676EAFF">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p>
        </w:tc>
        <w:tc>
          <w:tcPr>
            <w:tcW w:w="2155" w:type="dxa"/>
            <w:noWrap w:val="0"/>
            <w:vAlign w:val="center"/>
          </w:tcPr>
          <w:p w14:paraId="1F5F4BA5">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评标委员会的组建</w:t>
            </w:r>
          </w:p>
        </w:tc>
        <w:tc>
          <w:tcPr>
            <w:tcW w:w="6045" w:type="dxa"/>
            <w:noWrap w:val="0"/>
            <w:vAlign w:val="top"/>
          </w:tcPr>
          <w:p w14:paraId="022C032E">
            <w:pPr>
              <w:kinsoku/>
              <w:topLinePunct/>
              <w:spacing w:line="360" w:lineRule="auto"/>
              <w:ind w:lef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评标委员会共</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9</w:t>
            </w:r>
            <w:r>
              <w:rPr>
                <w:rFonts w:hint="eastAsia" w:ascii="宋体" w:hAnsi="宋体" w:eastAsia="宋体" w:cs="宋体"/>
                <w:color w:val="auto"/>
                <w:sz w:val="24"/>
                <w:szCs w:val="24"/>
                <w:highlight w:val="none"/>
              </w:rPr>
              <w:t>人</w:t>
            </w:r>
            <w:r>
              <w:rPr>
                <w:rFonts w:hint="eastAsia" w:ascii="宋体" w:hAnsi="宋体" w:eastAsia="宋体" w:cs="宋体"/>
                <w:strike/>
                <w:color w:val="auto"/>
                <w:sz w:val="24"/>
                <w:szCs w:val="24"/>
                <w:highlight w:val="none"/>
                <w:lang w:val="en-US" w:eastAsia="zh-CN"/>
              </w:rPr>
              <w:t>及以上单数（按规定进行组建）</w:t>
            </w:r>
            <w:r>
              <w:rPr>
                <w:rFonts w:hint="eastAsia" w:ascii="宋体" w:hAnsi="宋体" w:eastAsia="宋体" w:cs="宋体"/>
                <w:color w:val="auto"/>
                <w:sz w:val="24"/>
                <w:szCs w:val="24"/>
                <w:highlight w:val="none"/>
              </w:rPr>
              <w:t>。</w:t>
            </w:r>
          </w:p>
          <w:p w14:paraId="2C959594">
            <w:pPr>
              <w:kinsoku/>
              <w:topLinePunct/>
              <w:spacing w:line="360" w:lineRule="auto"/>
              <w:ind w:left="0"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其中招标人代表</w:t>
            </w:r>
            <w:r>
              <w:rPr>
                <w:rFonts w:hint="eastAsia" w:ascii="宋体" w:hAnsi="宋体" w:eastAsia="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rPr>
              <w:t>人；专家</w:t>
            </w:r>
            <w:r>
              <w:rPr>
                <w:rFonts w:hint="eastAsia" w:ascii="宋体" w:hAnsi="宋体" w:eastAsia="宋体" w:cs="宋体"/>
                <w:color w:val="auto"/>
                <w:sz w:val="24"/>
                <w:szCs w:val="24"/>
                <w:highlight w:val="none"/>
                <w:u w:val="single"/>
                <w:lang w:val="en-US" w:eastAsia="zh-CN"/>
              </w:rPr>
              <w:t xml:space="preserve"> 6 </w:t>
            </w:r>
            <w:r>
              <w:rPr>
                <w:rFonts w:hint="eastAsia" w:ascii="宋体" w:hAnsi="宋体" w:eastAsia="宋体" w:cs="宋体"/>
                <w:color w:val="auto"/>
                <w:sz w:val="24"/>
                <w:szCs w:val="24"/>
                <w:highlight w:val="none"/>
              </w:rPr>
              <w:t>人。</w:t>
            </w:r>
          </w:p>
          <w:p w14:paraId="50D93EDD">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评标专家确定方式：</w:t>
            </w:r>
            <w:r>
              <w:rPr>
                <w:rFonts w:hint="eastAsia" w:ascii="宋体" w:hAnsi="宋体" w:eastAsia="宋体" w:cs="宋体"/>
                <w:color w:val="auto"/>
                <w:sz w:val="24"/>
                <w:szCs w:val="24"/>
                <w:highlight w:val="none"/>
                <w:u w:val="single"/>
              </w:rPr>
              <w:t>从浙江省综合评标专家中随机抽取</w:t>
            </w:r>
            <w:r>
              <w:rPr>
                <w:rFonts w:hint="eastAsia" w:ascii="宋体" w:hAnsi="宋体" w:eastAsia="宋体" w:cs="宋体"/>
                <w:color w:val="auto"/>
                <w:sz w:val="24"/>
                <w:szCs w:val="24"/>
                <w:highlight w:val="none"/>
              </w:rPr>
              <w:t>。</w:t>
            </w:r>
          </w:p>
        </w:tc>
      </w:tr>
      <w:tr w14:paraId="2D7111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67" w:type="dxa"/>
            <w:noWrap w:val="0"/>
            <w:vAlign w:val="center"/>
          </w:tcPr>
          <w:p w14:paraId="4BC9C86E">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w:t>
            </w:r>
          </w:p>
        </w:tc>
        <w:tc>
          <w:tcPr>
            <w:tcW w:w="2155" w:type="dxa"/>
            <w:noWrap w:val="0"/>
            <w:vAlign w:val="center"/>
          </w:tcPr>
          <w:p w14:paraId="00C4C096">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w:t>
            </w:r>
          </w:p>
        </w:tc>
        <w:tc>
          <w:tcPr>
            <w:tcW w:w="6045" w:type="dxa"/>
            <w:noWrap w:val="0"/>
            <w:vAlign w:val="center"/>
          </w:tcPr>
          <w:p w14:paraId="400910E8">
            <w:pPr>
              <w:widowControl w:val="0"/>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"http://218.108.28.22/zjgcjy/infodetail/?infoid=25b0d8ef-782f-44f1-a7c2-cdfa059b2aa2&amp;siteid=1&amp;categoryNum=032003"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position w:val="3"/>
                <w:sz w:val="24"/>
                <w:szCs w:val="24"/>
                <w:highlight w:val="none"/>
              </w:rPr>
              <w:t>经评审的最低投标价法</w:t>
            </w:r>
            <w:r>
              <w:rPr>
                <w:rFonts w:hint="eastAsia" w:ascii="宋体" w:hAnsi="宋体" w:eastAsia="宋体" w:cs="宋体"/>
                <w:color w:val="auto"/>
                <w:position w:val="3"/>
                <w:sz w:val="24"/>
                <w:szCs w:val="24"/>
                <w:highlight w:val="none"/>
              </w:rPr>
              <w:fldChar w:fldCharType="end"/>
            </w:r>
            <w:r>
              <w:rPr>
                <w:rFonts w:hint="eastAsia" w:ascii="宋体" w:hAnsi="宋体" w:eastAsia="宋体" w:cs="宋体"/>
                <w:color w:val="auto"/>
                <w:position w:val="3"/>
                <w:sz w:val="24"/>
                <w:szCs w:val="24"/>
                <w:highlight w:val="none"/>
              </w:rPr>
              <w:t>。</w:t>
            </w:r>
          </w:p>
          <w:p w14:paraId="6F0E2ED6">
            <w:pPr>
              <w:widowControl w:val="0"/>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4"/>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position w:val="4"/>
                <w:sz w:val="24"/>
                <w:szCs w:val="24"/>
                <w:highlight w:val="none"/>
              </w:rPr>
              <w:t>综合评估法</w:t>
            </w:r>
            <w:r>
              <w:rPr>
                <w:rFonts w:hint="eastAsia" w:ascii="宋体" w:hAnsi="宋体" w:eastAsia="宋体" w:cs="宋体"/>
                <w:color w:val="auto"/>
                <w:position w:val="4"/>
                <w:sz w:val="24"/>
                <w:szCs w:val="24"/>
                <w:highlight w:val="none"/>
              </w:rPr>
              <w:fldChar w:fldCharType="end"/>
            </w:r>
            <w:r>
              <w:rPr>
                <w:rFonts w:hint="eastAsia" w:ascii="宋体" w:hAnsi="宋体" w:eastAsia="宋体" w:cs="宋体"/>
                <w:color w:val="auto"/>
                <w:position w:val="4"/>
                <w:sz w:val="24"/>
                <w:szCs w:val="24"/>
                <w:highlight w:val="none"/>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end"/>
            </w:r>
          </w:p>
        </w:tc>
      </w:tr>
      <w:tr w14:paraId="0F12D5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4DD07B33">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6.4.2</w:t>
            </w:r>
          </w:p>
        </w:tc>
        <w:tc>
          <w:tcPr>
            <w:tcW w:w="2155" w:type="dxa"/>
            <w:noWrap w:val="0"/>
            <w:vAlign w:val="center"/>
          </w:tcPr>
          <w:p w14:paraId="448B40FA">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评标委员会推荐</w:t>
            </w:r>
          </w:p>
          <w:p w14:paraId="627CF304">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中标候选人</w:t>
            </w:r>
          </w:p>
        </w:tc>
        <w:tc>
          <w:tcPr>
            <w:tcW w:w="6045" w:type="dxa"/>
            <w:noWrap w:val="0"/>
            <w:vAlign w:val="top"/>
          </w:tcPr>
          <w:p w14:paraId="6726EA96">
            <w:pPr>
              <w:pStyle w:val="13"/>
              <w:tabs>
                <w:tab w:val="left" w:pos="5680"/>
              </w:tabs>
              <w:topLinePunct/>
              <w:snapToGrid w:val="0"/>
              <w:spacing w:after="0" w:line="360" w:lineRule="auto"/>
              <w:ind w:left="105" w:leftChars="50" w:right="105" w:right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推荐的中标候选人数量：</w:t>
            </w:r>
            <w:r>
              <w:rPr>
                <w:rFonts w:hint="eastAsia" w:ascii="宋体" w:hAnsi="宋体" w:eastAsia="宋体" w:cs="宋体"/>
                <w:color w:val="auto"/>
                <w:sz w:val="24"/>
                <w:szCs w:val="24"/>
                <w:highlight w:val="none"/>
                <w:u w:val="single"/>
              </w:rPr>
              <w:t>1</w:t>
            </w:r>
            <w:r>
              <w:rPr>
                <w:rFonts w:hint="eastAsia" w:ascii="宋体" w:hAnsi="宋体" w:eastAsia="宋体" w:cs="宋体"/>
                <w:color w:val="auto"/>
                <w:sz w:val="24"/>
                <w:szCs w:val="24"/>
                <w:highlight w:val="none"/>
              </w:rPr>
              <w:t>家。</w:t>
            </w:r>
          </w:p>
          <w:p w14:paraId="3FECA604">
            <w:pPr>
              <w:pStyle w:val="13"/>
              <w:tabs>
                <w:tab w:val="left" w:pos="5680"/>
              </w:tabs>
              <w:topLinePunct/>
              <w:snapToGrid w:val="0"/>
              <w:spacing w:after="0" w:line="360" w:lineRule="auto"/>
              <w:ind w:left="105" w:leftChars="50" w:right="105" w:right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推荐入围定标的中标候选人：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人。（适用于“评定分离”。注：原则上推荐3名中标候选人，最多不超过5个。推荐名单的中标候选人不排名次。）</w:t>
            </w:r>
          </w:p>
        </w:tc>
      </w:tr>
      <w:tr w14:paraId="7A7CE9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6453B946">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p>
        </w:tc>
        <w:tc>
          <w:tcPr>
            <w:tcW w:w="2155" w:type="dxa"/>
            <w:noWrap w:val="0"/>
            <w:vAlign w:val="center"/>
          </w:tcPr>
          <w:p w14:paraId="45CB9D2C">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确定中标人</w:t>
            </w:r>
          </w:p>
        </w:tc>
        <w:tc>
          <w:tcPr>
            <w:tcW w:w="6045" w:type="dxa"/>
            <w:noWrap w:val="0"/>
            <w:vAlign w:val="center"/>
          </w:tcPr>
          <w:p w14:paraId="62C72689">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授权评标委员会确定中标人。</w:t>
            </w:r>
          </w:p>
          <w:p w14:paraId="1C20E0FD">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根据评标委员会推荐，由招标人确定中标人。</w:t>
            </w:r>
          </w:p>
          <w:p w14:paraId="3C9D495B">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□评定分离，根据评标委员会推荐，另行组织定标会议，由定标委员会确定中标人。</w:t>
            </w:r>
          </w:p>
          <w:p w14:paraId="794E872F">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w:t>
            </w:r>
            <w:r>
              <w:rPr>
                <w:rFonts w:hint="eastAsia" w:ascii="宋体" w:hAnsi="宋体" w:eastAsia="宋体" w:cs="宋体"/>
                <w:color w:val="auto"/>
                <w:sz w:val="24"/>
                <w:szCs w:val="24"/>
                <w:highlight w:val="none"/>
                <w:lang w:val="en-US" w:eastAsia="zh-CN"/>
              </w:rPr>
              <w:t xml:space="preserve"> / </w:t>
            </w:r>
          </w:p>
        </w:tc>
      </w:tr>
      <w:tr w14:paraId="6C2448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A14E26D">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7.1.4</w:t>
            </w:r>
          </w:p>
        </w:tc>
        <w:tc>
          <w:tcPr>
            <w:tcW w:w="2155" w:type="dxa"/>
            <w:noWrap w:val="0"/>
            <w:vAlign w:val="center"/>
          </w:tcPr>
          <w:p w14:paraId="776C9CE8">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rPr>
              <w:t>中</w:t>
            </w:r>
            <w:r>
              <w:rPr>
                <w:rFonts w:hint="eastAsia" w:ascii="宋体" w:hAnsi="宋体" w:eastAsia="宋体" w:cs="宋体"/>
                <w:color w:val="auto"/>
                <w:sz w:val="24"/>
                <w:szCs w:val="24"/>
                <w:highlight w:val="none"/>
              </w:rPr>
              <w:t>标公告媒介及期限</w:t>
            </w:r>
          </w:p>
        </w:tc>
        <w:tc>
          <w:tcPr>
            <w:tcW w:w="6045" w:type="dxa"/>
            <w:noWrap w:val="0"/>
            <w:vAlign w:val="center"/>
          </w:tcPr>
          <w:p w14:paraId="2CB809E0">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公</w:t>
            </w:r>
            <w:r>
              <w:rPr>
                <w:rFonts w:hint="eastAsia" w:ascii="宋体" w:hAnsi="宋体" w:eastAsia="宋体" w:cs="宋体"/>
                <w:color w:val="auto"/>
                <w:spacing w:val="-2"/>
                <w:sz w:val="24"/>
                <w:szCs w:val="24"/>
                <w:highlight w:val="none"/>
              </w:rPr>
              <w:t>告</w:t>
            </w:r>
            <w:r>
              <w:rPr>
                <w:rFonts w:hint="eastAsia" w:ascii="宋体" w:hAnsi="宋体" w:eastAsia="宋体" w:cs="宋体"/>
                <w:color w:val="auto"/>
                <w:sz w:val="24"/>
                <w:szCs w:val="24"/>
                <w:highlight w:val="none"/>
              </w:rPr>
              <w:t>媒介：</w:t>
            </w:r>
            <w:r>
              <w:rPr>
                <w:rFonts w:hint="eastAsia" w:ascii="宋体" w:hAnsi="宋体" w:eastAsia="宋体" w:cs="宋体"/>
                <w:color w:val="auto"/>
                <w:sz w:val="24"/>
                <w:szCs w:val="24"/>
                <w:highlight w:val="none"/>
                <w:u w:val="none"/>
              </w:rPr>
              <w:t xml:space="preserve">绍兴公共资源交易网 </w:t>
            </w:r>
          </w:p>
          <w:p w14:paraId="34DBE5A6">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公告期限：不少于3日。如遇国家法定休假日，应顺延至法定休假日后第一个工作日。</w:t>
            </w:r>
          </w:p>
        </w:tc>
      </w:tr>
      <w:tr w14:paraId="3A8A5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0B08B884">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w:t>
            </w:r>
          </w:p>
        </w:tc>
        <w:tc>
          <w:tcPr>
            <w:tcW w:w="2155" w:type="dxa"/>
            <w:noWrap w:val="0"/>
            <w:vAlign w:val="center"/>
          </w:tcPr>
          <w:p w14:paraId="0628F378">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中标候选人公示</w:t>
            </w:r>
          </w:p>
        </w:tc>
        <w:tc>
          <w:tcPr>
            <w:tcW w:w="6045" w:type="dxa"/>
            <w:noWrap w:val="0"/>
            <w:vAlign w:val="center"/>
          </w:tcPr>
          <w:p w14:paraId="2EE8C87F">
            <w:pPr>
              <w:tabs>
                <w:tab w:val="left" w:pos="2150"/>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03D884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6C57989D">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w:t>
            </w:r>
          </w:p>
        </w:tc>
        <w:tc>
          <w:tcPr>
            <w:tcW w:w="2155" w:type="dxa"/>
            <w:noWrap w:val="0"/>
            <w:vAlign w:val="center"/>
          </w:tcPr>
          <w:p w14:paraId="6DFC8294">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045" w:type="dxa"/>
            <w:noWrap w:val="0"/>
            <w:vAlign w:val="top"/>
          </w:tcPr>
          <w:p w14:paraId="4815BEBD">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履约保证金的形式：</w:t>
            </w:r>
            <w:bookmarkStart w:id="138" w:name="EB729f8822ed244be9b6cbf8c77e802a6c"/>
            <w:r>
              <w:rPr>
                <w:rFonts w:hint="eastAsia" w:ascii="宋体" w:hAnsi="宋体" w:eastAsia="宋体" w:cs="宋体"/>
                <w:color w:val="auto"/>
                <w:sz w:val="24"/>
                <w:szCs w:val="24"/>
                <w:highlight w:val="none"/>
              </w:rPr>
              <w:t>现金、支票、汇票、转账、或经</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认可的银行保函、融资担保公司保函或者保险机构保证、保险、保单</w:t>
            </w:r>
            <w:r>
              <w:rPr>
                <w:rFonts w:hint="eastAsia" w:ascii="宋体" w:hAnsi="宋体" w:eastAsia="宋体" w:cs="宋体"/>
                <w:b/>
                <w:bCs/>
                <w:color w:val="auto"/>
                <w:sz w:val="24"/>
                <w:szCs w:val="24"/>
                <w:highlight w:val="none"/>
                <w:lang w:val="en-US" w:eastAsia="zh-CN"/>
              </w:rPr>
              <w:t>（买方对中标人开具的履约保证金银行保函中的金额及覆盖时间等内容进行认可）</w:t>
            </w:r>
            <w:r>
              <w:rPr>
                <w:rFonts w:hint="eastAsia" w:ascii="宋体" w:hAnsi="宋体" w:eastAsia="宋体" w:cs="宋体"/>
                <w:color w:val="auto"/>
                <w:sz w:val="24"/>
                <w:szCs w:val="24"/>
                <w:highlight w:val="none"/>
              </w:rPr>
              <w:t>。</w:t>
            </w:r>
            <w:bookmarkEnd w:id="138"/>
          </w:p>
          <w:p w14:paraId="64B8F703">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履约保证金的金额：合同总价的</w:t>
            </w:r>
            <w:r>
              <w:rPr>
                <w:rFonts w:hint="eastAsia" w:ascii="宋体" w:hAnsi="宋体" w:eastAsia="宋体" w:cs="宋体"/>
                <w:color w:val="auto"/>
                <w:sz w:val="24"/>
                <w:szCs w:val="24"/>
                <w:highlight w:val="none"/>
                <w:u w:val="singl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不得超过2%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tc>
      </w:tr>
      <w:tr w14:paraId="1319A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A9761D7">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p>
        </w:tc>
        <w:tc>
          <w:tcPr>
            <w:tcW w:w="2155" w:type="dxa"/>
            <w:noWrap w:val="0"/>
            <w:vAlign w:val="center"/>
          </w:tcPr>
          <w:p w14:paraId="67645C92">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不再招标的情形</w:t>
            </w:r>
          </w:p>
        </w:tc>
        <w:tc>
          <w:tcPr>
            <w:tcW w:w="6045" w:type="dxa"/>
            <w:noWrap w:val="0"/>
            <w:vAlign w:val="top"/>
          </w:tcPr>
          <w:p w14:paraId="51C2CF20">
            <w:pPr>
              <w:tabs>
                <w:tab w:val="left" w:pos="5680"/>
              </w:tabs>
              <w:kinsoku/>
              <w:topLinePunct/>
              <w:spacing w:line="360" w:lineRule="auto"/>
              <w:ind w:left="105" w:leftChars="50" w:right="105" w:rightChars="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重新招标后投标人仍少于3个，属于必须审批、核准的工程建设项目，经报相关部门批准后，可以不再进行招标。</w:t>
            </w:r>
          </w:p>
        </w:tc>
      </w:tr>
      <w:tr w14:paraId="2A8D0F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2FFD39B">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w:t>
            </w:r>
          </w:p>
        </w:tc>
        <w:tc>
          <w:tcPr>
            <w:tcW w:w="2155" w:type="dxa"/>
            <w:noWrap w:val="0"/>
            <w:vAlign w:val="center"/>
          </w:tcPr>
          <w:p w14:paraId="61B74719">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异议和投诉</w:t>
            </w:r>
          </w:p>
        </w:tc>
        <w:tc>
          <w:tcPr>
            <w:tcW w:w="6045" w:type="dxa"/>
            <w:noWrap w:val="0"/>
            <w:vAlign w:val="top"/>
          </w:tcPr>
          <w:p w14:paraId="3BDC8F26">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9.5.1异议</w:t>
            </w:r>
          </w:p>
          <w:p w14:paraId="2DB06091">
            <w:pPr>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1D9FFAC4">
            <w:pPr>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（2）投标人认为开标不符合有关规定的，应当在开标时提出异议。招标人将当场对异议给予处理或者告知处理的办法。异议和答复应记入开标记录或者制作专门记录以存档备查。</w:t>
            </w:r>
          </w:p>
          <w:p w14:paraId="41F9ED3E">
            <w:pPr>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（3）投标人及其他利害关系人对评标结果有异议的，应当在中标候选人公示期内以书面形式向招标人提出。招标人将在收到异议之日起3日内作出书面答复；作出答复前，暂停招标投标活动。</w:t>
            </w:r>
          </w:p>
          <w:p w14:paraId="4ECB6E7D">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9.5.2投诉</w:t>
            </w:r>
          </w:p>
          <w:p w14:paraId="3F853718">
            <w:pPr>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75E9463F">
            <w:pPr>
              <w:kinsoku/>
              <w:topLinePunct/>
              <w:spacing w:line="360" w:lineRule="auto"/>
              <w:ind w:firstLine="0" w:firstLineChars="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上述时限最后一日如遇国家法定休假日的，顺延至法定休假日后的第一个工作日。</w:t>
            </w:r>
          </w:p>
        </w:tc>
      </w:tr>
      <w:tr w14:paraId="3AFD9C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503972AF">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2155" w:type="dxa"/>
            <w:noWrap w:val="0"/>
            <w:vAlign w:val="center"/>
          </w:tcPr>
          <w:p w14:paraId="3AC8021D">
            <w:pPr>
              <w:pStyle w:val="40"/>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045" w:type="dxa"/>
            <w:noWrap w:val="0"/>
            <w:vAlign w:val="center"/>
          </w:tcPr>
          <w:p w14:paraId="52AE5F23">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投诉受理的具体部门及电话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绍兴市水利局，0575-87523317</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772DE1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0947687F">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w:t>
            </w:r>
          </w:p>
        </w:tc>
        <w:tc>
          <w:tcPr>
            <w:tcW w:w="2155" w:type="dxa"/>
            <w:noWrap w:val="0"/>
            <w:vAlign w:val="center"/>
          </w:tcPr>
          <w:p w14:paraId="6A18E27F">
            <w:pPr>
              <w:tabs>
                <w:tab w:val="left" w:pos="14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否决投标的情形</w:t>
            </w:r>
          </w:p>
        </w:tc>
        <w:tc>
          <w:tcPr>
            <w:tcW w:w="6045" w:type="dxa"/>
            <w:noWrap w:val="0"/>
            <w:vAlign w:val="top"/>
          </w:tcPr>
          <w:p w14:paraId="41490BA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6254E97A">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二、投标文件存在以下情形之一的，由评标委员会审核并经过询标程序，其投标文件将被否决：</w:t>
            </w:r>
          </w:p>
          <w:p w14:paraId="44F9AA9B">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符合性内容</w:t>
            </w:r>
          </w:p>
          <w:p w14:paraId="6EA38DF3">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1.投标人的资质、业绩、人员、设备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等条件未满足招标文件实质性响应要求的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以投标人须知前附表3.5.7中“一、实质性响应招标文件资料”内容为准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19B522B">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2.投标文件未按招标文件的要求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以投标人须知前附表第3.7.3项规定为准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签字或盖章的；</w:t>
            </w:r>
          </w:p>
          <w:p w14:paraId="31C00FE3">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3.委托代理人无有效的</w:t>
            </w:r>
            <w:r>
              <w:rPr>
                <w:rFonts w:hint="eastAsia" w:ascii="宋体" w:hAnsi="宋体" w:eastAsia="宋体" w:cs="宋体"/>
                <w:color w:val="auto"/>
                <w:sz w:val="24"/>
                <w:szCs w:val="24"/>
                <w:highlight w:val="none"/>
              </w:rPr>
              <w:t>法定代表人</w:t>
            </w:r>
            <w:r>
              <w:rPr>
                <w:rFonts w:hint="eastAsia" w:ascii="宋体" w:hAnsi="宋体" w:eastAsia="宋体" w:cs="宋体"/>
                <w:color w:val="auto"/>
                <w:position w:val="1"/>
                <w:sz w:val="24"/>
                <w:szCs w:val="24"/>
                <w:highlight w:val="none"/>
              </w:rPr>
              <w:t>授权委托书的；</w:t>
            </w:r>
          </w:p>
          <w:p w14:paraId="463874CF">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4.投标人存在投标人须知第1.4.3项和投标人须知前附表第10.3款第五点规定情形的。</w:t>
            </w:r>
          </w:p>
          <w:p w14:paraId="785F19E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5.投标函载明的交货期不响应招标文件要求的；</w:t>
            </w:r>
          </w:p>
          <w:p w14:paraId="2A360481">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6.投标人不以自己的名义或未按招标文件要求提供投标保证金，或提供的投标保证金有缺陷而不能接受的；</w:t>
            </w:r>
          </w:p>
          <w:p w14:paraId="1E4C7339">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7.投标报价高于招标文件设定的最高投标限价的；</w:t>
            </w:r>
          </w:p>
          <w:p w14:paraId="27E8971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8.改变招标人提供的设备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清单内容的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货物名称、单位、数量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221D1FB">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3382E9DA">
            <w:pPr>
              <w:tabs>
                <w:tab w:val="left" w:pos="5680"/>
              </w:tabs>
              <w:kinsoku/>
              <w:topLinePunct/>
              <w:spacing w:line="360" w:lineRule="auto"/>
              <w:ind w:left="105" w:leftChars="50" w:right="105" w:rightChars="5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10.投标人为非中小企业的，投标人未提供《中小企业声明函》或未按照招标文件所附的《中小企业声明函》格式提供的；</w:t>
            </w:r>
          </w:p>
          <w:p w14:paraId="77857F0D">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11.投标人及其拟派项目负责人自202</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月1日起存在行贿犯罪记录的；</w:t>
            </w:r>
          </w:p>
          <w:p w14:paraId="373A4332">
            <w:pPr>
              <w:pStyle w:val="39"/>
              <w:tabs>
                <w:tab w:val="left" w:pos="3376"/>
                <w:tab w:val="left" w:pos="5680"/>
              </w:tabs>
              <w:kinsoku/>
              <w:topLinePunct/>
              <w:spacing w:line="360" w:lineRule="auto"/>
              <w:ind w:left="105" w:leftChars="50" w:right="105" w:rightChars="50"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 xml:space="preserve">12.不同投标人的投标文件制作机器码、文件创建标识码一致的；（具体说明： </w:t>
            </w:r>
            <w:r>
              <w:rPr>
                <w:rFonts w:hint="eastAsia" w:ascii="宋体" w:hAnsi="宋体" w:eastAsia="宋体" w:cs="宋体"/>
                <w:strike w:val="0"/>
                <w:color w:val="auto"/>
                <w:sz w:val="24"/>
                <w:szCs w:val="24"/>
                <w:highlight w:val="none"/>
                <w:lang w:val="en-US" w:eastAsia="zh-CN"/>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strike w:val="0"/>
                <w:color w:val="auto"/>
                <w:sz w:val="24"/>
                <w:szCs w:val="24"/>
                <w:highlight w:val="none"/>
              </w:rPr>
              <w:t>）</w:t>
            </w:r>
          </w:p>
          <w:p w14:paraId="372B469B">
            <w:pPr>
              <w:pStyle w:val="39"/>
              <w:tabs>
                <w:tab w:val="left" w:pos="3376"/>
                <w:tab w:val="left" w:pos="5680"/>
              </w:tabs>
              <w:kinsoku/>
              <w:topLinePunct/>
              <w:spacing w:line="360" w:lineRule="auto"/>
              <w:ind w:left="105" w:leftChars="50" w:right="105" w:rightChars="50" w:firstLine="0" w:firstLineChars="0"/>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□13.投标人提供的纸质投标文件水印码与电子投标文件不一致的；</w:t>
            </w:r>
          </w:p>
          <w:p w14:paraId="7A51CB8A">
            <w:pPr>
              <w:pStyle w:val="39"/>
              <w:tabs>
                <w:tab w:val="left" w:pos="3376"/>
                <w:tab w:val="left" w:pos="5680"/>
              </w:tabs>
              <w:kinsoku/>
              <w:topLinePunct/>
              <w:spacing w:line="360" w:lineRule="auto"/>
              <w:ind w:left="105" w:leftChars="50" w:right="105" w:rightChars="50" w:firstLine="0" w:firstLineChars="0"/>
              <w:rPr>
                <w:rFonts w:hint="eastAsia" w:ascii="宋体" w:hAnsi="宋体" w:eastAsia="宋体" w:cs="宋体"/>
                <w:strike w:val="0"/>
                <w:color w:val="auto"/>
                <w:sz w:val="24"/>
                <w:szCs w:val="24"/>
                <w:highlight w:val="none"/>
              </w:rPr>
            </w:pPr>
            <w:r>
              <w:rPr>
                <w:rFonts w:hint="eastAsia"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14.经招标人核实，投标人不符合“免缴投标保证金的”的条件，视同为未缴纳投标保证金；</w:t>
            </w:r>
          </w:p>
          <w:p w14:paraId="55F02672">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15.存在法律、法规、规章规定的其它无效投标情况的。</w:t>
            </w:r>
          </w:p>
          <w:p w14:paraId="2583F404">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技术标内容</w:t>
            </w:r>
          </w:p>
          <w:p w14:paraId="0115B398">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1.采用的验收标准和方法、主要技术指标达不到国家强制性标准或要求的；</w:t>
            </w:r>
          </w:p>
          <w:p w14:paraId="3B6E1F9B">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u w:val="single"/>
              </w:rPr>
            </w:pPr>
            <w:r>
              <w:rPr>
                <w:rFonts w:hint="eastAsia" w:ascii="宋体" w:hAnsi="宋体" w:eastAsia="宋体" w:cs="宋体"/>
                <w:strike w:val="0"/>
                <w:color w:val="auto"/>
                <w:sz w:val="24"/>
                <w:szCs w:val="24"/>
                <w:highlight w:val="none"/>
              </w:rPr>
              <w:t>2.不符合以下技术规格、标准或性能指标的</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招标人认为需要增加的，无则删除本条</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w:t>
            </w:r>
          </w:p>
          <w:p w14:paraId="6E1785EC">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3.投标文件载明的货物包装方式、检验标准和方法等不符合以下要求的</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招标人需要增加的其他内容，无则删除本条</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w:t>
            </w:r>
          </w:p>
          <w:p w14:paraId="0EB524A6">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4.存在评标办法规定的否决投标情况的；</w:t>
            </w:r>
          </w:p>
          <w:p w14:paraId="77F19D19">
            <w:pPr>
              <w:tabs>
                <w:tab w:val="left" w:pos="5680"/>
              </w:tabs>
              <w:kinsoku/>
              <w:topLinePunct/>
              <w:spacing w:line="360" w:lineRule="auto"/>
              <w:ind w:left="105" w:leftChars="50" w:right="105" w:rightChars="5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5.</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招标人需要增加的符合法律法规规定的其他内容，无则删除本条</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w:t>
            </w:r>
          </w:p>
          <w:p w14:paraId="79548F9F">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商务标内容</w:t>
            </w:r>
          </w:p>
          <w:p w14:paraId="4D600FB9">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1.同一投标人提交两个以上不同的投标文件或者投标报价的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招标文件要求提交备选投标的除外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7195C25">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position w:val="1"/>
                <w:sz w:val="24"/>
                <w:szCs w:val="24"/>
                <w:highlight w:val="none"/>
              </w:rPr>
              <w:t>2.报价评审时，投标人拒绝按以下条款修正的：</w:t>
            </w:r>
            <w:r>
              <w:rPr>
                <w:rFonts w:hint="eastAsia" w:ascii="宋体" w:hAnsi="宋体" w:eastAsia="宋体" w:cs="宋体"/>
                <w:color w:val="auto"/>
                <w:position w:val="1"/>
                <w:sz w:val="24"/>
                <w:szCs w:val="24"/>
                <w:highlight w:val="none"/>
                <w:lang w:val="en-US" w:eastAsia="zh-CN"/>
              </w:rPr>
              <w:t>/</w:t>
            </w:r>
          </w:p>
          <w:p w14:paraId="73A697AD">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3.投标函载明的投标报价或其它关键内容不全或有瑕疵的；</w:t>
            </w:r>
          </w:p>
          <w:p w14:paraId="059E4B2B">
            <w:pPr>
              <w:tabs>
                <w:tab w:val="left" w:pos="5680"/>
              </w:tabs>
              <w:kinsoku/>
              <w:topLinePunct/>
              <w:spacing w:line="360" w:lineRule="auto"/>
              <w:ind w:left="105" w:leftChars="50" w:right="105" w:rightChars="5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4.未按以下要求进行报价的</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招标人认为需要增加的，无则删除本条</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w:t>
            </w:r>
          </w:p>
          <w:p w14:paraId="460E5CA3">
            <w:pPr>
              <w:tabs>
                <w:tab w:val="left" w:pos="5680"/>
              </w:tabs>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strike/>
                <w:color w:val="auto"/>
                <w:sz w:val="24"/>
                <w:szCs w:val="24"/>
                <w:highlight w:val="none"/>
              </w:rPr>
              <w:t>5.</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招标人需要增加的其他商务标内容，无则删除本条</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w:t>
            </w:r>
          </w:p>
        </w:tc>
      </w:tr>
      <w:tr w14:paraId="0CF4B4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794ACDA6">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w:t>
            </w:r>
          </w:p>
        </w:tc>
        <w:tc>
          <w:tcPr>
            <w:tcW w:w="2155" w:type="dxa"/>
            <w:noWrap w:val="0"/>
            <w:vAlign w:val="center"/>
          </w:tcPr>
          <w:p w14:paraId="3B441FB7">
            <w:pPr>
              <w:kinsoku/>
              <w:wordWrap w:val="0"/>
              <w:topLinePunct/>
              <w:spacing w:line="360" w:lineRule="auto"/>
              <w:rPr>
                <w:rFonts w:hint="eastAsia" w:ascii="宋体" w:hAnsi="宋体" w:eastAsia="宋体" w:cs="宋体"/>
                <w:color w:val="auto"/>
                <w:sz w:val="24"/>
                <w:szCs w:val="24"/>
                <w:highlight w:val="none"/>
              </w:rPr>
            </w:pPr>
            <w:r>
              <w:rPr>
                <w:rFonts w:hint="eastAsia" w:ascii="宋体" w:hAnsi="宋体" w:eastAsia="宋体" w:cs="宋体"/>
                <w:strike/>
                <w:color w:val="auto"/>
                <w:sz w:val="24"/>
                <w:szCs w:val="24"/>
                <w:highlight w:val="none"/>
              </w:rPr>
              <w:t>定标（适用于“评定分离”）</w:t>
            </w:r>
          </w:p>
        </w:tc>
        <w:tc>
          <w:tcPr>
            <w:tcW w:w="6045" w:type="dxa"/>
            <w:noWrap w:val="0"/>
            <w:vAlign w:val="center"/>
          </w:tcPr>
          <w:p w14:paraId="2948388F">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1.定标委员会：定标委员会由招标人负责组建，成员数量为5人及以上单数。定标委员会成员与中标候选人有利害关系的应主动说明并申请回避。</w:t>
            </w:r>
          </w:p>
          <w:p w14:paraId="37013982">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2.定标会议地点和时间：</w:t>
            </w:r>
          </w:p>
          <w:p w14:paraId="187F1ADF">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2.1定标时间：                 。</w:t>
            </w:r>
          </w:p>
          <w:p w14:paraId="534643E8">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2.2定标地点：                 。</w:t>
            </w:r>
          </w:p>
          <w:p w14:paraId="34CD2B83">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2.3招标人根据相关规定在评标结果公示结束后10日内召开定标会议。</w:t>
            </w:r>
          </w:p>
          <w:p w14:paraId="70EC0668">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3.考察、质询</w:t>
            </w:r>
          </w:p>
          <w:p w14:paraId="56C97B79">
            <w:pPr>
              <w:keepNext w:val="0"/>
              <w:keepLines w:val="0"/>
              <w:pageBreakBefore w:val="0"/>
              <w:widowControl/>
              <w:kinsoku/>
              <w:wordWrap/>
              <w:overflowPunct/>
              <w:topLinePunct/>
              <w:autoSpaceDE w:val="0"/>
              <w:autoSpaceDN w:val="0"/>
              <w:bidi w:val="0"/>
              <w:adjustRightInd w:val="0"/>
              <w:snapToGrid w:val="0"/>
              <w:spacing w:line="360" w:lineRule="auto"/>
              <w:ind w:left="105" w:leftChars="50" w:right="105" w:rightChars="50"/>
              <w:jc w:val="both"/>
              <w:textAlignment w:val="baseline"/>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3.1在定标会议前（考察、质询应给予中标候选人合理的准备时间。）对所有中标候选人进行考察、质询。</w:t>
            </w:r>
          </w:p>
          <w:p w14:paraId="7ACC157D">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3.2考察、质询小组由</w:t>
            </w:r>
            <w:r>
              <w:rPr>
                <w:rFonts w:hint="eastAsia" w:ascii="宋体" w:hAnsi="宋体" w:eastAsia="宋体" w:cs="宋体"/>
                <w:i/>
                <w:iCs/>
                <w:strike/>
                <w:color w:val="auto"/>
                <w:sz w:val="24"/>
                <w:szCs w:val="24"/>
                <w:highlight w:val="none"/>
                <w:u w:val="single"/>
              </w:rPr>
              <w:t>（3人及以上单数）</w:t>
            </w:r>
            <w:r>
              <w:rPr>
                <w:rFonts w:hint="eastAsia" w:ascii="宋体" w:hAnsi="宋体" w:eastAsia="宋体" w:cs="宋体"/>
                <w:strike/>
                <w:color w:val="auto"/>
                <w:sz w:val="24"/>
                <w:szCs w:val="24"/>
                <w:highlight w:val="none"/>
              </w:rPr>
              <w:t>组成。</w:t>
            </w:r>
          </w:p>
          <w:p w14:paraId="5EEC670B">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4.现场面试</w:t>
            </w:r>
          </w:p>
          <w:p w14:paraId="7395AE06">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4.1面试时间：                               ；</w:t>
            </w:r>
          </w:p>
          <w:p w14:paraId="2CAC6757">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4.2面试内容：                               ；</w:t>
            </w:r>
          </w:p>
          <w:p w14:paraId="7B757E91">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4.3面试方式：</w:t>
            </w:r>
          </w:p>
          <w:p w14:paraId="4C980F51">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317D7717">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4.3.2其他方式：                               。</w:t>
            </w:r>
          </w:p>
          <w:p w14:paraId="5CBBDC28">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5.定标要素及具体内容</w:t>
            </w:r>
          </w:p>
          <w:p w14:paraId="08C1CFB7">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 xml:space="preserve">5.1评标报告； </w:t>
            </w:r>
          </w:p>
          <w:p w14:paraId="2D1B6F20">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5.2考察或质询情况；</w:t>
            </w:r>
          </w:p>
          <w:p w14:paraId="5BADFE5A">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5.3现场面试情况；</w:t>
            </w:r>
          </w:p>
          <w:p w14:paraId="135FFC03">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5.4价格因素；</w:t>
            </w:r>
          </w:p>
          <w:p w14:paraId="0631309A">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5.5企业实力；</w:t>
            </w:r>
          </w:p>
          <w:p w14:paraId="5E6B9D2D">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 xml:space="preserve">5.6企业信誉； </w:t>
            </w:r>
          </w:p>
          <w:p w14:paraId="072DE414">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 xml:space="preserve">5.7投标方案； </w:t>
            </w:r>
          </w:p>
          <w:p w14:paraId="2F362A7E">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 xml:space="preserve">5.8拟派团队能力与水平； </w:t>
            </w:r>
          </w:p>
          <w:p w14:paraId="387F1330">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 xml:space="preserve">5.9联合体投标的，联合体组成情况； </w:t>
            </w:r>
          </w:p>
          <w:p w14:paraId="16A2C82D">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F0A3"/>
            </w:r>
            <w:r>
              <w:rPr>
                <w:rFonts w:hint="eastAsia" w:ascii="宋体" w:hAnsi="宋体" w:eastAsia="宋体" w:cs="宋体"/>
                <w:strike/>
                <w:color w:val="auto"/>
                <w:sz w:val="24"/>
                <w:szCs w:val="24"/>
                <w:highlight w:val="none"/>
              </w:rPr>
              <w:t>5.10招标人认为需要考量的其他因素。</w:t>
            </w:r>
          </w:p>
          <w:p w14:paraId="1ED17A1C">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6.定标方式</w:t>
            </w:r>
          </w:p>
          <w:p w14:paraId="4F079A49">
            <w:pPr>
              <w:kinsoku/>
              <w:wordWrap w:val="0"/>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5D0D8CE7">
            <w:pPr>
              <w:kinsoku/>
              <w:wordWrap w:val="0"/>
              <w:topLinePunct/>
              <w:spacing w:line="360" w:lineRule="auto"/>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6.1票决法：由定标委员会以直接票决或者逐轮票决的方式确定中标人。</w:t>
            </w:r>
          </w:p>
          <w:p w14:paraId="1E03A59D">
            <w:pPr>
              <w:kinsoku/>
              <w:wordWrap w:val="0"/>
              <w:topLinePunct/>
              <w:spacing w:line="360" w:lineRule="auto"/>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7187A2D1">
            <w:pPr>
              <w:pStyle w:val="40"/>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sym w:font="Wingdings 2" w:char="00A3"/>
            </w:r>
            <w:r>
              <w:rPr>
                <w:rFonts w:hint="eastAsia" w:ascii="宋体" w:hAnsi="宋体" w:eastAsia="宋体" w:cs="宋体"/>
                <w:strike/>
                <w:color w:val="auto"/>
                <w:sz w:val="24"/>
                <w:szCs w:val="24"/>
                <w:highlight w:val="none"/>
              </w:rPr>
              <w:t>6.3其他定标办法：   。</w:t>
            </w:r>
          </w:p>
          <w:p w14:paraId="785F44EF">
            <w:pPr>
              <w:kinsoku/>
              <w:topLinePunct/>
              <w:spacing w:line="360" w:lineRule="auto"/>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7.中标人公告媒介及期限</w:t>
            </w:r>
          </w:p>
          <w:p w14:paraId="132DCB3E">
            <w:pPr>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招标人应当将中标结果情况在投标须知前附表规定的媒介上公告不少于3日。</w:t>
            </w:r>
          </w:p>
          <w:p w14:paraId="3FB018B7">
            <w:pPr>
              <w:kinsoku/>
              <w:topLinePunct/>
              <w:spacing w:line="360" w:lineRule="auto"/>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7.1定标后有下列情形之一的，招标人可以组织原定标委员会从其他中标候选人中按原定标方法确定中标人：</w:t>
            </w:r>
          </w:p>
          <w:p w14:paraId="5C25EB21">
            <w:pPr>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 xml:space="preserve">（1）中标人放弃中标资格或者拒不签订合同的； </w:t>
            </w:r>
          </w:p>
          <w:p w14:paraId="6CE2B292">
            <w:pPr>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 xml:space="preserve">（2）中标人被查实存在违法行为影响中标结果的； </w:t>
            </w:r>
          </w:p>
          <w:p w14:paraId="725865C7">
            <w:pPr>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（3）投标须知前附表规定的其他情形。</w:t>
            </w:r>
          </w:p>
          <w:p w14:paraId="112119F8">
            <w:pPr>
              <w:kinsoku/>
              <w:topLinePunct/>
              <w:spacing w:line="360" w:lineRule="auto"/>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7.2定标后有下列情形之一的，应重新定标：</w:t>
            </w:r>
          </w:p>
          <w:p w14:paraId="7331E581">
            <w:pPr>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 xml:space="preserve">（1）查实定标委员会未按定标办法公正履职的； </w:t>
            </w:r>
          </w:p>
          <w:p w14:paraId="35610B3A">
            <w:pPr>
              <w:kinsoku/>
              <w:topLinePunct/>
              <w:spacing w:line="360" w:lineRule="auto"/>
              <w:ind w:firstLine="0" w:firstLineChars="0"/>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（2）有定标委员会成员与中标候选人有利害关系且未申请回避的；</w:t>
            </w:r>
          </w:p>
          <w:p w14:paraId="20B25A64">
            <w:pPr>
              <w:kinsoku/>
              <w:topLinePunct/>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strike/>
                <w:color w:val="auto"/>
                <w:sz w:val="24"/>
                <w:szCs w:val="24"/>
                <w:highlight w:val="none"/>
              </w:rPr>
              <w:t>（3）投标须知前附表规定的其他情形。</w:t>
            </w:r>
          </w:p>
        </w:tc>
      </w:tr>
      <w:tr w14:paraId="79551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center"/>
          </w:tcPr>
          <w:p w14:paraId="2A0B8E9D">
            <w:pPr>
              <w:kinsoku/>
              <w:topLinePunct/>
              <w:spacing w:line="360" w:lineRule="auto"/>
              <w:ind w:left="105" w:leftChars="50" w:right="105" w:righ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10.3</w:t>
            </w:r>
          </w:p>
        </w:tc>
        <w:tc>
          <w:tcPr>
            <w:tcW w:w="2155" w:type="dxa"/>
            <w:noWrap w:val="0"/>
            <w:vAlign w:val="center"/>
          </w:tcPr>
          <w:p w14:paraId="2B55D7EC">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特别说明</w:t>
            </w:r>
          </w:p>
        </w:tc>
        <w:tc>
          <w:tcPr>
            <w:tcW w:w="6045" w:type="dxa"/>
            <w:noWrap w:val="0"/>
            <w:vAlign w:val="top"/>
          </w:tcPr>
          <w:p w14:paraId="5C3F2E19">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一、本招标文件斜体字部分是根据本次招标内容的具体情况进行的相应填写。</w:t>
            </w:r>
          </w:p>
          <w:p w14:paraId="26D713CE">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二、投标人须知具体内容如与本前附表不一致的，以本前附表为准。</w:t>
            </w:r>
          </w:p>
          <w:p w14:paraId="317BE195">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三、投标人投标函与投标报价表不一致的，以投标人投标函为准。</w:t>
            </w:r>
          </w:p>
          <w:p w14:paraId="3AB7240C">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四、除招标文件另有规定外，投标函的投标报价与清单汇总报价不一致时，以投标函报价为准。</w:t>
            </w:r>
          </w:p>
          <w:p w14:paraId="06C11976">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661D73DF">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1.不同投标人的投标文件由同一单位或者个人编制；</w:t>
            </w:r>
          </w:p>
          <w:p w14:paraId="0F3730BD">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2.不同投标人委托同一单位或者个人办理投标事宜；</w:t>
            </w:r>
          </w:p>
          <w:p w14:paraId="798CF147">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3.不同投标人的投标文件载明的项目管理成员为同一人；</w:t>
            </w:r>
          </w:p>
          <w:p w14:paraId="0A844F1B">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4.不同投标人的投标文件异常一致或者投标报价呈规律性差异；</w:t>
            </w:r>
          </w:p>
          <w:p w14:paraId="004257EC">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5.不同投标人的投标文件相互混装；</w:t>
            </w:r>
          </w:p>
          <w:p w14:paraId="52FB3F56">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6.不同投标人的投标保证金从同一单位或者个人的账户转出或者通过同一单位或者个人的账户购买电子保函；</w:t>
            </w:r>
          </w:p>
          <w:p w14:paraId="183DAA56">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7.投标人之间协商投标报价等投标文件的实质性内容；</w:t>
            </w:r>
          </w:p>
          <w:p w14:paraId="48048557">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8.投标人之间约定中标人；</w:t>
            </w:r>
          </w:p>
          <w:p w14:paraId="4EABD6E7">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9.投标人之间约定部分投标人放弃投标或者中标；</w:t>
            </w:r>
          </w:p>
          <w:p w14:paraId="7B143931">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10.属于同一集团、协会、商会等组织成员的投标人按照该组织要求协同投标；</w:t>
            </w:r>
          </w:p>
          <w:p w14:paraId="24DEB5B5">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11.投标人之间为谋取中标或者排斥特定投标人而采取的其他联合行动。</w:t>
            </w:r>
          </w:p>
          <w:p w14:paraId="3D59F8D8">
            <w:pPr>
              <w:tabs>
                <w:tab w:val="left" w:pos="5680"/>
              </w:tabs>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12.本招标文件由招标人负责解释。</w:t>
            </w:r>
          </w:p>
        </w:tc>
      </w:tr>
      <w:tr w14:paraId="48C91E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c>
          <w:tcPr>
            <w:tcW w:w="967" w:type="dxa"/>
            <w:noWrap w:val="0"/>
            <w:vAlign w:val="top"/>
          </w:tcPr>
          <w:p w14:paraId="0E0DADD0">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55" w:type="dxa"/>
            <w:noWrap w:val="0"/>
            <w:vAlign w:val="top"/>
          </w:tcPr>
          <w:p w14:paraId="00DAD6C8">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6045" w:type="dxa"/>
            <w:noWrap w:val="0"/>
            <w:vAlign w:val="top"/>
          </w:tcPr>
          <w:p w14:paraId="52934633">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12FC0D81">
      <w:pPr>
        <w:kinsoku/>
        <w:topLinePunct/>
        <w:spacing w:before="91" w:line="221" w:lineRule="auto"/>
        <w:ind w:left="3171"/>
        <w:jc w:val="both"/>
        <w:outlineLvl w:val="9"/>
        <w:rPr>
          <w:rFonts w:ascii="宋体" w:hAnsi="宋体" w:eastAsia="宋体" w:cs="宋体"/>
          <w:color w:val="auto"/>
          <w:sz w:val="28"/>
          <w:szCs w:val="28"/>
          <w:highlight w:val="none"/>
        </w:rPr>
      </w:pPr>
      <w:bookmarkStart w:id="139" w:name="_bookmark4"/>
      <w:bookmarkEnd w:id="139"/>
      <w:bookmarkStart w:id="140" w:name="_Toc5101"/>
      <w:bookmarkStart w:id="141" w:name="_Toc31461"/>
      <w:bookmarkStart w:id="142" w:name="_Toc32101"/>
      <w:bookmarkStart w:id="143" w:name="_Toc27583"/>
      <w:bookmarkStart w:id="144" w:name="_Toc15763"/>
      <w:bookmarkStart w:id="145" w:name="_Toc15393"/>
      <w:bookmarkStart w:id="146" w:name="_Toc7961"/>
      <w:bookmarkStart w:id="147" w:name="_Toc27222"/>
      <w:bookmarkStart w:id="148" w:name="_Toc23294"/>
      <w:bookmarkStart w:id="149" w:name="_Toc5382"/>
      <w:bookmarkStart w:id="150" w:name="_Toc30095"/>
      <w:bookmarkStart w:id="151" w:name="_Toc13584"/>
      <w:bookmarkStart w:id="152" w:name="_Toc20924"/>
      <w:bookmarkStart w:id="153" w:name="_Toc17975"/>
      <w:bookmarkStart w:id="154" w:name="_Toc29708"/>
      <w:bookmarkStart w:id="155" w:name="_Toc29172"/>
      <w:bookmarkStart w:id="156" w:name="_Toc10644"/>
    </w:p>
    <w:p w14:paraId="635708FD">
      <w:pPr>
        <w:kinsoku/>
        <w:topLinePunct/>
        <w:spacing w:before="91" w:line="221" w:lineRule="auto"/>
        <w:ind w:left="3171"/>
        <w:jc w:val="both"/>
        <w:outlineLvl w:val="9"/>
        <w:rPr>
          <w:rFonts w:ascii="宋体" w:hAnsi="宋体" w:eastAsia="宋体" w:cs="宋体"/>
          <w:color w:val="auto"/>
          <w:sz w:val="28"/>
          <w:szCs w:val="28"/>
          <w:highlight w:val="none"/>
        </w:rPr>
      </w:pPr>
    </w:p>
    <w:p w14:paraId="0E0D32BE">
      <w:pPr>
        <w:kinsoku/>
        <w:topLinePunct/>
        <w:spacing w:before="91" w:line="221" w:lineRule="auto"/>
        <w:ind w:left="0"/>
        <w:jc w:val="both"/>
        <w:outlineLvl w:val="9"/>
        <w:rPr>
          <w:rFonts w:ascii="宋体" w:hAnsi="宋体" w:eastAsia="宋体" w:cs="宋体"/>
          <w:color w:val="auto"/>
          <w:sz w:val="28"/>
          <w:szCs w:val="28"/>
          <w:highlight w:val="none"/>
        </w:rPr>
      </w:pPr>
    </w:p>
    <w:p w14:paraId="49C73237">
      <w:pPr>
        <w:kinsoku/>
        <w:topLinePunct/>
        <w:spacing w:before="91" w:line="221" w:lineRule="auto"/>
        <w:ind w:left="3171"/>
        <w:jc w:val="both"/>
        <w:outlineLvl w:val="1"/>
        <w:rPr>
          <w:rFonts w:ascii="宋体" w:hAnsi="宋体" w:eastAsia="宋体" w:cs="宋体"/>
          <w:color w:val="auto"/>
          <w:sz w:val="28"/>
          <w:szCs w:val="28"/>
          <w:highlight w:val="none"/>
        </w:rPr>
      </w:pPr>
      <w:bookmarkStart w:id="157" w:name="_Toc4979"/>
      <w:bookmarkStart w:id="158" w:name="_Toc16671"/>
      <w:bookmarkStart w:id="159" w:name="_Toc22694"/>
      <w:bookmarkStart w:id="160" w:name="_Toc25713"/>
      <w:bookmarkStart w:id="161" w:name="_Toc24628"/>
      <w:bookmarkStart w:id="162" w:name="_Toc12351"/>
      <w:r>
        <w:rPr>
          <w:rFonts w:ascii="宋体" w:hAnsi="宋体" w:eastAsia="宋体" w:cs="宋体"/>
          <w:color w:val="auto"/>
          <w:sz w:val="28"/>
          <w:szCs w:val="28"/>
          <w:highlight w:val="none"/>
        </w:rPr>
        <w:t>第二节投标人须知</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2EF907B">
      <w:pPr>
        <w:kinsoku/>
        <w:topLinePunct/>
        <w:spacing w:line="360" w:lineRule="auto"/>
        <w:jc w:val="both"/>
        <w:outlineLvl w:val="2"/>
        <w:rPr>
          <w:rFonts w:ascii="宋体" w:hAnsi="宋体" w:eastAsia="宋体" w:cs="宋体"/>
          <w:color w:val="auto"/>
          <w:sz w:val="24"/>
          <w:szCs w:val="24"/>
          <w:highlight w:val="none"/>
        </w:rPr>
      </w:pPr>
      <w:r>
        <w:rPr>
          <w:rFonts w:ascii="宋体" w:hAnsi="宋体" w:eastAsia="宋体" w:cs="Calibri"/>
          <w:b/>
          <w:bCs/>
          <w:color w:val="auto"/>
          <w:sz w:val="24"/>
          <w:szCs w:val="24"/>
          <w:highlight w:val="none"/>
        </w:rPr>
        <w:t>1.</w:t>
      </w:r>
      <w:r>
        <w:rPr>
          <w:rFonts w:ascii="宋体" w:hAnsi="宋体" w:eastAsia="宋体" w:cs="宋体"/>
          <w:color w:val="auto"/>
          <w:sz w:val="24"/>
          <w:szCs w:val="24"/>
          <w:highlight w:val="none"/>
        </w:rPr>
        <w:t>总则</w:t>
      </w:r>
    </w:p>
    <w:p w14:paraId="4B1EF977">
      <w:pPr>
        <w:kinsoku/>
        <w:topLinePunct/>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1.1</w:t>
      </w:r>
      <w:r>
        <w:rPr>
          <w:rFonts w:ascii="宋体" w:hAnsi="宋体" w:eastAsia="宋体" w:cs="宋体"/>
          <w:color w:val="auto"/>
          <w:sz w:val="24"/>
          <w:szCs w:val="24"/>
          <w:highlight w:val="none"/>
        </w:rPr>
        <w:t>项目概况</w:t>
      </w:r>
    </w:p>
    <w:p w14:paraId="461B7198">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706CF062">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1.1.2本招标项目招标人：见投标人须知前附表。</w:t>
      </w:r>
    </w:p>
    <w:p w14:paraId="4C3490D5">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1.1.3本招标项目招标代理机构：见投标人须知前附表。</w:t>
      </w:r>
    </w:p>
    <w:p w14:paraId="4D99F4A4">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1.1.4本招标项目名称：见投标人须知前附表。</w:t>
      </w:r>
    </w:p>
    <w:p w14:paraId="1114939F">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1.1.5本招标项目建设地点：见投标人须知前附表。</w:t>
      </w:r>
    </w:p>
    <w:p w14:paraId="38BBB5A3">
      <w:pPr>
        <w:kinsoku/>
        <w:topLinePunct/>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1.2</w:t>
      </w:r>
      <w:r>
        <w:rPr>
          <w:rFonts w:ascii="宋体" w:hAnsi="宋体" w:eastAsia="宋体" w:cs="宋体"/>
          <w:color w:val="auto"/>
          <w:sz w:val="24"/>
          <w:szCs w:val="24"/>
          <w:highlight w:val="none"/>
        </w:rPr>
        <w:t>资金来源和落实情况</w:t>
      </w:r>
    </w:p>
    <w:p w14:paraId="5E928493">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1.2.1本招标项目的资金来源及出资比例：见投标人须知前附表。</w:t>
      </w:r>
    </w:p>
    <w:p w14:paraId="1E44CE38">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1.2.2本招标项目的资金落实情况：见投标人须知前附表。</w:t>
      </w:r>
    </w:p>
    <w:p w14:paraId="7C501492">
      <w:pPr>
        <w:kinsoku/>
        <w:topLinePunct/>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1.3</w:t>
      </w:r>
      <w:r>
        <w:rPr>
          <w:rFonts w:ascii="宋体" w:hAnsi="宋体" w:eastAsia="宋体" w:cs="宋体"/>
          <w:color w:val="auto"/>
          <w:sz w:val="24"/>
          <w:szCs w:val="24"/>
          <w:highlight w:val="none"/>
        </w:rPr>
        <w:t>招标范围及计划服务期</w:t>
      </w:r>
    </w:p>
    <w:p w14:paraId="4E63B53F">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1.3.1本次招标范围：见投标人须知前附表。</w:t>
      </w:r>
    </w:p>
    <w:p w14:paraId="7A32487A">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1.3.2本招标项目交货期：见投标人须知前附表。</w:t>
      </w:r>
    </w:p>
    <w:p w14:paraId="2E649EA7">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1.3.3本招标项目质量保</w:t>
      </w:r>
      <w:r>
        <w:rPr>
          <w:rFonts w:hint="eastAsia" w:ascii="宋体" w:hAnsi="宋体" w:eastAsia="宋体" w:cs="宋体"/>
          <w:color w:val="auto"/>
          <w:position w:val="1"/>
          <w:sz w:val="24"/>
          <w:szCs w:val="24"/>
          <w:highlight w:val="none"/>
          <w:lang w:val="en-US" w:eastAsia="zh-CN"/>
        </w:rPr>
        <w:t>证</w:t>
      </w:r>
      <w:r>
        <w:rPr>
          <w:rFonts w:ascii="宋体" w:hAnsi="宋体" w:eastAsia="宋体" w:cs="宋体"/>
          <w:color w:val="auto"/>
          <w:position w:val="1"/>
          <w:sz w:val="24"/>
          <w:szCs w:val="24"/>
          <w:highlight w:val="none"/>
        </w:rPr>
        <w:t>期：见投标人须知前附表。</w:t>
      </w:r>
    </w:p>
    <w:p w14:paraId="7FD14FA6">
      <w:pPr>
        <w:kinsoku/>
        <w:topLinePunct/>
        <w:spacing w:line="360" w:lineRule="auto"/>
        <w:jc w:val="both"/>
        <w:outlineLvl w:val="3"/>
        <w:rPr>
          <w:rFonts w:ascii="宋体" w:hAnsi="宋体" w:eastAsia="宋体" w:cs="宋体"/>
          <w:color w:val="auto"/>
          <w:sz w:val="24"/>
          <w:szCs w:val="24"/>
          <w:highlight w:val="none"/>
        </w:rPr>
      </w:pPr>
      <w:r>
        <w:rPr>
          <w:rFonts w:ascii="宋体" w:hAnsi="宋体" w:eastAsia="宋体"/>
          <w:b/>
          <w:bCs/>
          <w:color w:val="auto"/>
          <w:sz w:val="24"/>
          <w:szCs w:val="24"/>
          <w:highlight w:val="none"/>
        </w:rPr>
        <w:t>1.4</w:t>
      </w:r>
      <w:r>
        <w:rPr>
          <w:rFonts w:ascii="宋体" w:hAnsi="宋体" w:eastAsia="宋体" w:cs="宋体"/>
          <w:color w:val="auto"/>
          <w:sz w:val="24"/>
          <w:szCs w:val="24"/>
          <w:highlight w:val="none"/>
        </w:rPr>
        <w:t>投标人资格要求</w:t>
      </w:r>
    </w:p>
    <w:p w14:paraId="4CCDC9F5">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ascii="宋体" w:hAnsi="宋体" w:eastAsia="宋体" w:cs="宋体"/>
          <w:color w:val="auto"/>
          <w:position w:val="1"/>
          <w:sz w:val="24"/>
          <w:szCs w:val="24"/>
          <w:highlight w:val="none"/>
        </w:rPr>
        <w:t>1.4.1投标人应具备承担本标段服务的资格条件、要求。</w:t>
      </w:r>
    </w:p>
    <w:p w14:paraId="0F70E305">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lang w:eastAsia="zh-CN"/>
        </w:rPr>
        <w:t>）</w:t>
      </w:r>
      <w:r>
        <w:rPr>
          <w:rFonts w:ascii="宋体" w:hAnsi="宋体" w:eastAsia="宋体" w:cs="宋体"/>
          <w:color w:val="auto"/>
          <w:position w:val="1"/>
          <w:sz w:val="24"/>
          <w:szCs w:val="24"/>
          <w:highlight w:val="none"/>
        </w:rPr>
        <w:t>资质条件：见投标人须知前附表；</w:t>
      </w:r>
    </w:p>
    <w:p w14:paraId="37FBF49C">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lang w:eastAsia="zh-CN"/>
        </w:rPr>
        <w:t>）</w:t>
      </w:r>
      <w:r>
        <w:rPr>
          <w:rFonts w:ascii="宋体" w:hAnsi="宋体" w:eastAsia="宋体" w:cs="宋体"/>
          <w:color w:val="auto"/>
          <w:position w:val="1"/>
          <w:sz w:val="24"/>
          <w:szCs w:val="24"/>
          <w:highlight w:val="none"/>
        </w:rPr>
        <w:t>业绩要求：见投标人须知前附表；</w:t>
      </w:r>
    </w:p>
    <w:p w14:paraId="657D23FD">
      <w:pPr>
        <w:kinsoku/>
        <w:topLinePunct/>
        <w:spacing w:line="360" w:lineRule="auto"/>
        <w:ind w:firstLine="465" w:firstLineChars="194"/>
        <w:jc w:val="both"/>
        <w:rPr>
          <w:rFonts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ascii="宋体" w:hAnsi="宋体" w:eastAsia="宋体" w:cs="宋体"/>
          <w:color w:val="auto"/>
          <w:position w:val="1"/>
          <w:sz w:val="24"/>
          <w:szCs w:val="24"/>
          <w:highlight w:val="none"/>
        </w:rPr>
        <w:t>3</w:t>
      </w:r>
      <w:r>
        <w:rPr>
          <w:rFonts w:hint="eastAsia" w:ascii="宋体" w:hAnsi="宋体" w:eastAsia="宋体" w:cs="宋体"/>
          <w:color w:val="auto"/>
          <w:position w:val="1"/>
          <w:sz w:val="24"/>
          <w:szCs w:val="24"/>
          <w:highlight w:val="none"/>
          <w:lang w:eastAsia="zh-CN"/>
        </w:rPr>
        <w:t>）</w:t>
      </w:r>
      <w:r>
        <w:rPr>
          <w:rFonts w:ascii="宋体" w:hAnsi="宋体" w:eastAsia="宋体" w:cs="宋体"/>
          <w:color w:val="auto"/>
          <w:position w:val="1"/>
          <w:sz w:val="24"/>
          <w:szCs w:val="24"/>
          <w:highlight w:val="none"/>
        </w:rPr>
        <w:t>信誉要求：见投标人须知前附表；</w:t>
      </w:r>
    </w:p>
    <w:p w14:paraId="7C63C659">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其他要求：见投标人须知前附表。</w:t>
      </w:r>
    </w:p>
    <w:p w14:paraId="5F21D531">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4C81999D">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联合体各方应按招标文件提供的格式签订联合体协议书，明确联合体牵头人和各方权利义务；</w:t>
      </w:r>
    </w:p>
    <w:p w14:paraId="3F71AD06">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由同一专业的单位组成的联合体，按照资质等级较低的单位确定资质等级；</w:t>
      </w:r>
    </w:p>
    <w:p w14:paraId="6985F5D1">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联合体各方不得再以自己名义单独或参加其他联合体在同一标段中投标。</w:t>
      </w:r>
    </w:p>
    <w:p w14:paraId="1FC44A29">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投标人是联合体的，指联合体各方</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不得存在下列情形之一：</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为招标人不具有独立法人资格的附属机构</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单位</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w:t>
      </w:r>
    </w:p>
    <w:p w14:paraId="3B66F8C1">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为本标段的代建人；</w:t>
      </w:r>
    </w:p>
    <w:p w14:paraId="05B7825A">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为本标段提供招标代理服务的；</w:t>
      </w:r>
    </w:p>
    <w:p w14:paraId="79684929">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单位负责人为同一人或者存在控股、管理关系的不同单位，同时参加本标段投标的；</w:t>
      </w:r>
    </w:p>
    <w:p w14:paraId="724A1DFA">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投标人及其法定代表人控股的其他公司，同时参加本标段投标的；</w:t>
      </w:r>
    </w:p>
    <w:p w14:paraId="3DA4FC06">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与招标人存在利害关系可能影响招标公正性的法人、其他组织或者个人参加投标的；</w:t>
      </w:r>
    </w:p>
    <w:p w14:paraId="3EE32464">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被责令停业的；</w:t>
      </w:r>
    </w:p>
    <w:p w14:paraId="6BB8FFBA">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8</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被暂停或取消投标资格的；</w:t>
      </w:r>
    </w:p>
    <w:p w14:paraId="4DF3733E">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9</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财产被接管或冻结的。</w:t>
      </w:r>
    </w:p>
    <w:p w14:paraId="22BA3609">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0FF83177">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110AE4FC">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171ACEF7">
      <w:pPr>
        <w:kinsoku/>
        <w:topLinePunct/>
        <w:spacing w:line="360"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7A86EDE4">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4214C5CE">
      <w:pPr>
        <w:kinsoku/>
        <w:topLinePunct/>
        <w:spacing w:line="360"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42777A38">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4F79B691">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442119CA">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6E410781">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747E1361">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636D16E6">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5CB6FD14">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0D8302B">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70F0E0D4">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5BEA6412">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765BFD15">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25338AE2">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2D7CE3A9">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7AD3A89B">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1746AEC7">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4D3C76D1">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3F868980">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49CA41F2">
      <w:pPr>
        <w:kinsoku/>
        <w:topLinePunct/>
        <w:spacing w:line="36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78527472">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68A015C7">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173D21BC">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招标公告；</w:t>
      </w:r>
    </w:p>
    <w:p w14:paraId="733DE3F7">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投标人须知；</w:t>
      </w:r>
    </w:p>
    <w:p w14:paraId="1D754255">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3</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评标定标办法；</w:t>
      </w:r>
    </w:p>
    <w:p w14:paraId="78EBE56A">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4</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合同条款及格式；</w:t>
      </w:r>
    </w:p>
    <w:p w14:paraId="10A5B4CD">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5</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招标内容和技术要求；</w:t>
      </w:r>
    </w:p>
    <w:p w14:paraId="42BFD3D7">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6</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投标文件格式；</w:t>
      </w:r>
    </w:p>
    <w:p w14:paraId="053C3F29">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7</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投标人须知前附表规定的其他材料。</w:t>
      </w:r>
    </w:p>
    <w:p w14:paraId="551FF7CF">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55C01CAA">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5D494CE5">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04CB50A1">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30ED7225">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122992A7">
      <w:pPr>
        <w:kinsoku/>
        <w:topLinePunct/>
        <w:spacing w:line="36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26A273F6">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233A7898">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1EBFCAFC">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投标函</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w:t>
      </w:r>
    </w:p>
    <w:p w14:paraId="25B22E29">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投标报价表</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w:t>
      </w:r>
    </w:p>
    <w:p w14:paraId="106701D6">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lang w:val="en-US" w:eastAsia="zh-CN"/>
        </w:rPr>
        <w:t>3）</w:t>
      </w:r>
      <w:r>
        <w:rPr>
          <w:rFonts w:hint="eastAsia" w:ascii="宋体" w:hAnsi="宋体" w:eastAsia="宋体" w:cs="宋体"/>
          <w:strike/>
          <w:snapToGrid w:val="0"/>
          <w:color w:val="auto"/>
          <w:position w:val="1"/>
          <w:sz w:val="24"/>
          <w:szCs w:val="24"/>
          <w:highlight w:val="none"/>
        </w:rPr>
        <w:t>投标报价汇总表</w:t>
      </w:r>
      <w:r>
        <w:rPr>
          <w:rFonts w:hint="eastAsia" w:ascii="宋体" w:hAnsi="宋体" w:eastAsia="宋体" w:cs="宋体"/>
          <w:strike/>
          <w:snapToGrid w:val="0"/>
          <w:color w:val="auto"/>
          <w:position w:val="1"/>
          <w:sz w:val="24"/>
          <w:szCs w:val="24"/>
          <w:highlight w:val="none"/>
          <w:lang w:eastAsia="zh-CN"/>
        </w:rPr>
        <w:t>；</w:t>
      </w:r>
    </w:p>
    <w:p w14:paraId="0F0088C7">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lang w:val="en-US" w:eastAsia="zh-CN"/>
        </w:rPr>
        <w:t>4）</w:t>
      </w:r>
      <w:r>
        <w:rPr>
          <w:rFonts w:hint="eastAsia" w:ascii="宋体" w:hAnsi="宋体" w:eastAsia="宋体" w:cs="宋体"/>
          <w:strike/>
          <w:color w:val="auto"/>
          <w:position w:val="1"/>
          <w:sz w:val="24"/>
          <w:szCs w:val="24"/>
          <w:highlight w:val="none"/>
        </w:rPr>
        <w:t>投标分项报价表；</w:t>
      </w:r>
    </w:p>
    <w:p w14:paraId="477ABCE7">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4</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商务条款偏离表</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lang w:val="en-US" w:eastAsia="zh-CN"/>
        </w:rPr>
        <w:t>格式自拟</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w:t>
      </w:r>
    </w:p>
    <w:p w14:paraId="1F2AEBF8">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5</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随机备品备件一览表；</w:t>
      </w:r>
    </w:p>
    <w:p w14:paraId="02D912D0">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6</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供招标人选购的备品备件一览表；</w:t>
      </w:r>
    </w:p>
    <w:p w14:paraId="4F7C0C67">
      <w:pPr>
        <w:kinsoku/>
        <w:topLinePunct/>
        <w:spacing w:line="360" w:lineRule="auto"/>
        <w:ind w:firstLine="480" w:firstLineChars="200"/>
        <w:jc w:val="both"/>
        <w:rPr>
          <w:rFonts w:hint="eastAsia" w:ascii="宋体" w:hAnsi="宋体" w:eastAsia="宋体" w:cs="宋体"/>
          <w:strike w:val="0"/>
          <w:color w:val="auto"/>
          <w:position w:val="1"/>
          <w:sz w:val="24"/>
          <w:szCs w:val="24"/>
          <w:highlight w:val="none"/>
        </w:rPr>
      </w:pPr>
      <w:r>
        <w:rPr>
          <w:rFonts w:hint="eastAsia" w:ascii="宋体" w:hAnsi="宋体" w:eastAsia="宋体" w:cs="宋体"/>
          <w:strike/>
          <w:color w:val="auto"/>
          <w:position w:val="1"/>
          <w:sz w:val="24"/>
          <w:szCs w:val="24"/>
          <w:highlight w:val="none"/>
        </w:rPr>
        <w:t>□</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7</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专用检测设备及专用维修工具一览表；</w:t>
      </w:r>
    </w:p>
    <w:p w14:paraId="0651B45C">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mc:AlternateContent>
          <mc:Choice Requires="wps">
            <w:drawing>
              <wp:anchor distT="0" distB="0" distL="114300" distR="11430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rap="square" upright="1"/>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Cmi4BbXAAAACAEAAA8AAAAAAAAAAQAgAAAAIgAAAGRycy9kb3ducmV2LnhtbFBLAQIU&#10;ABQAAAAIAIdO4kB/T9PIuwEAAGsDAAAOAAAAAAAAAAEAIAAAACYBAABkcnMvZTJvRG9jLnhtbFBL&#10;BQYAAAAABgAGAFkBAABTBQAAAAA=&#10;">
                <v:fill on="t" focussize="0,0"/>
                <v:stroke on="f"/>
                <v:imagedata o:title=""/>
                <o:lock v:ext="edit" aspectratio="f"/>
              </v:rect>
            </w:pict>
          </mc:Fallback>
        </mc:AlternateContent>
      </w:r>
      <w:r>
        <w:rPr>
          <w:rFonts w:hint="eastAsia" w:ascii="宋体" w:hAnsi="宋体" w:eastAsia="宋体" w:cs="宋体"/>
          <w:strike/>
          <w:color w:val="auto"/>
          <w:position w:val="1"/>
          <w:sz w:val="24"/>
          <w:szCs w:val="24"/>
          <w:highlight w:val="none"/>
        </w:rPr>
        <w:t>(招标人需要增加的其他商务内容</w:t>
      </w:r>
      <w:r>
        <w:rPr>
          <w:rFonts w:hint="eastAsia" w:ascii="宋体" w:hAnsi="宋体" w:eastAsia="宋体" w:cs="宋体"/>
          <w:strike/>
          <w:color w:val="auto"/>
          <w:position w:val="1"/>
          <w:sz w:val="24"/>
          <w:szCs w:val="24"/>
          <w:highlight w:val="none"/>
          <w:lang w:eastAsia="zh-CN"/>
        </w:rPr>
        <w:t>）</w:t>
      </w:r>
      <w:r>
        <w:rPr>
          <w:rFonts w:hint="eastAsia" w:ascii="宋体" w:hAnsi="宋体" w:eastAsia="宋体" w:cs="宋体"/>
          <w:strike/>
          <w:color w:val="auto"/>
          <w:position w:val="1"/>
          <w:sz w:val="24"/>
          <w:szCs w:val="24"/>
          <w:highlight w:val="none"/>
        </w:rPr>
        <w:t>。</w:t>
      </w:r>
    </w:p>
    <w:p w14:paraId="1CDBE141">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07643136">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1</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货物说明一览表；</w:t>
      </w:r>
    </w:p>
    <w:p w14:paraId="078E39CE">
      <w:pPr>
        <w:kinsoku/>
        <w:topLinePunct/>
        <w:spacing w:line="360" w:lineRule="auto"/>
        <w:ind w:firstLine="480" w:firstLineChars="200"/>
        <w:jc w:val="both"/>
        <w:rPr>
          <w:rFonts w:hint="eastAsia" w:ascii="宋体" w:hAnsi="宋体" w:eastAsia="宋体" w:cs="宋体"/>
          <w:strike w:val="0"/>
          <w:dstrike w:val="0"/>
          <w:color w:val="auto"/>
          <w:position w:val="1"/>
          <w:sz w:val="24"/>
          <w:szCs w:val="24"/>
          <w:highlight w:val="none"/>
        </w:rPr>
      </w:pP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rPr>
        <w:t>2</w:t>
      </w: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rPr>
        <w:t>技术响应表</w:t>
      </w:r>
      <w:r>
        <w:rPr>
          <w:rFonts w:hint="eastAsia" w:ascii="宋体" w:hAnsi="宋体" w:eastAsia="宋体" w:cs="宋体"/>
          <w:strike w:val="0"/>
          <w:color w:val="auto"/>
          <w:position w:val="1"/>
          <w:sz w:val="24"/>
          <w:szCs w:val="24"/>
          <w:highlight w:val="none"/>
          <w:lang w:eastAsia="zh-CN"/>
        </w:rPr>
        <w:t>（</w:t>
      </w:r>
      <w:r>
        <w:rPr>
          <w:rFonts w:hint="eastAsia" w:ascii="宋体" w:hAnsi="宋体" w:eastAsia="宋体" w:cs="宋体"/>
          <w:strike w:val="0"/>
          <w:color w:val="auto"/>
          <w:position w:val="1"/>
          <w:sz w:val="24"/>
          <w:szCs w:val="24"/>
          <w:highlight w:val="none"/>
          <w:lang w:val="en-US" w:eastAsia="zh-CN"/>
        </w:rPr>
        <w:t>格式自拟</w:t>
      </w:r>
      <w:r>
        <w:rPr>
          <w:rFonts w:hint="eastAsia" w:ascii="宋体" w:hAnsi="宋体" w:eastAsia="宋体" w:cs="宋体"/>
          <w: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rPr>
        <w:t>；</w:t>
      </w:r>
    </w:p>
    <w:p w14:paraId="2D38FB70">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3</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主要配置说明一览表；</w:t>
      </w:r>
    </w:p>
    <w:p w14:paraId="31493D02">
      <w:pPr>
        <w:kinsoku/>
        <w:topLinePunct/>
        <w:spacing w:line="360" w:lineRule="auto"/>
        <w:ind w:firstLine="480" w:firstLineChars="200"/>
        <w:jc w:val="both"/>
        <w:rPr>
          <w:rFonts w:hint="eastAsia" w:ascii="宋体" w:hAnsi="宋体" w:eastAsia="宋体" w:cs="宋体"/>
          <w:strike w:val="0"/>
          <w:dstrike w:val="0"/>
          <w:color w:val="auto"/>
          <w:position w:val="1"/>
          <w:sz w:val="24"/>
          <w:szCs w:val="24"/>
          <w:highlight w:val="none"/>
        </w:rPr>
      </w:pP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rPr>
        <w:t>4</w:t>
      </w: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rPr>
        <w:t>技术规格偏离表</w:t>
      </w:r>
      <w:r>
        <w:rPr>
          <w:rFonts w:hint="eastAsia" w:ascii="宋体" w:hAnsi="宋体" w:eastAsia="宋体" w:cs="宋体"/>
          <w:strike w:val="0"/>
          <w:color w:val="auto"/>
          <w:position w:val="1"/>
          <w:sz w:val="24"/>
          <w:szCs w:val="24"/>
          <w:highlight w:val="none"/>
          <w:lang w:eastAsia="zh-CN"/>
        </w:rPr>
        <w:t>（</w:t>
      </w:r>
      <w:r>
        <w:rPr>
          <w:rFonts w:hint="eastAsia" w:ascii="宋体" w:hAnsi="宋体" w:eastAsia="宋体" w:cs="宋体"/>
          <w:strike w:val="0"/>
          <w:color w:val="auto"/>
          <w:position w:val="1"/>
          <w:sz w:val="24"/>
          <w:szCs w:val="24"/>
          <w:highlight w:val="none"/>
          <w:lang w:val="en-US" w:eastAsia="zh-CN"/>
        </w:rPr>
        <w:t>格式自拟</w:t>
      </w:r>
      <w:r>
        <w:rPr>
          <w:rFonts w:hint="eastAsia" w:ascii="宋体" w:hAnsi="宋体" w:eastAsia="宋体" w:cs="宋体"/>
          <w: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rPr>
        <w:t>；</w:t>
      </w:r>
    </w:p>
    <w:p w14:paraId="26AD8618">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5</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投标方案图纸、产品详细技术规格书及所投产品的样本及本招标文件中规定的其它必须提供的文件及资料；</w:t>
      </w:r>
    </w:p>
    <w:p w14:paraId="53CFA509">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6</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产品的主要技术、结构、性能、特点和质量水平的详细描述；</w:t>
      </w:r>
    </w:p>
    <w:p w14:paraId="35445EC1">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7</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产品制造、安装、验收标准；</w:t>
      </w:r>
    </w:p>
    <w:p w14:paraId="25226251">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8</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主要工艺装备和主要检测设施的拥有情况和现状；</w:t>
      </w:r>
    </w:p>
    <w:p w14:paraId="76F258D8">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9</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质量手册或关于质量管理、质量体系、质量控制、质量保证的详细介绍；</w:t>
      </w:r>
    </w:p>
    <w:p w14:paraId="60F6E07B">
      <w:pPr>
        <w:kinsoku/>
        <w:topLinePunct/>
        <w:spacing w:line="360" w:lineRule="auto"/>
        <w:ind w:firstLine="480" w:firstLineChars="200"/>
        <w:jc w:val="both"/>
        <w:rPr>
          <w:rFonts w:hint="eastAsia" w:ascii="宋体" w:hAnsi="宋体" w:eastAsia="宋体" w:cs="宋体"/>
          <w:strike/>
          <w:dstrike w:val="0"/>
          <w:color w:val="auto"/>
          <w:position w:val="1"/>
          <w:sz w:val="24"/>
          <w:szCs w:val="24"/>
          <w:highlight w:val="none"/>
        </w:rPr>
      </w:pPr>
      <w:r>
        <w:rPr>
          <w:rFonts w:hint="eastAsia" w:ascii="宋体" w:hAnsi="宋体" w:eastAsia="宋体" w:cs="宋体"/>
          <w:strike/>
          <w:dstrike w:val="0"/>
          <w:color w:val="auto"/>
          <w:position w:val="1"/>
          <w:sz w:val="24"/>
          <w:szCs w:val="24"/>
          <w:highlight w:val="none"/>
        </w:rPr>
        <w:t>□</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10</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产品的技术服务和售后服务的内容和措施；</w:t>
      </w:r>
    </w:p>
    <w:p w14:paraId="0597B3FE">
      <w:pPr>
        <w:kinsoku/>
        <w:topLinePunct/>
        <w:spacing w:line="360" w:lineRule="auto"/>
        <w:ind w:firstLine="960" w:firstLineChars="400"/>
        <w:jc w:val="both"/>
        <w:rPr>
          <w:rFonts w:hint="default" w:ascii="宋体" w:hAnsi="宋体" w:eastAsia="宋体" w:cs="宋体"/>
          <w:strike w:val="0"/>
          <w:dstrike w:val="0"/>
          <w:color w:val="auto"/>
          <w:position w:val="1"/>
          <w:sz w:val="24"/>
          <w:szCs w:val="24"/>
          <w:highlight w:val="none"/>
          <w:lang w:val="en-US" w:eastAsia="zh-CN"/>
        </w:rPr>
      </w:pP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11</w:t>
      </w: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格式六  打分资料一览表；</w:t>
      </w:r>
    </w:p>
    <w:p w14:paraId="1231C907">
      <w:pPr>
        <w:kinsoku/>
        <w:topLinePunct/>
        <w:spacing w:line="360" w:lineRule="auto"/>
        <w:ind w:firstLine="960" w:firstLineChars="400"/>
        <w:jc w:val="both"/>
        <w:rPr>
          <w:rFonts w:hint="default" w:ascii="宋体" w:hAnsi="宋体" w:eastAsia="宋体" w:cs="宋体"/>
          <w:strike w:val="0"/>
          <w:dstrike w:val="0"/>
          <w:color w:val="auto"/>
          <w:position w:val="1"/>
          <w:sz w:val="24"/>
          <w:szCs w:val="24"/>
          <w:highlight w:val="none"/>
          <w:lang w:val="en-US" w:eastAsia="zh-CN"/>
        </w:rPr>
      </w:pP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12</w:t>
      </w: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格式七  技术方案；</w:t>
      </w:r>
    </w:p>
    <w:p w14:paraId="1D7C8F38">
      <w:pPr>
        <w:kinsoku/>
        <w:topLinePunct/>
        <w:spacing w:line="360" w:lineRule="auto"/>
        <w:ind w:firstLine="960" w:firstLineChars="400"/>
        <w:jc w:val="both"/>
        <w:rPr>
          <w:rFonts w:hint="default" w:ascii="宋体" w:hAnsi="宋体" w:eastAsia="宋体" w:cs="宋体"/>
          <w:strike w:val="0"/>
          <w:dstrike w:val="0"/>
          <w:color w:val="auto"/>
          <w:position w:val="1"/>
          <w:sz w:val="24"/>
          <w:szCs w:val="24"/>
          <w:highlight w:val="none"/>
          <w:lang w:val="en-US" w:eastAsia="zh-CN"/>
        </w:rPr>
      </w:pP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13</w:t>
      </w: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格式九  投入本项目的设备清单一览表；</w:t>
      </w:r>
    </w:p>
    <w:p w14:paraId="606CAF75">
      <w:pPr>
        <w:kinsoku/>
        <w:topLinePunct/>
        <w:spacing w:line="360" w:lineRule="auto"/>
        <w:ind w:firstLine="960" w:firstLineChars="400"/>
        <w:jc w:val="both"/>
        <w:rPr>
          <w:rFonts w:hint="default" w:ascii="宋体" w:hAnsi="宋体" w:eastAsia="宋体" w:cs="宋体"/>
          <w:strike w:val="0"/>
          <w:dstrike w:val="0"/>
          <w:color w:val="auto"/>
          <w:position w:val="1"/>
          <w:sz w:val="24"/>
          <w:szCs w:val="24"/>
          <w:highlight w:val="none"/>
          <w:lang w:val="en-US" w:eastAsia="zh-CN"/>
        </w:rPr>
      </w:pP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14</w:t>
      </w: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格式十  近年的类似业绩情况表；</w:t>
      </w:r>
    </w:p>
    <w:p w14:paraId="4B617D63">
      <w:pPr>
        <w:numPr>
          <w:ilvl w:val="0"/>
          <w:numId w:val="0"/>
        </w:numPr>
        <w:tabs>
          <w:tab w:val="left" w:pos="845"/>
        </w:tabs>
        <w:kinsoku/>
        <w:topLinePunct/>
        <w:spacing w:before="0" w:line="360" w:lineRule="auto"/>
        <w:ind w:left="0" w:firstLine="960" w:firstLineChars="400"/>
        <w:jc w:val="both"/>
        <w:rPr>
          <w:rFonts w:hint="eastAsia" w:ascii="宋体" w:hAnsi="宋体" w:eastAsia="宋体" w:cs="宋体"/>
          <w:color w:val="auto"/>
          <w:spacing w:val="-6"/>
          <w:sz w:val="24"/>
          <w:szCs w:val="24"/>
          <w:highlight w:val="none"/>
        </w:rPr>
      </w:pP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15</w:t>
      </w:r>
      <w:r>
        <w:rPr>
          <w:rFonts w:hint="eastAsia" w:ascii="宋体" w:hAnsi="宋体" w:eastAsia="宋体" w:cs="宋体"/>
          <w:strike w:val="0"/>
          <w:dstrike w:val="0"/>
          <w:color w:val="auto"/>
          <w:position w:val="1"/>
          <w:sz w:val="24"/>
          <w:szCs w:val="24"/>
          <w:highlight w:val="none"/>
          <w:lang w:eastAsia="zh-CN"/>
        </w:rPr>
        <w:t>）</w:t>
      </w:r>
      <w:r>
        <w:rPr>
          <w:rFonts w:hint="eastAsia" w:ascii="宋体" w:hAnsi="宋体" w:eastAsia="宋体" w:cs="宋体"/>
          <w:strike w:val="0"/>
          <w:dstrike w:val="0"/>
          <w:color w:val="auto"/>
          <w:position w:val="1"/>
          <w:sz w:val="24"/>
          <w:szCs w:val="24"/>
          <w:highlight w:val="none"/>
          <w:lang w:val="en-US" w:eastAsia="zh-CN"/>
        </w:rPr>
        <w:t>格式十一  主要设备品牌选用一览表；</w:t>
      </w:r>
    </w:p>
    <w:p w14:paraId="231CE437">
      <w:pPr>
        <w:numPr>
          <w:ilvl w:val="0"/>
          <w:numId w:val="0"/>
        </w:numPr>
        <w:kinsoku/>
        <w:topLinePunct/>
        <w:spacing w:line="360" w:lineRule="auto"/>
        <w:ind w:firstLine="912" w:firstLineChars="4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spacing w:val="-6"/>
          <w:sz w:val="24"/>
          <w:szCs w:val="24"/>
          <w:highlight w:val="none"/>
          <w:lang w:val="en-US" w:eastAsia="zh-CN"/>
        </w:rPr>
        <w:t>（16）满足第三章（二）</w:t>
      </w:r>
      <w:r>
        <w:rPr>
          <w:rFonts w:hint="eastAsia" w:ascii="宋体" w:hAnsi="宋体" w:eastAsia="宋体" w:cs="宋体"/>
          <w:color w:val="auto"/>
          <w:spacing w:val="-6"/>
          <w:sz w:val="24"/>
          <w:szCs w:val="24"/>
          <w:highlight w:val="none"/>
          <w:lang w:eastAsia="zh-CN"/>
        </w:rPr>
        <w:t>资信、业绩评审</w:t>
      </w:r>
      <w:r>
        <w:rPr>
          <w:rFonts w:hint="eastAsia" w:ascii="宋体" w:hAnsi="宋体" w:eastAsia="宋体" w:cs="宋体"/>
          <w:color w:val="auto"/>
          <w:spacing w:val="-6"/>
          <w:sz w:val="24"/>
          <w:szCs w:val="24"/>
          <w:highlight w:val="none"/>
          <w:lang w:val="en-US" w:eastAsia="zh-CN"/>
        </w:rPr>
        <w:t>中业绩评分的相关业绩证明材料</w:t>
      </w:r>
      <w:r>
        <w:rPr>
          <w:rFonts w:hint="eastAsia" w:ascii="宋体" w:hAnsi="宋体" w:eastAsia="宋体" w:cs="宋体"/>
          <w:color w:val="auto"/>
          <w:position w:val="1"/>
          <w:sz w:val="24"/>
          <w:szCs w:val="24"/>
          <w:highlight w:val="none"/>
        </w:rPr>
        <w:t>。</w:t>
      </w:r>
    </w:p>
    <w:p w14:paraId="49B8EA0E">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2F733B2A">
      <w:pPr>
        <w:numPr>
          <w:ilvl w:val="0"/>
          <w:numId w:val="0"/>
        </w:num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3E01F559">
      <w:pPr>
        <w:shd w:val="clear" w:color="auto" w:fill="FFFFFF"/>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22D9E759">
      <w:pPr>
        <w:shd w:val="clear" w:color="auto" w:fill="FFFFFF"/>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strike/>
          <w:dstrike w:val="0"/>
          <w:color w:val="auto"/>
          <w:position w:val="1"/>
          <w:sz w:val="24"/>
          <w:szCs w:val="24"/>
          <w:highlight w:val="none"/>
        </w:rPr>
        <w:t>（3）联合体协议书</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如以联合体形式投标的需提供</w:t>
      </w:r>
      <w:r>
        <w:rPr>
          <w:rFonts w:hint="eastAsia" w:ascii="宋体" w:hAnsi="宋体" w:eastAsia="宋体" w:cs="宋体"/>
          <w:strike/>
          <w:dstrike w:val="0"/>
          <w:color w:val="auto"/>
          <w:position w:val="1"/>
          <w:sz w:val="24"/>
          <w:szCs w:val="24"/>
          <w:highlight w:val="none"/>
          <w:lang w:eastAsia="zh-CN"/>
        </w:rPr>
        <w:t>）</w:t>
      </w:r>
      <w:r>
        <w:rPr>
          <w:rFonts w:hint="eastAsia" w:ascii="宋体" w:hAnsi="宋体" w:eastAsia="宋体" w:cs="宋体"/>
          <w:strike/>
          <w:dstrike w:val="0"/>
          <w:color w:val="auto"/>
          <w:position w:val="1"/>
          <w:sz w:val="24"/>
          <w:szCs w:val="24"/>
          <w:highlight w:val="none"/>
        </w:rPr>
        <w:t>；</w:t>
      </w:r>
    </w:p>
    <w:p w14:paraId="796AB369">
      <w:pPr>
        <w:shd w:val="clear" w:color="auto" w:fill="FFFFFF"/>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73BDCDA6">
      <w:pPr>
        <w:shd w:val="clear" w:color="auto" w:fill="FFFFFF"/>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（5）投标承诺书（承诺对资格审查资料所有提交的证明材料真实有效性负责，若发现其有伪造证书、业绩等行为的，同意招标人不接受其投标，其缴纳的投标保证金不予退还），格式自拟；</w:t>
      </w:r>
    </w:p>
    <w:p w14:paraId="40D9F241">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（6）投标保证金缴纳证明资料（投标保证金收款（支付）凭证或银行保函复制件或保险保单复制件或担保保函复制件、</w:t>
      </w:r>
      <w:r>
        <w:rPr>
          <w:rFonts w:hint="eastAsia" w:ascii="宋体" w:hAnsi="宋体" w:eastAsia="宋体" w:cs="宋体"/>
          <w:b/>
          <w:bCs/>
          <w:color w:val="auto"/>
          <w:position w:val="1"/>
          <w:sz w:val="24"/>
          <w:szCs w:val="24"/>
          <w:highlight w:val="none"/>
        </w:rPr>
        <w:t>基本账户证明材料</w:t>
      </w:r>
      <w:r>
        <w:rPr>
          <w:rFonts w:hint="eastAsia" w:ascii="宋体" w:hAnsi="宋体" w:eastAsia="宋体" w:cs="宋体"/>
          <w:color w:val="auto"/>
          <w:position w:val="1"/>
          <w:sz w:val="24"/>
          <w:szCs w:val="24"/>
          <w:highlight w:val="none"/>
        </w:rPr>
        <w:t>）；</w:t>
      </w:r>
    </w:p>
    <w:p w14:paraId="1AF42D87">
      <w:pPr>
        <w:spacing w:before="0" w:line="360" w:lineRule="auto"/>
        <w:ind w:left="0" w:firstLine="480" w:firstLineChars="200"/>
        <w:rPr>
          <w:rFonts w:hint="eastAsia" w:ascii="宋体" w:hAnsi="宋体" w:eastAsia="宋体" w:cs="宋体"/>
          <w:color w:val="auto"/>
          <w:position w:val="1"/>
          <w:sz w:val="24"/>
          <w:szCs w:val="24"/>
          <w:highlight w:val="none"/>
          <w:lang w:eastAsia="zh-CN"/>
        </w:rPr>
      </w:pPr>
      <w:r>
        <w:rPr>
          <w:rFonts w:hint="eastAsia" w:ascii="宋体" w:hAnsi="宋体" w:eastAsia="宋体" w:cs="宋体"/>
          <w:color w:val="auto"/>
          <w:position w:val="1"/>
          <w:sz w:val="24"/>
          <w:szCs w:val="24"/>
          <w:highlight w:val="none"/>
        </w:rPr>
        <w:t>（7）其他资料：提供</w:t>
      </w:r>
      <w:r>
        <w:rPr>
          <w:rFonts w:hint="eastAsia" w:ascii="宋体" w:hAnsi="宋体" w:eastAsia="宋体" w:cs="宋体"/>
          <w:b/>
          <w:bCs/>
          <w:color w:val="auto"/>
          <w:position w:val="1"/>
          <w:sz w:val="24"/>
          <w:szCs w:val="24"/>
          <w:highlight w:val="none"/>
          <w:lang w:val="zh-CN"/>
        </w:rPr>
        <w:t>企业</w:t>
      </w:r>
      <w:r>
        <w:rPr>
          <w:rFonts w:hint="eastAsia" w:ascii="宋体" w:hAnsi="宋体" w:eastAsia="宋体" w:cs="宋体"/>
          <w:b/>
          <w:bCs/>
          <w:color w:val="auto"/>
          <w:position w:val="1"/>
          <w:sz w:val="24"/>
          <w:szCs w:val="24"/>
          <w:highlight w:val="none"/>
          <w:lang w:val="en-US" w:eastAsia="zh-CN"/>
        </w:rPr>
        <w:t>及其项目负责人</w:t>
      </w:r>
      <w:r>
        <w:rPr>
          <w:rFonts w:hint="eastAsia" w:ascii="宋体" w:hAnsi="宋体" w:eastAsia="宋体" w:cs="宋体"/>
          <w:color w:val="auto"/>
          <w:position w:val="1"/>
          <w:sz w:val="24"/>
          <w:szCs w:val="24"/>
          <w:highlight w:val="none"/>
          <w:lang w:val="zh-CN"/>
        </w:rPr>
        <w:t>近</w:t>
      </w:r>
      <w:r>
        <w:rPr>
          <w:rFonts w:hint="eastAsia" w:ascii="宋体" w:hAnsi="宋体" w:eastAsia="宋体" w:cs="宋体"/>
          <w:color w:val="auto"/>
          <w:position w:val="1"/>
          <w:sz w:val="24"/>
          <w:szCs w:val="24"/>
          <w:highlight w:val="none"/>
          <w:lang w:val="en-US" w:eastAsia="zh-CN"/>
        </w:rPr>
        <w:t>3</w:t>
      </w:r>
      <w:r>
        <w:rPr>
          <w:rFonts w:hint="eastAsia" w:ascii="宋体" w:hAnsi="宋体" w:eastAsia="宋体" w:cs="宋体"/>
          <w:color w:val="auto"/>
          <w:position w:val="1"/>
          <w:sz w:val="24"/>
          <w:szCs w:val="24"/>
          <w:highlight w:val="none"/>
          <w:lang w:val="zh-CN"/>
        </w:rPr>
        <w:t>年无行贿犯罪记录</w:t>
      </w:r>
      <w:r>
        <w:rPr>
          <w:rFonts w:hint="eastAsia" w:ascii="宋体" w:hAnsi="宋体" w:eastAsia="宋体" w:cs="宋体"/>
          <w:color w:val="auto"/>
          <w:position w:val="1"/>
          <w:sz w:val="24"/>
          <w:szCs w:val="24"/>
          <w:highlight w:val="none"/>
        </w:rPr>
        <w:t>的</w:t>
      </w:r>
      <w:r>
        <w:rPr>
          <w:rFonts w:hint="eastAsia" w:ascii="宋体" w:hAnsi="宋体" w:eastAsia="宋体" w:cs="宋体"/>
          <w:color w:val="auto"/>
          <w:position w:val="1"/>
          <w:sz w:val="24"/>
          <w:szCs w:val="24"/>
          <w:highlight w:val="none"/>
          <w:lang w:val="zh-CN"/>
        </w:rPr>
        <w:t>承诺书，</w:t>
      </w:r>
      <w:r>
        <w:rPr>
          <w:rFonts w:hint="eastAsia" w:ascii="宋体" w:hAnsi="宋体" w:eastAsia="宋体" w:cs="宋体"/>
          <w:color w:val="auto"/>
          <w:position w:val="1"/>
          <w:sz w:val="24"/>
          <w:szCs w:val="24"/>
          <w:highlight w:val="none"/>
        </w:rPr>
        <w:t>格式自拟</w:t>
      </w:r>
      <w:r>
        <w:rPr>
          <w:rFonts w:hint="eastAsia" w:ascii="宋体" w:hAnsi="宋体" w:eastAsia="宋体" w:cs="宋体"/>
          <w:color w:val="auto"/>
          <w:position w:val="1"/>
          <w:sz w:val="24"/>
          <w:szCs w:val="24"/>
          <w:highlight w:val="none"/>
          <w:lang w:eastAsia="zh-CN"/>
        </w:rPr>
        <w:t>；</w:t>
      </w:r>
    </w:p>
    <w:p w14:paraId="60B33023">
      <w:pPr>
        <w:spacing w:before="0" w:line="360" w:lineRule="auto"/>
        <w:ind w:left="0" w:firstLine="476" w:firstLineChars="200"/>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8</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第一章第</w:t>
      </w:r>
      <w:r>
        <w:rPr>
          <w:rFonts w:hint="eastAsia" w:ascii="宋体" w:hAnsi="宋体" w:eastAsia="宋体" w:cs="宋体"/>
          <w:color w:val="auto"/>
          <w:spacing w:val="-1"/>
          <w:sz w:val="24"/>
          <w:szCs w:val="24"/>
          <w:highlight w:val="none"/>
          <w:lang w:eastAsia="zh-CN"/>
        </w:rPr>
        <w:t>5.</w:t>
      </w:r>
      <w:r>
        <w:rPr>
          <w:rFonts w:hint="eastAsia" w:ascii="宋体" w:hAnsi="宋体" w:eastAsia="宋体" w:cs="宋体"/>
          <w:color w:val="auto"/>
          <w:spacing w:val="-1"/>
          <w:sz w:val="24"/>
          <w:szCs w:val="24"/>
          <w:highlight w:val="none"/>
          <w:lang w:val="en-US" w:eastAsia="zh-CN"/>
        </w:rPr>
        <w:t>3条要求的资格业绩证明材料；</w:t>
      </w:r>
    </w:p>
    <w:p w14:paraId="4E6838EC">
      <w:pPr>
        <w:spacing w:before="0" w:line="360" w:lineRule="auto"/>
        <w:ind w:left="0" w:firstLine="476" w:firstLineChars="200"/>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（9）格式五  资料一览表；</w:t>
      </w:r>
    </w:p>
    <w:p w14:paraId="018E18C3">
      <w:pPr>
        <w:spacing w:before="0" w:line="360" w:lineRule="auto"/>
        <w:ind w:left="0" w:firstLine="476" w:firstLineChars="200"/>
        <w:rPr>
          <w:rFonts w:hint="default"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（10）格式十二  其他需要递交的资料；</w:t>
      </w:r>
    </w:p>
    <w:p w14:paraId="27FABCC9">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sym w:font="Wingdings 2" w:char="00A3"/>
      </w:r>
      <w:r>
        <w:rPr>
          <w:rFonts w:hint="eastAsia" w:ascii="宋体" w:hAnsi="宋体" w:eastAsia="宋体" w:cs="宋体"/>
          <w:strike/>
          <w:color w:val="auto"/>
          <w:position w:val="1"/>
          <w:sz w:val="24"/>
          <w:szCs w:val="24"/>
          <w:highlight w:val="none"/>
        </w:rPr>
        <w:t>（</w:t>
      </w:r>
      <w:r>
        <w:rPr>
          <w:rFonts w:hint="eastAsia" w:ascii="宋体" w:hAnsi="宋体" w:eastAsia="宋体" w:cs="宋体"/>
          <w:strike/>
          <w:color w:val="auto"/>
          <w:position w:val="1"/>
          <w:sz w:val="24"/>
          <w:szCs w:val="24"/>
          <w:highlight w:val="none"/>
          <w:lang w:val="en-US" w:eastAsia="zh-CN"/>
        </w:rPr>
        <w:t>11</w:t>
      </w:r>
      <w:r>
        <w:rPr>
          <w:rFonts w:hint="eastAsia" w:ascii="宋体" w:hAnsi="宋体" w:eastAsia="宋体" w:cs="宋体"/>
          <w:strike/>
          <w:color w:val="auto"/>
          <w:position w:val="1"/>
          <w:sz w:val="24"/>
          <w:szCs w:val="24"/>
          <w:highlight w:val="none"/>
        </w:rPr>
        <w:t>）中小企业声明函。</w:t>
      </w:r>
    </w:p>
    <w:p w14:paraId="3EE5AFB8">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投标报价</w:t>
      </w:r>
    </w:p>
    <w:p w14:paraId="3EEC43E7">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2A37412D">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782CE0E2">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498BC466">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5AB838C4">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投标有效期</w:t>
      </w:r>
    </w:p>
    <w:p w14:paraId="4F7802FE">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590FFEC9">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42C56AF1">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投标保证金</w:t>
      </w:r>
    </w:p>
    <w:p w14:paraId="45C24D8E">
      <w:pPr>
        <w:kinsoku/>
        <w:topLinePunct/>
        <w:spacing w:line="360"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5982516C">
      <w:pPr>
        <w:kinsoku/>
        <w:topLinePunct/>
        <w:spacing w:line="360"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w:t>
      </w:r>
      <w:r>
        <w:rPr>
          <w:rFonts w:hint="eastAsia" w:ascii="宋体" w:hAnsi="宋体" w:eastAsia="宋体" w:cs="宋体"/>
          <w:strike/>
          <w:dstrike w:val="0"/>
          <w:color w:val="auto"/>
          <w:position w:val="1"/>
          <w:sz w:val="24"/>
          <w:szCs w:val="24"/>
          <w:highlight w:val="none"/>
        </w:rPr>
        <w:t>；联合体投标的，投标保证金须从联合体牵头人基本账户中转出</w:t>
      </w:r>
      <w:r>
        <w:rPr>
          <w:rFonts w:hint="eastAsia" w:ascii="宋体" w:hAnsi="宋体" w:eastAsia="宋体" w:cs="宋体"/>
          <w:color w:val="auto"/>
          <w:position w:val="1"/>
          <w:sz w:val="24"/>
          <w:szCs w:val="24"/>
          <w:highlight w:val="none"/>
        </w:rPr>
        <w:t>。投标保证金以到达指定账户内的时间为准，由于资金没有按招标文件规定时限内及时到账或未及时办理投标保证金收款或支付凭证而造成的后果，由投标人自行负责。</w:t>
      </w:r>
    </w:p>
    <w:p w14:paraId="673F2FE4">
      <w:pPr>
        <w:kinsoku/>
        <w:topLinePunct/>
        <w:spacing w:line="360"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w:t>
      </w:r>
      <w:r>
        <w:rPr>
          <w:rFonts w:hint="eastAsia" w:ascii="宋体" w:hAnsi="宋体" w:eastAsia="宋体" w:cs="宋体"/>
          <w:strike/>
          <w:dstrike w:val="0"/>
          <w:color w:val="auto"/>
          <w:position w:val="1"/>
          <w:sz w:val="24"/>
          <w:szCs w:val="24"/>
          <w:highlight w:val="none"/>
        </w:rPr>
        <w:t>；联合体投标的，被担保人或投保人与联合体牵头人必须一致</w:t>
      </w:r>
      <w:r>
        <w:rPr>
          <w:rFonts w:hint="eastAsia" w:ascii="宋体" w:hAnsi="宋体" w:eastAsia="宋体" w:cs="宋体"/>
          <w:color w:val="auto"/>
          <w:position w:val="1"/>
          <w:sz w:val="24"/>
          <w:szCs w:val="24"/>
          <w:highlight w:val="none"/>
        </w:rPr>
        <w:t>。保险、保函、担保中所担保的范围、金额、责任条件及有效期或保单中被保险人、保险金额、保险期限必须符合招标文件要求，否则招标人或指定机构不予接受。</w:t>
      </w:r>
    </w:p>
    <w:p w14:paraId="477BF509">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6C5DF542">
      <w:pPr>
        <w:kinsoku/>
        <w:topLinePunct/>
        <w:spacing w:line="360"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6477C712">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765DB041">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未中标人的投标保证金将在本招标项目中标通知书发出后5日内予以退还。</w:t>
      </w:r>
    </w:p>
    <w:p w14:paraId="3DB1A194">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55D98F27">
      <w:pPr>
        <w:kinsoku/>
        <w:topLinePunct/>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3.4.4</w:t>
      </w:r>
      <w:r>
        <w:rPr>
          <w:rFonts w:hint="eastAsia" w:ascii="宋体" w:hAnsi="宋体" w:eastAsia="宋体" w:cs="宋体"/>
          <w:b w:val="0"/>
          <w:bCs w:val="0"/>
          <w:color w:val="auto"/>
          <w:sz w:val="24"/>
          <w:szCs w:val="24"/>
          <w:highlight w:val="none"/>
        </w:rPr>
        <w:t xml:space="preserve"> 投标人有下列情况之一时，将不予退还投标保证金：</w:t>
      </w:r>
    </w:p>
    <w:p w14:paraId="0CD50EBC">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经查实，投标人在投标过程中存在串通投标或弄虚作假的；</w:t>
      </w:r>
    </w:p>
    <w:p w14:paraId="4D8AD054">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在提交投标文件截止时间后到招标文件规定的投标有效期终止之前，投标人撤销其投标文件的；</w:t>
      </w:r>
    </w:p>
    <w:p w14:paraId="6AE76DFA">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中标人在收到中标通知书后，无正当理由不与招标人订立合同，在签订合同时向招标人提出附加条件，或者不按照招标文件要求提交履约保证金；</w:t>
      </w:r>
    </w:p>
    <w:p w14:paraId="4B53DDC9">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7C8993E2">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334A24B9">
      <w:pPr>
        <w:kinsoku/>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4E9C36E8">
      <w:pPr>
        <w:kinsoku/>
        <w:topLinePunct/>
        <w:spacing w:line="360" w:lineRule="auto"/>
        <w:ind w:firstLine="480" w:firstLineChars="200"/>
        <w:rPr>
          <w:rFonts w:hint="eastAsia" w:ascii="宋体" w:hAnsi="宋体" w:eastAsia="宋体" w:cs="宋体"/>
          <w:strike/>
          <w:color w:val="auto"/>
          <w:position w:val="1"/>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r>
        <w:rPr>
          <w:rFonts w:hint="eastAsia" w:ascii="宋体" w:hAnsi="宋体" w:eastAsia="宋体" w:cs="宋体"/>
          <w:b w:val="0"/>
          <w:bCs w:val="0"/>
          <w:strike w:val="0"/>
          <w:color w:val="auto"/>
          <w:sz w:val="24"/>
          <w:szCs w:val="24"/>
          <w:highlight w:val="none"/>
        </w:rPr>
        <w:t>免缴投标保证金的投标人如出现上述不予退还投标保证金的情形时，应在承诺时限内补缴全额投标保证金。</w:t>
      </w:r>
    </w:p>
    <w:p w14:paraId="38A7EA1D">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16E7B021">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3170C3FC">
      <w:pPr>
        <w:kinsoku/>
        <w:topLinePunct/>
        <w:spacing w:line="360" w:lineRule="auto"/>
        <w:ind w:firstLine="480" w:firstLineChars="200"/>
        <w:jc w:val="both"/>
        <w:rPr>
          <w:rFonts w:hint="eastAsia" w:ascii="宋体" w:hAnsi="宋体" w:eastAsia="宋体" w:cs="宋体"/>
          <w:strike w:val="0"/>
          <w:color w:val="auto"/>
          <w:position w:val="1"/>
          <w:sz w:val="24"/>
          <w:szCs w:val="24"/>
          <w:highlight w:val="none"/>
        </w:rPr>
      </w:pPr>
      <w:r>
        <w:rPr>
          <w:rFonts w:hint="eastAsia" w:ascii="宋体" w:hAnsi="宋体" w:eastAsia="宋体" w:cs="宋体"/>
          <w:strike w:val="0"/>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449F6C2A">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73328604">
      <w:pPr>
        <w:kinsoku/>
        <w:topLinePunct/>
        <w:spacing w:line="360" w:lineRule="auto"/>
        <w:ind w:firstLine="480" w:firstLineChars="200"/>
        <w:jc w:val="both"/>
        <w:rPr>
          <w:rFonts w:hint="eastAsia" w:ascii="宋体" w:hAnsi="宋体" w:eastAsia="宋体" w:cs="宋体"/>
          <w:strike w:val="0"/>
          <w:color w:val="auto"/>
          <w:position w:val="1"/>
          <w:sz w:val="24"/>
          <w:szCs w:val="24"/>
          <w:highlight w:val="none"/>
        </w:rPr>
      </w:pPr>
      <w:r>
        <w:rPr>
          <w:rFonts w:hint="eastAsia" w:ascii="宋体" w:hAnsi="宋体" w:eastAsia="宋体" w:cs="宋体"/>
          <w:strike w:val="0"/>
          <w:color w:val="auto"/>
          <w:position w:val="1"/>
          <w:sz w:val="24"/>
          <w:szCs w:val="24"/>
          <w:highlight w:val="none"/>
        </w:rPr>
        <w:t>3.5.4“正在进行的项目和新承接的项目情况表”应附中标通知书和合同协议书复制件。每张表格只填写一个项目，并标明序号。格式自拟。</w:t>
      </w:r>
    </w:p>
    <w:p w14:paraId="6BC382F3">
      <w:pPr>
        <w:kinsoku/>
        <w:topLinePunct/>
        <w:spacing w:line="360" w:lineRule="auto"/>
        <w:ind w:firstLine="480" w:firstLineChars="200"/>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43264B42">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1DB3EE68">
      <w:pPr>
        <w:pStyle w:val="6"/>
        <w:spacing w:before="138" w:line="360" w:lineRule="auto"/>
        <w:ind w:left="11" w:right="2" w:firstLine="469"/>
        <w:rPr>
          <w:rFonts w:hint="eastAsia" w:ascii="宋体" w:hAnsi="宋体" w:eastAsia="宋体" w:cs="宋体"/>
          <w:color w:val="auto"/>
          <w:spacing w:val="-2"/>
          <w:sz w:val="24"/>
          <w:szCs w:val="24"/>
          <w:highlight w:val="none"/>
        </w:rPr>
      </w:pPr>
      <w:r>
        <w:rPr>
          <w:rFonts w:hint="eastAsia" w:ascii="宋体" w:hAnsi="宋体" w:eastAsia="宋体" w:cs="宋体"/>
          <w:color w:val="auto"/>
          <w:position w:val="1"/>
          <w:sz w:val="24"/>
          <w:szCs w:val="24"/>
          <w:highlight w:val="none"/>
        </w:rPr>
        <w:t>3.5.7企业（和项目负责人）自</w:t>
      </w:r>
      <w:r>
        <w:rPr>
          <w:rFonts w:hint="eastAsia" w:ascii="宋体" w:hAnsi="宋体" w:eastAsia="宋体" w:cs="宋体"/>
          <w:color w:val="auto"/>
          <w:position w:val="1"/>
          <w:sz w:val="24"/>
          <w:szCs w:val="24"/>
          <w:highlight w:val="none"/>
          <w:lang w:val="en-US" w:eastAsia="zh-CN"/>
        </w:rPr>
        <w:t>2023</w:t>
      </w:r>
      <w:r>
        <w:rPr>
          <w:rFonts w:hint="eastAsia" w:ascii="宋体" w:hAnsi="宋体" w:eastAsia="宋体" w:cs="宋体"/>
          <w:color w:val="auto"/>
          <w:position w:val="1"/>
          <w:sz w:val="24"/>
          <w:szCs w:val="24"/>
          <w:highlight w:val="none"/>
        </w:rPr>
        <w:t>年</w:t>
      </w:r>
      <w:r>
        <w:rPr>
          <w:rFonts w:hint="eastAsia" w:ascii="宋体" w:hAnsi="宋体" w:eastAsia="宋体" w:cs="宋体"/>
          <w:color w:val="auto"/>
          <w:position w:val="1"/>
          <w:sz w:val="24"/>
          <w:szCs w:val="24"/>
          <w:highlight w:val="none"/>
          <w:lang w:val="en-US" w:eastAsia="zh-CN"/>
        </w:rPr>
        <w:t>1</w:t>
      </w:r>
      <w:r>
        <w:rPr>
          <w:rFonts w:hint="eastAsia" w:ascii="宋体" w:hAnsi="宋体" w:eastAsia="宋体" w:cs="宋体"/>
          <w:color w:val="auto"/>
          <w:position w:val="1"/>
          <w:sz w:val="24"/>
          <w:szCs w:val="24"/>
          <w:highlight w:val="none"/>
        </w:rPr>
        <w:t>月</w:t>
      </w:r>
      <w:r>
        <w:rPr>
          <w:rFonts w:hint="eastAsia" w:ascii="宋体" w:hAnsi="宋体" w:eastAsia="宋体" w:cs="宋体"/>
          <w:color w:val="auto"/>
          <w:position w:val="1"/>
          <w:sz w:val="24"/>
          <w:szCs w:val="24"/>
          <w:highlight w:val="none"/>
          <w:lang w:val="en-US" w:eastAsia="zh-CN"/>
        </w:rPr>
        <w:t>1</w:t>
      </w:r>
      <w:r>
        <w:rPr>
          <w:rFonts w:hint="eastAsia" w:ascii="宋体" w:hAnsi="宋体" w:eastAsia="宋体" w:cs="宋体"/>
          <w:color w:val="auto"/>
          <w:position w:val="1"/>
          <w:sz w:val="24"/>
          <w:szCs w:val="24"/>
          <w:highlight w:val="none"/>
        </w:rPr>
        <w:t>日起至投标截止日无行贿犯罪记录</w:t>
      </w:r>
      <w:r>
        <w:rPr>
          <w:rFonts w:hint="eastAsia" w:ascii="宋体" w:hAnsi="宋体" w:eastAsia="宋体" w:cs="宋体"/>
          <w:color w:val="auto"/>
          <w:spacing w:val="-2"/>
          <w:sz w:val="24"/>
          <w:szCs w:val="24"/>
          <w:highlight w:val="none"/>
        </w:rPr>
        <w:t>（</w:t>
      </w:r>
      <w:r>
        <w:rPr>
          <w:rFonts w:hint="eastAsia" w:ascii="宋体" w:hAnsi="宋体" w:eastAsia="宋体" w:cs="宋体"/>
          <w:b/>
          <w:bCs/>
          <w:color w:val="auto"/>
          <w:spacing w:val="-2"/>
          <w:sz w:val="24"/>
          <w:szCs w:val="24"/>
          <w:highlight w:val="none"/>
        </w:rPr>
        <w:t>投标人自行在中国裁判文书网查询打印盖章并提供承诺书</w:t>
      </w:r>
      <w:r>
        <w:rPr>
          <w:rFonts w:hint="eastAsia" w:ascii="宋体" w:hAnsi="宋体" w:eastAsia="宋体" w:cs="宋体"/>
          <w:color w:val="auto"/>
          <w:spacing w:val="-2"/>
          <w:sz w:val="24"/>
          <w:szCs w:val="24"/>
          <w:highlight w:val="none"/>
        </w:rPr>
        <w:t>）。</w:t>
      </w:r>
    </w:p>
    <w:p w14:paraId="1D2074AD">
      <w:pPr>
        <w:pStyle w:val="6"/>
        <w:spacing w:before="138" w:line="360" w:lineRule="auto"/>
        <w:ind w:left="11" w:right="2" w:firstLine="469"/>
        <w:rPr>
          <w:rFonts w:hint="eastAsia" w:ascii="宋体" w:hAnsi="宋体" w:eastAsia="宋体" w:cs="宋体"/>
          <w:color w:val="auto"/>
          <w:sz w:val="24"/>
          <w:szCs w:val="24"/>
          <w:highlight w:val="none"/>
        </w:rPr>
      </w:pPr>
      <w:r>
        <w:rPr>
          <w:rFonts w:hint="eastAsia" w:ascii="宋体" w:hAnsi="宋体" w:eastAsia="宋体" w:cs="宋体"/>
          <w:color w:val="auto"/>
          <w:spacing w:val="5"/>
          <w:sz w:val="24"/>
          <w:szCs w:val="24"/>
          <w:highlight w:val="none"/>
          <w:lang w:val="en-US" w:eastAsia="zh-CN"/>
        </w:rPr>
        <w:t>3.5.8</w:t>
      </w:r>
      <w:r>
        <w:rPr>
          <w:rFonts w:hint="eastAsia" w:ascii="宋体" w:hAnsi="宋体" w:eastAsia="宋体" w:cs="宋体"/>
          <w:color w:val="auto"/>
          <w:spacing w:val="5"/>
          <w:sz w:val="24"/>
          <w:szCs w:val="24"/>
          <w:highlight w:val="none"/>
        </w:rPr>
        <w:t>投标人及其拟派项目负责人未被列入建筑市场严重失信名单（以全国建筑</w:t>
      </w:r>
      <w:r>
        <w:rPr>
          <w:rFonts w:hint="eastAsia" w:ascii="宋体" w:hAnsi="宋体" w:eastAsia="宋体" w:cs="宋体"/>
          <w:color w:val="auto"/>
          <w:spacing w:val="4"/>
          <w:sz w:val="24"/>
          <w:szCs w:val="24"/>
          <w:highlight w:val="none"/>
        </w:rPr>
        <w:t>市场</w:t>
      </w:r>
      <w:r>
        <w:rPr>
          <w:rFonts w:hint="eastAsia" w:ascii="宋体" w:hAnsi="宋体" w:eastAsia="宋体" w:cs="宋体"/>
          <w:color w:val="auto"/>
          <w:spacing w:val="5"/>
          <w:sz w:val="24"/>
          <w:szCs w:val="24"/>
          <w:highlight w:val="none"/>
        </w:rPr>
        <w:t>监管公共服务平台黑名单记录、失信联合惩戒记录和浙江省建筑市场监管</w:t>
      </w:r>
      <w:r>
        <w:rPr>
          <w:rFonts w:hint="eastAsia" w:ascii="宋体" w:hAnsi="宋体" w:eastAsia="宋体" w:cs="宋体"/>
          <w:color w:val="auto"/>
          <w:spacing w:val="4"/>
          <w:sz w:val="24"/>
          <w:szCs w:val="24"/>
          <w:highlight w:val="none"/>
        </w:rPr>
        <w:t>公共服务系</w:t>
      </w:r>
      <w:r>
        <w:rPr>
          <w:rFonts w:hint="eastAsia" w:ascii="宋体" w:hAnsi="宋体" w:eastAsia="宋体" w:cs="宋体"/>
          <w:color w:val="auto"/>
          <w:spacing w:val="-1"/>
          <w:sz w:val="24"/>
          <w:szCs w:val="24"/>
          <w:highlight w:val="none"/>
        </w:rPr>
        <w:t>统严重失信名单的信息为准，</w:t>
      </w:r>
      <w:r>
        <w:rPr>
          <w:rFonts w:hint="eastAsia" w:ascii="宋体" w:hAnsi="宋体" w:eastAsia="宋体" w:cs="宋体"/>
          <w:b/>
          <w:bCs/>
          <w:color w:val="auto"/>
          <w:spacing w:val="-1"/>
          <w:sz w:val="24"/>
          <w:szCs w:val="24"/>
          <w:highlight w:val="none"/>
        </w:rPr>
        <w:t>投标人自行在平台、系统查询打印盖章并提供承诺书</w:t>
      </w:r>
      <w:r>
        <w:rPr>
          <w:rFonts w:hint="eastAsia" w:ascii="宋体" w:hAnsi="宋体" w:eastAsia="宋体" w:cs="宋体"/>
          <w:color w:val="auto"/>
          <w:sz w:val="24"/>
          <w:szCs w:val="24"/>
          <w:highlight w:val="none"/>
        </w:rPr>
        <w:t>）</w:t>
      </w:r>
    </w:p>
    <w:p w14:paraId="0CE7CA7C">
      <w:pPr>
        <w:pStyle w:val="6"/>
        <w:spacing w:before="138" w:line="360" w:lineRule="auto"/>
        <w:ind w:left="11" w:right="2" w:firstLine="46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3.5.9满足第一章招标公告要求的投标人资格业绩证明材料。</w:t>
      </w:r>
      <w:r>
        <w:rPr>
          <w:rFonts w:hint="eastAsia" w:ascii="宋体" w:hAnsi="宋体" w:eastAsia="宋体" w:cs="宋体"/>
          <w:color w:val="auto"/>
          <w:sz w:val="24"/>
          <w:szCs w:val="24"/>
          <w:highlight w:val="none"/>
        </w:rPr>
        <w:t>证明材料投标人所提供</w:t>
      </w:r>
      <w:r>
        <w:rPr>
          <w:rFonts w:hint="eastAsia" w:ascii="宋体" w:hAnsi="宋体" w:eastAsia="宋体" w:cs="宋体"/>
          <w:b/>
          <w:bCs/>
          <w:color w:val="auto"/>
          <w:sz w:val="24"/>
          <w:szCs w:val="24"/>
          <w:highlight w:val="none"/>
        </w:rPr>
        <w:t>自202</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月1日以来完成过</w:t>
      </w:r>
      <w:r>
        <w:rPr>
          <w:rFonts w:hint="eastAsia" w:ascii="宋体" w:hAnsi="宋体" w:eastAsia="宋体" w:cs="宋体"/>
          <w:b/>
          <w:bCs/>
          <w:color w:val="auto"/>
          <w:sz w:val="24"/>
          <w:szCs w:val="24"/>
          <w:highlight w:val="none"/>
          <w:lang w:val="en-US" w:eastAsia="zh-CN"/>
        </w:rPr>
        <w:t>中国境内</w:t>
      </w:r>
      <w:r>
        <w:rPr>
          <w:rFonts w:hint="eastAsia" w:ascii="宋体" w:hAnsi="宋体" w:eastAsia="宋体" w:cs="宋体"/>
          <w:color w:val="auto"/>
          <w:sz w:val="24"/>
          <w:szCs w:val="24"/>
          <w:highlight w:val="none"/>
        </w:rPr>
        <w:t>的供货业绩证明材料须同时提供以下①和②：①合同协议书及已标价工程量清单；②阀门</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验收报告或工程完工（或竣工）验收报告</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及供货发票。若①和②材料中有不一致时，以②为准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供货业绩时间以阀门安装验收报告或工程完工（或竣工）验收报告为准，其中任何一项报告时间满足要求即可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阀门直径和类型仅以证明材料①和②作为有效证明材料，其它证明材料不予认可。若合同中无法体现为水利水电工程或市政公用工程的，水利水电工程须提供初步设计（或可研）批复或行政许可文件，市政公用工程须提供初步设计（或可研）批复文件或行政主管部门有效证明材料，其它证明材料不予认可。如提供的合同同时包含阀门以外的其他内容的，且在合同中无法体现阀门部分金额时，须提供业主出具并加盖业主公章的证明材料，同时在已标价工程量清单中标记出阀门部分清单。以上业绩证明材料均应提供证明材料的复制件并加盖投标人公章</w:t>
      </w:r>
      <w:r>
        <w:rPr>
          <w:rFonts w:hint="eastAsia" w:ascii="宋体" w:hAnsi="宋体" w:eastAsia="宋体" w:cs="宋体"/>
          <w:color w:val="auto"/>
          <w:sz w:val="24"/>
          <w:szCs w:val="24"/>
          <w:highlight w:val="none"/>
          <w:lang w:eastAsia="zh-CN"/>
        </w:rPr>
        <w:t>。</w:t>
      </w:r>
    </w:p>
    <w:p w14:paraId="0E3549F8">
      <w:pPr>
        <w:kinsoku/>
        <w:topLinePunct/>
        <w:spacing w:line="360" w:lineRule="auto"/>
        <w:ind w:firstLine="482" w:firstLineChars="200"/>
        <w:jc w:val="both"/>
        <w:rPr>
          <w:rFonts w:hint="eastAsia" w:ascii="宋体" w:hAnsi="宋体" w:eastAsia="宋体" w:cs="宋体"/>
          <w:b/>
          <w:bCs/>
          <w:color w:val="auto"/>
          <w:position w:val="1"/>
          <w:sz w:val="24"/>
          <w:szCs w:val="24"/>
          <w:highlight w:val="none"/>
        </w:rPr>
      </w:pPr>
      <w:r>
        <w:rPr>
          <w:rFonts w:hint="eastAsia" w:ascii="宋体" w:hAnsi="宋体" w:eastAsia="宋体" w:cs="宋体"/>
          <w:b/>
          <w:bCs/>
          <w:color w:val="auto"/>
          <w:sz w:val="24"/>
          <w:szCs w:val="24"/>
          <w:highlight w:val="none"/>
          <w:lang w:val="en-US" w:eastAsia="zh-CN"/>
        </w:rPr>
        <w:t>特别说明：1.资格审查资料仅需提供1个满足资格审查业绩要求的业绩证明材料即可；2.若投标人在资格审查资料中提供多个业绩的，资格审查中提供的所有业绩在技术标业绩评分评审时不予计分</w:t>
      </w:r>
      <w:r>
        <w:rPr>
          <w:rFonts w:hint="eastAsia" w:ascii="宋体" w:hAnsi="宋体" w:eastAsia="宋体" w:cs="宋体"/>
          <w:b/>
          <w:bCs/>
          <w:color w:val="auto"/>
          <w:position w:val="1"/>
          <w:sz w:val="24"/>
          <w:szCs w:val="24"/>
          <w:highlight w:val="none"/>
        </w:rPr>
        <w:t>。</w:t>
      </w:r>
    </w:p>
    <w:p w14:paraId="15F750DA">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w:t>
      </w:r>
      <w:r>
        <w:rPr>
          <w:rFonts w:hint="eastAsia" w:ascii="宋体" w:hAnsi="宋体" w:eastAsia="宋体" w:cs="宋体"/>
          <w:color w:val="auto"/>
          <w:position w:val="1"/>
          <w:sz w:val="24"/>
          <w:szCs w:val="24"/>
          <w:highlight w:val="none"/>
          <w:lang w:val="en-US" w:eastAsia="zh-CN"/>
        </w:rPr>
        <w:t>10</w:t>
      </w:r>
      <w:r>
        <w:rPr>
          <w:rFonts w:hint="eastAsia" w:ascii="宋体" w:hAnsi="宋体" w:eastAsia="宋体" w:cs="宋体"/>
          <w:color w:val="auto"/>
          <w:position w:val="1"/>
          <w:sz w:val="24"/>
          <w:szCs w:val="24"/>
          <w:highlight w:val="none"/>
        </w:rPr>
        <w:t>实质性响应招标文件及评审打分资料详见投标人须知前附表。</w:t>
      </w:r>
    </w:p>
    <w:p w14:paraId="45CDABEC">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163763FE">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64BA5682">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75B75CC6">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w:t>
      </w:r>
      <w:r>
        <w:rPr>
          <w:rFonts w:hint="eastAsia" w:ascii="宋体" w:hAnsi="宋体" w:eastAsia="宋体" w:cs="宋体"/>
          <w:color w:val="auto"/>
          <w:position w:val="1"/>
          <w:sz w:val="24"/>
          <w:szCs w:val="24"/>
          <w:highlight w:val="none"/>
          <w:lang w:val="en-US"/>
        </w:rPr>
        <w:t>七</w:t>
      </w:r>
      <w:r>
        <w:rPr>
          <w:rFonts w:hint="eastAsia" w:ascii="宋体" w:hAnsi="宋体" w:eastAsia="宋体" w:cs="宋体"/>
          <w:color w:val="auto"/>
          <w:position w:val="1"/>
          <w:sz w:val="24"/>
          <w:szCs w:val="24"/>
          <w:highlight w:val="none"/>
        </w:rPr>
        <w:t>章“投标文件格式”进行编写，如有必要，可以增加附页，作为投标文件的组成部分。其中，投标函在满足招标文件实质性要求的基础上，可以提出比招标文件要求更有利于招标人的承诺。</w:t>
      </w:r>
    </w:p>
    <w:p w14:paraId="25271AD8">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063FF6A1">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530EF658">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6AFFCE75">
      <w:pPr>
        <w:kinsoku/>
        <w:topLinePunct/>
        <w:spacing w:line="360" w:lineRule="auto"/>
        <w:ind w:firstLine="495"/>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3.7.5电子投标的要求</w:t>
      </w:r>
    </w:p>
    <w:p w14:paraId="371D5BC8">
      <w:pPr>
        <w:kinsoku/>
        <w:topLinePunct/>
        <w:spacing w:line="360" w:lineRule="auto"/>
        <w:ind w:firstLine="495"/>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（1）电子投标文件签字或盖章的具体要求见投标人须知前附表。</w:t>
      </w:r>
    </w:p>
    <w:p w14:paraId="3D47DD5F">
      <w:pPr>
        <w:kinsoku/>
        <w:topLinePunct/>
        <w:spacing w:line="360" w:lineRule="auto"/>
        <w:ind w:firstLine="495"/>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（2）电子投标文件制作或加密要求见投标人须知前附表。</w:t>
      </w:r>
    </w:p>
    <w:p w14:paraId="756796EA">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strike/>
          <w:color w:val="auto"/>
          <w:position w:val="1"/>
          <w:sz w:val="24"/>
          <w:szCs w:val="24"/>
          <w:highlight w:val="none"/>
        </w:rPr>
        <w:t>（3）电子投标文件所附证书证件及业绩证明文件要求见投标人须知前附表规定。</w:t>
      </w:r>
    </w:p>
    <w:p w14:paraId="62AFA731">
      <w:pPr>
        <w:kinsoku/>
        <w:topLinePunct/>
        <w:spacing w:line="36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01794D8E">
      <w:pPr>
        <w:kinsoku/>
        <w:topLinePunct/>
        <w:spacing w:line="360" w:lineRule="auto"/>
        <w:jc w:val="both"/>
        <w:outlineLvl w:val="3"/>
        <w:rPr>
          <w:rFonts w:hint="eastAsia" w:ascii="宋体" w:hAnsi="宋体" w:eastAsia="宋体" w:cs="宋体"/>
          <w:strike/>
          <w:color w:val="auto"/>
          <w:sz w:val="24"/>
          <w:szCs w:val="24"/>
          <w:highlight w:val="none"/>
        </w:rPr>
      </w:pPr>
      <w:r>
        <w:rPr>
          <w:rFonts w:hint="eastAsia" w:ascii="宋体" w:hAnsi="宋体" w:eastAsia="宋体" w:cs="宋体"/>
          <w:b/>
          <w:bCs/>
          <w:strike/>
          <w:color w:val="auto"/>
          <w:sz w:val="24"/>
          <w:szCs w:val="24"/>
          <w:highlight w:val="none"/>
        </w:rPr>
        <w:t>4.1</w:t>
      </w:r>
      <w:r>
        <w:rPr>
          <w:rFonts w:hint="eastAsia" w:ascii="宋体" w:hAnsi="宋体" w:eastAsia="宋体" w:cs="宋体"/>
          <w:strike/>
          <w:color w:val="auto"/>
          <w:sz w:val="24"/>
          <w:szCs w:val="24"/>
          <w:highlight w:val="none"/>
        </w:rPr>
        <w:t>光盘、样品等材料的包装和标记</w:t>
      </w:r>
    </w:p>
    <w:p w14:paraId="41C6C918">
      <w:pPr>
        <w:kinsoku/>
        <w:topLinePunct/>
        <w:spacing w:line="360" w:lineRule="auto"/>
        <w:ind w:firstLine="495"/>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光盘、样品等材料的外包装和要求见投标人须知前附表。</w:t>
      </w:r>
    </w:p>
    <w:p w14:paraId="097F19CC">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47E46774">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789CBEF5">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6333B814">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1F849798">
      <w:pPr>
        <w:kinsoku/>
        <w:topLinePunct/>
        <w:spacing w:line="360" w:lineRule="auto"/>
        <w:ind w:firstLine="495"/>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4.2.4电子投标文件递交要求：见投标须知前附表。</w:t>
      </w:r>
    </w:p>
    <w:p w14:paraId="0843885A">
      <w:pPr>
        <w:kinsoku/>
        <w:topLinePunct/>
        <w:spacing w:line="360" w:lineRule="auto"/>
        <w:ind w:firstLine="495"/>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4.2.5电子投标文件的拒收情形：见投标须知前附表。</w:t>
      </w:r>
    </w:p>
    <w:p w14:paraId="354708A9">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2AD31075">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0AD609C6">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6099D0FA">
      <w:pPr>
        <w:kinsoku/>
        <w:topLinePunct/>
        <w:spacing w:line="360" w:lineRule="auto"/>
        <w:ind w:firstLine="495"/>
        <w:jc w:val="both"/>
        <w:rPr>
          <w:rFonts w:hint="eastAsia" w:ascii="宋体" w:hAnsi="宋体" w:eastAsia="宋体" w:cs="宋体"/>
          <w:strike/>
          <w:color w:val="auto"/>
          <w:position w:val="1"/>
          <w:sz w:val="24"/>
          <w:szCs w:val="24"/>
          <w:highlight w:val="none"/>
        </w:rPr>
      </w:pPr>
      <w:r>
        <w:rPr>
          <w:rFonts w:hint="eastAsia" w:ascii="宋体" w:hAnsi="宋体" w:eastAsia="宋体" w:cs="宋体"/>
          <w:strike/>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61CEA7DF">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63DBEEAB">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60082298">
      <w:pPr>
        <w:kinsoku/>
        <w:topLinePunct/>
        <w:spacing w:line="36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511A3FD3">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07308E0C">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开标时间</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和投标人须知前附表规定的地点公开开标，参加开标会议的要求见投标人须知前附表。</w:t>
      </w:r>
    </w:p>
    <w:p w14:paraId="6E1CF3B4">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22187F2D">
      <w:pPr>
        <w:kinsoku/>
        <w:topLinePunct/>
        <w:spacing w:line="360"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4F6DFEBB">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（一）宣布开标</w:t>
      </w:r>
    </w:p>
    <w:p w14:paraId="41706880">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至投标截止时间，招标人（或其招标代理机构）宣布开始开标，宣读开标项目名</w:t>
      </w:r>
    </w:p>
    <w:p w14:paraId="26C19E12">
      <w:pPr>
        <w:kinsoku/>
        <w:topLinePunct/>
        <w:spacing w:line="360" w:lineRule="auto"/>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称、招标人代表、监标人等有关人员姓名。</w:t>
      </w:r>
    </w:p>
    <w:p w14:paraId="663BC928">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（二）公布投标人数量</w:t>
      </w:r>
    </w:p>
    <w:p w14:paraId="6CEDC6F9">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招标人公布投标人数量及保证金缴纳情况。若递交投标文件的单位数量少于3家，</w:t>
      </w:r>
    </w:p>
    <w:p w14:paraId="63522EC1">
      <w:pPr>
        <w:kinsoku/>
        <w:topLinePunct/>
        <w:spacing w:line="360" w:lineRule="auto"/>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招标人公布已递交投标文件单位名称，宣布本次招标失败。</w:t>
      </w:r>
    </w:p>
    <w:p w14:paraId="1D67C3E1">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（三）投标人解密（投标文件解密在60分钟内完成，具体以电子招投标交易平台系统时间为准）递交投标文件的投标人数量大于等于3家，进入投标人解密环节。</w:t>
      </w:r>
    </w:p>
    <w:p w14:paraId="31A68697">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 标 人 解 密 方 式 ： 投 标 人 登 录 不 见 面 开 标 大 厅 ：</w:t>
      </w:r>
    </w:p>
    <w:p w14:paraId="2A11E8D3">
      <w:pPr>
        <w:kinsoku/>
        <w:topLinePunct/>
        <w:spacing w:line="360" w:lineRule="auto"/>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http://220.187.225.202:18088/BidOpening/bidopeninghallaction/hall/login( 按各交易平台开标大厅)。待招标人点击解密指令后，投标人使用生成投标文件的CA数字证书在线解密，解密失败的，不再导入非加密电子投标文件。</w:t>
      </w:r>
    </w:p>
    <w:p w14:paraId="45C909F8">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若成功解密的投标人少于3家，招标人宣布本次招标失败。</w:t>
      </w:r>
    </w:p>
    <w:p w14:paraId="0720701D">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（四）参数录入。</w:t>
      </w:r>
    </w:p>
    <w:p w14:paraId="324A9BA9">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录入最高投标限价。</w:t>
      </w:r>
    </w:p>
    <w:p w14:paraId="2DE615C9">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（五）公布开标结果</w:t>
      </w:r>
    </w:p>
    <w:p w14:paraId="14AF1E6C">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投标人解密完成后，开标系统公布投标报价、工期、质量目标等内容。</w:t>
      </w:r>
    </w:p>
    <w:p w14:paraId="500DA150">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（六）开标结束</w:t>
      </w:r>
    </w:p>
    <w:p w14:paraId="4980B7B8">
      <w:pPr>
        <w:kinsoku/>
        <w:topLinePunct/>
        <w:spacing w:line="360" w:lineRule="auto"/>
        <w:ind w:firstLine="480" w:firstLineChars="200"/>
        <w:jc w:val="both"/>
        <w:outlineLvl w:val="3"/>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招标人宣布本次开标结束。</w:t>
      </w:r>
    </w:p>
    <w:p w14:paraId="1FF20F1D">
      <w:pPr>
        <w:kinsoku/>
        <w:topLinePunct/>
        <w:spacing w:line="360" w:lineRule="auto"/>
        <w:jc w:val="both"/>
        <w:outlineLvl w:val="3"/>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5.3不见面开标软硬件要求</w:t>
      </w:r>
    </w:p>
    <w:p w14:paraId="287B5912">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（一）建议电脑配置：4G以上内存，MicrosoftWindows7以上操作系统，正版office软件，及相应的配套硬件设备（摄像头、耳机、麦克风等）。</w:t>
      </w:r>
    </w:p>
    <w:p w14:paraId="7D206808">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（二）50M以上网络带宽连接。</w:t>
      </w:r>
    </w:p>
    <w:p w14:paraId="46B5ECDD">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（三）安装浙江省公共资源交易CA签章互认驱动及开标大厅直播播放器。相关软件可在绍兴公共资源交易网（按各平台情况填写）下载专区页面下载。</w:t>
      </w:r>
    </w:p>
    <w:p w14:paraId="1E6C8330">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（四）使用MicrosoftInternetExplorer11（IE11）及以上浏览器，加入可信任站点，添加兼容性视图设置修改Activex控件和插件设置，关闭弹出窗口拦截。</w:t>
      </w:r>
    </w:p>
    <w:p w14:paraId="48109006">
      <w:pPr>
        <w:kinsoku/>
        <w:topLinePunct/>
        <w:spacing w:line="360" w:lineRule="auto"/>
        <w:rPr>
          <w:rFonts w:hint="eastAsia" w:ascii="宋体" w:hAnsi="宋体" w:eastAsia="宋体" w:cs="宋体"/>
          <w:b/>
          <w:bCs/>
          <w:strike w:val="0"/>
          <w:color w:val="auto"/>
          <w:sz w:val="24"/>
          <w:szCs w:val="24"/>
          <w:highlight w:val="none"/>
        </w:rPr>
      </w:pPr>
      <w:r>
        <w:rPr>
          <w:rFonts w:hint="eastAsia" w:ascii="宋体" w:hAnsi="宋体" w:eastAsia="宋体" w:cs="宋体"/>
          <w:b/>
          <w:bCs/>
          <w:strike w:val="0"/>
          <w:color w:val="auto"/>
          <w:sz w:val="24"/>
          <w:szCs w:val="24"/>
          <w:highlight w:val="none"/>
        </w:rPr>
        <w:t>5.4特殊情况的处置</w:t>
      </w:r>
    </w:p>
    <w:p w14:paraId="039A66BD">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5.4.1特殊情况的处置</w:t>
      </w:r>
    </w:p>
    <w:p w14:paraId="4462C00C">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（一）因网络、系统、电力等不可抗力因素延期开标的，需更新制作投标文件并按招标文件要求重新递交。</w:t>
      </w:r>
    </w:p>
    <w:p w14:paraId="7B7F4088">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548EAD6B">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（三）投标人电脑终端的硬件设备和软件系统配置必须符合不见面开标技术要求并运行正常，否则投标人自行承担不利后果。</w:t>
      </w:r>
    </w:p>
    <w:p w14:paraId="5818312D">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5.4.2开标特别说明</w:t>
      </w:r>
    </w:p>
    <w:p w14:paraId="5FECB983">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（一）开标解密使用投标人上传的加密电子投标文件。</w:t>
      </w:r>
    </w:p>
    <w:p w14:paraId="1B4D2E50">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4C33A4B4">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（三）部分投标人的电子文件无法解密的，其他投标文件的开标可以继续进行。</w:t>
      </w:r>
    </w:p>
    <w:p w14:paraId="68D27EC4">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Key号发生改变，视为不同证书，会导致开标时无法解密投标文件。2.移动CA数字证书需在有效期内进行续费操作，过期后只能重新申领，重新申领的移动CA数字证书不能解密申领之前加密的投标文件。）</w:t>
      </w:r>
    </w:p>
    <w:p w14:paraId="43D7444A">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（五）投标人应实时关注不见面开标系统页面，观看开标全过程，并根据需要，使用不见面</w:t>
      </w:r>
    </w:p>
    <w:p w14:paraId="4B4421BA">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7433AD5E">
      <w:pPr>
        <w:kinsoku/>
        <w:topLinePunct/>
        <w:spacing w:line="360" w:lineRule="auto"/>
        <w:ind w:firstLine="480" w:firstLineChars="200"/>
        <w:rPr>
          <w:rFonts w:hint="eastAsia" w:ascii="宋体" w:hAnsi="宋体" w:eastAsia="宋体" w:cs="宋体"/>
          <w:bCs/>
          <w:strike w:val="0"/>
          <w:color w:val="auto"/>
          <w:sz w:val="24"/>
          <w:szCs w:val="24"/>
          <w:highlight w:val="none"/>
        </w:rPr>
      </w:pPr>
      <w:r>
        <w:rPr>
          <w:rFonts w:hint="eastAsia" w:ascii="宋体" w:hAnsi="宋体" w:eastAsia="宋体" w:cs="宋体"/>
          <w:bCs/>
          <w:strike w:val="0"/>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2636B811">
      <w:pPr>
        <w:kinsoku/>
        <w:topLinePunct/>
        <w:spacing w:line="360"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rPr>
        <w:t>5.4.3其他</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见投标人须知前附表。</w:t>
      </w:r>
    </w:p>
    <w:p w14:paraId="6F27A33F">
      <w:pPr>
        <w:widowControl w:val="0"/>
        <w:kinsoku/>
        <w:topLinePunct/>
        <w:autoSpaceDE/>
        <w:autoSpaceDN/>
        <w:adjustRightInd/>
        <w:snapToGrid/>
        <w:spacing w:line="360" w:lineRule="auto"/>
        <w:jc w:val="both"/>
        <w:textAlignment w:val="auto"/>
        <w:outlineLvl w:val="9"/>
        <w:rPr>
          <w:rFonts w:hint="eastAsia" w:ascii="宋体" w:hAnsi="宋体" w:eastAsia="宋体" w:cs="宋体"/>
          <w:b/>
          <w:bCs/>
          <w:snapToGrid/>
          <w:color w:val="auto"/>
          <w:kern w:val="2"/>
          <w:sz w:val="24"/>
          <w:szCs w:val="24"/>
          <w:highlight w:val="none"/>
        </w:rPr>
      </w:pPr>
      <w:bookmarkStart w:id="163" w:name="_Toc22922"/>
      <w:bookmarkStart w:id="164" w:name="_Toc22455"/>
      <w:bookmarkStart w:id="165" w:name="_Toc24695"/>
      <w:bookmarkStart w:id="166" w:name="_Toc25932"/>
      <w:bookmarkStart w:id="167" w:name="_Toc16092"/>
      <w:bookmarkStart w:id="168" w:name="_Toc27905"/>
      <w:bookmarkStart w:id="169" w:name="_Toc15636"/>
      <w:bookmarkStart w:id="170" w:name="_Toc9230"/>
      <w:bookmarkStart w:id="171" w:name="_Toc24644"/>
      <w:bookmarkStart w:id="172" w:name="_Toc31702"/>
      <w:bookmarkStart w:id="173" w:name="_Toc24156"/>
      <w:bookmarkStart w:id="174" w:name="_Toc153981473"/>
      <w:bookmarkStart w:id="175" w:name="_Toc462184031"/>
      <w:r>
        <w:rPr>
          <w:rFonts w:hint="eastAsia" w:ascii="宋体" w:hAnsi="宋体" w:eastAsia="宋体" w:cs="宋体"/>
          <w:b/>
          <w:bCs/>
          <w:snapToGrid/>
          <w:color w:val="auto"/>
          <w:kern w:val="2"/>
          <w:sz w:val="24"/>
          <w:szCs w:val="24"/>
          <w:highlight w:val="none"/>
        </w:rPr>
        <w:t>6. 评标</w:t>
      </w:r>
      <w:bookmarkEnd w:id="163"/>
      <w:bookmarkEnd w:id="164"/>
      <w:bookmarkEnd w:id="165"/>
      <w:bookmarkEnd w:id="166"/>
      <w:bookmarkEnd w:id="167"/>
      <w:bookmarkEnd w:id="168"/>
      <w:bookmarkEnd w:id="169"/>
      <w:bookmarkEnd w:id="170"/>
      <w:bookmarkEnd w:id="171"/>
      <w:bookmarkEnd w:id="172"/>
      <w:bookmarkEnd w:id="173"/>
      <w:bookmarkEnd w:id="174"/>
      <w:bookmarkEnd w:id="175"/>
    </w:p>
    <w:p w14:paraId="01146340">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bookmarkStart w:id="176" w:name="_Toc193449944"/>
      <w:r>
        <w:rPr>
          <w:rFonts w:hint="eastAsia" w:ascii="宋体" w:hAnsi="宋体" w:eastAsia="宋体" w:cs="宋体"/>
          <w:b/>
          <w:snapToGrid/>
          <w:color w:val="auto"/>
          <w:kern w:val="2"/>
          <w:sz w:val="24"/>
          <w:szCs w:val="24"/>
          <w:highlight w:val="none"/>
        </w:rPr>
        <w:t>6.1 评标委员会</w:t>
      </w:r>
      <w:bookmarkEnd w:id="176"/>
    </w:p>
    <w:p w14:paraId="0797D1A9">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D3AE67B">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6.1.2评标委员会成员有下列情形之一的，应当回避：</w:t>
      </w:r>
    </w:p>
    <w:p w14:paraId="4193CE2F">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6.1.2.1投标人或投标人的主要负责人及其拟派项目负责人的近亲属；</w:t>
      </w:r>
    </w:p>
    <w:p w14:paraId="0FC3FB50">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6.1.2.2项目主管部门或者行政监督部门的人员：</w:t>
      </w:r>
    </w:p>
    <w:p w14:paraId="2EEE58D8">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6.1.2.3与投标人有经济利益关系，可能影响对投标公正评审的；</w:t>
      </w:r>
    </w:p>
    <w:p w14:paraId="06DB2A4F">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6.1.2.4曾因在招标、评标以及其他与招标投标有关活动中有过不良行为或从事违法行为而受过行政处罚或刑事处罚的。</w:t>
      </w:r>
    </w:p>
    <w:p w14:paraId="77CA8683">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bookmarkStart w:id="177" w:name="_Toc193449945"/>
      <w:r>
        <w:rPr>
          <w:rFonts w:hint="eastAsia" w:ascii="宋体" w:hAnsi="宋体" w:eastAsia="宋体" w:cs="宋体"/>
          <w:b/>
          <w:snapToGrid/>
          <w:color w:val="auto"/>
          <w:kern w:val="2"/>
          <w:sz w:val="24"/>
          <w:szCs w:val="24"/>
          <w:highlight w:val="none"/>
        </w:rPr>
        <w:t xml:space="preserve">6.2 评标原则 </w:t>
      </w:r>
    </w:p>
    <w:p w14:paraId="487BCAC7">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5E7C3632">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177"/>
    </w:p>
    <w:p w14:paraId="2E3FEB51">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6.3.1开标后，直至授予中标人合同为止，凡属于对投标文件的审查、澄清、评价和比较的有关资料，以及与评标有关的其他任何情况均应严格保密。</w:t>
      </w:r>
    </w:p>
    <w:p w14:paraId="1222D9FB">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6.3.2在投标文件的评审和比较、中标候选人推荐以及授予合同的过程中，投标人向招标人和评标委员会施加影响的任何行为，都将会导致其投标被拒绝。</w:t>
      </w:r>
    </w:p>
    <w:p w14:paraId="3CFBFD15">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6.3.3中标人确定后，招标人不对未中标人就评标过程以及未能中标原因作出任何解释。</w:t>
      </w:r>
    </w:p>
    <w:p w14:paraId="351E0B7B">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bookmarkStart w:id="178" w:name="_Toc193449946"/>
      <w:r>
        <w:rPr>
          <w:rFonts w:hint="eastAsia" w:ascii="宋体" w:hAnsi="宋体" w:eastAsia="宋体" w:cs="宋体"/>
          <w:b/>
          <w:snapToGrid/>
          <w:color w:val="auto"/>
          <w:kern w:val="2"/>
          <w:sz w:val="24"/>
          <w:szCs w:val="24"/>
          <w:highlight w:val="none"/>
        </w:rPr>
        <w:t>6.4 评标</w:t>
      </w:r>
      <w:bookmarkEnd w:id="178"/>
    </w:p>
    <w:p w14:paraId="31F34BF0">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46408CFD">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BFC8F62">
      <w:pPr>
        <w:keepNext/>
        <w:keepLines/>
        <w:widowControl w:val="0"/>
        <w:kinsoku/>
        <w:topLinePunct/>
        <w:autoSpaceDE/>
        <w:autoSpaceDN/>
        <w:adjustRightInd/>
        <w:snapToGrid/>
        <w:spacing w:before="120" w:beforeLines="50" w:line="360" w:lineRule="auto"/>
        <w:jc w:val="both"/>
        <w:textAlignment w:val="auto"/>
        <w:outlineLvl w:val="9"/>
        <w:rPr>
          <w:rFonts w:hint="eastAsia" w:ascii="宋体" w:hAnsi="宋体" w:eastAsia="宋体" w:cs="宋体"/>
          <w:b/>
          <w:bCs/>
          <w:snapToGrid/>
          <w:color w:val="auto"/>
          <w:kern w:val="2"/>
          <w:sz w:val="24"/>
          <w:szCs w:val="24"/>
          <w:highlight w:val="none"/>
        </w:rPr>
      </w:pPr>
      <w:bookmarkStart w:id="179" w:name="_Toc28621"/>
      <w:bookmarkStart w:id="180" w:name="_Toc18956"/>
      <w:bookmarkStart w:id="181" w:name="_Toc17051"/>
      <w:bookmarkStart w:id="182" w:name="_Toc13493"/>
      <w:bookmarkStart w:id="183" w:name="_Toc21714"/>
      <w:bookmarkStart w:id="184" w:name="_Toc462184032"/>
      <w:bookmarkStart w:id="185" w:name="_Toc29415"/>
      <w:bookmarkStart w:id="186" w:name="_Toc28153"/>
      <w:bookmarkStart w:id="187" w:name="_Toc12652"/>
      <w:bookmarkStart w:id="188" w:name="_Toc8865"/>
      <w:bookmarkStart w:id="189" w:name="_Toc7704"/>
      <w:bookmarkStart w:id="190" w:name="_Toc11303"/>
      <w:bookmarkStart w:id="191" w:name="_Toc153981474"/>
      <w:r>
        <w:rPr>
          <w:rFonts w:hint="eastAsia" w:ascii="宋体" w:hAnsi="宋体" w:eastAsia="宋体" w:cs="宋体"/>
          <w:b/>
          <w:bCs/>
          <w:snapToGrid/>
          <w:color w:val="auto"/>
          <w:kern w:val="2"/>
          <w:sz w:val="24"/>
          <w:szCs w:val="24"/>
          <w:highlight w:val="none"/>
        </w:rPr>
        <w:t>7. 合同授予</w:t>
      </w:r>
      <w:bookmarkEnd w:id="179"/>
      <w:bookmarkEnd w:id="180"/>
      <w:bookmarkEnd w:id="181"/>
      <w:bookmarkEnd w:id="182"/>
      <w:bookmarkEnd w:id="183"/>
      <w:bookmarkEnd w:id="184"/>
      <w:bookmarkEnd w:id="185"/>
      <w:bookmarkEnd w:id="186"/>
      <w:bookmarkEnd w:id="187"/>
      <w:bookmarkEnd w:id="188"/>
      <w:bookmarkEnd w:id="189"/>
      <w:bookmarkEnd w:id="190"/>
      <w:bookmarkEnd w:id="191"/>
      <w:bookmarkStart w:id="192" w:name="_Toc193449947"/>
    </w:p>
    <w:p w14:paraId="56E7A46F">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7.1 定标方式</w:t>
      </w:r>
    </w:p>
    <w:p w14:paraId="67AD39FC">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w:t>
      </w:r>
      <w:r>
        <w:rPr>
          <w:rFonts w:hint="eastAsia" w:ascii="宋体" w:hAnsi="宋体" w:eastAsia="宋体" w:cs="宋体"/>
          <w:snapToGrid/>
          <w:color w:val="auto"/>
          <w:kern w:val="2"/>
          <w:sz w:val="24"/>
          <w:szCs w:val="24"/>
          <w:highlight w:val="none"/>
          <w:lang w:val="en-US" w:eastAsia="zh-CN"/>
        </w:rPr>
        <w:t>中</w:t>
      </w:r>
      <w:r>
        <w:rPr>
          <w:rFonts w:hint="eastAsia" w:ascii="宋体" w:hAnsi="宋体" w:eastAsia="宋体" w:cs="宋体"/>
          <w:snapToGrid/>
          <w:color w:val="auto"/>
          <w:kern w:val="2"/>
          <w:sz w:val="24"/>
          <w:szCs w:val="24"/>
          <w:highlight w:val="none"/>
        </w:rPr>
        <w:t>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D5EFAE7">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2FBEC27D">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□7.1 定标方式（适用“评定分离”）</w:t>
      </w:r>
    </w:p>
    <w:p w14:paraId="70EFEAB1">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按照《浙江省工程建设项目招标投标“评定分离”操作指引（试行）》（浙发改公管〔2023〕256 号）、《绍兴市工程建设项目招标投标“评定分离”试点定标操作指引（试行）》（绍市政服办〔2023〕17号）确定，由招标人在招标文件中明确。</w:t>
      </w:r>
    </w:p>
    <w:p w14:paraId="4589BED2">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7.1.1中标候选人公示</w:t>
      </w:r>
    </w:p>
    <w:p w14:paraId="56080F3A">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6B90EA5C">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7.1.2定标会议时间和地点</w:t>
      </w:r>
    </w:p>
    <w:p w14:paraId="2B0AAE2F">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招标人在投标须知前附表规定的时间和地点召开定标会议，并全程录音录像。</w:t>
      </w:r>
    </w:p>
    <w:p w14:paraId="2EFA60F5">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7.1.3定标委员会的组成见投标人须知前附表。定标委员会成员与中标候选人有利害关系的应主动说明并申请回避，定标委员会名单在中标结果确定前保密。</w:t>
      </w:r>
    </w:p>
    <w:p w14:paraId="595165FF">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7.1.4定标要素</w:t>
      </w:r>
    </w:p>
    <w:p w14:paraId="37479F64">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7.1.4.1招标人可在投标须知前附表规定的时间前对所有中标候选人进行考察、质询。考察、质询小组应由投标须知前附表规定的人数组成。考察、质询小组应如实记录考察、质询情况，并出具考察、质询报告作为定标要素之一。考察、质询报告应客观公正，不得有明示或暗示中标人的内容。</w:t>
      </w:r>
    </w:p>
    <w:p w14:paraId="0878A0AF">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7.1.4.2招标人在定标阶段对中标候选人（联合体投标的，为联合体牵头人）的法定代表人、拟派项目负责人开展现场面试。现场面试由定标委员会具体实施。</w:t>
      </w:r>
    </w:p>
    <w:p w14:paraId="2A9C5DA3">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7.1.4.3定标要素应参考评标委员会评标报告、质询或考察报告、现场面试情况，此外，还可以包含以下要素： </w:t>
      </w:r>
    </w:p>
    <w:p w14:paraId="67719A02">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（1）价格因素：主要包括商务报价高低、不平衡报价情况等； </w:t>
      </w:r>
    </w:p>
    <w:p w14:paraId="5F10799D">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（2）企业实力：主要包括企业规模、资质等级、专业技术人员规模、近年的财务状况、过往业绩（含业绩影响力、难易程度）等； </w:t>
      </w:r>
    </w:p>
    <w:p w14:paraId="635F7E47">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（3）企业信誉：主要包括企业信用情况、过往业绩履约情况、建设单位履约评价情况等（可查询全国和浙江省建筑市场监管公共服务系统等）； </w:t>
      </w:r>
    </w:p>
    <w:p w14:paraId="08A886BB">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（4）投标方案：主要包括设计方案情况、设计重难点解决方案等； </w:t>
      </w:r>
    </w:p>
    <w:p w14:paraId="7FE2EA74">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（5）拟派团队能力与水平：主要包括团队主要负责人类似工程业绩、拟派项目团队人员的资信实力等； </w:t>
      </w:r>
    </w:p>
    <w:p w14:paraId="6B59ECB7">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（6）联合体投标的，联合体组成情况；</w:t>
      </w:r>
    </w:p>
    <w:p w14:paraId="4998A6C1">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（7）招标人认为需要考量的其他因素。</w:t>
      </w:r>
    </w:p>
    <w:p w14:paraId="496AE2A9">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7.1.5定标方法可采用下列方法或者下列方法的组合： </w:t>
      </w:r>
    </w:p>
    <w:p w14:paraId="7FD40DAE">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（1）票决法。由定标委员会以直接票决或者逐轮票决的方式确定中标人。 </w:t>
      </w:r>
    </w:p>
    <w:p w14:paraId="3FAB974A">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 xml:space="preserve">（2）集体议事法。由定标委员会进行集体商议，定标委员会成员各自发表意见，由定标委员会组长最终确定中标人。所有参加会议的定标委员会成员的意见应当作书面记录，并由定标委员会成员签字确认。 </w:t>
      </w:r>
    </w:p>
    <w:p w14:paraId="13E1A7EC">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snapToGrid/>
          <w:color w:val="auto"/>
          <w:kern w:val="2"/>
          <w:sz w:val="24"/>
          <w:szCs w:val="24"/>
          <w:highlight w:val="none"/>
        </w:rPr>
      </w:pPr>
      <w:r>
        <w:rPr>
          <w:rFonts w:hint="eastAsia" w:ascii="宋体" w:hAnsi="宋体" w:eastAsia="宋体" w:cs="宋体"/>
          <w:strike/>
          <w:snapToGrid/>
          <w:color w:val="auto"/>
          <w:kern w:val="2"/>
          <w:sz w:val="24"/>
          <w:szCs w:val="24"/>
          <w:highlight w:val="none"/>
        </w:rPr>
        <w:t>（3）投标须知前附表规定的其他定标办法。</w:t>
      </w:r>
    </w:p>
    <w:p w14:paraId="325CA66A">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7.1.6中标人公告媒介及期限</w:t>
      </w:r>
    </w:p>
    <w:p w14:paraId="6A1AE477">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招标人应当将中标结果情况在投标须知前附表规定的媒介上公告不少于3日。</w:t>
      </w:r>
    </w:p>
    <w:p w14:paraId="096023F6">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7.1.7定标后有下列情形之一的，招标人可以组织原定标委员会从其他中标候选人中按原定标方法确定中标人：</w:t>
      </w:r>
    </w:p>
    <w:p w14:paraId="6F700D64">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（1）中标人放弃中标资格或者拒不签订合同的；</w:t>
      </w:r>
    </w:p>
    <w:p w14:paraId="4D95E6B2">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（2）中标人被查实存在违法行为影响中标结果的；</w:t>
      </w:r>
    </w:p>
    <w:p w14:paraId="768CE680">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（3）投标须知前附表规定的其他情形。</w:t>
      </w:r>
    </w:p>
    <w:p w14:paraId="26E30330">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 xml:space="preserve">7.1.8定标后有下列情形之一的，应重新定标： </w:t>
      </w:r>
    </w:p>
    <w:p w14:paraId="14A15906">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 xml:space="preserve">（1）查实定标委员会未按定标办法公正履职的； </w:t>
      </w:r>
    </w:p>
    <w:p w14:paraId="31D74B1A">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 xml:space="preserve">（2）有定标委员会成员与中标候选人有利害关系且未申请回避的； </w:t>
      </w:r>
    </w:p>
    <w:p w14:paraId="52A30F1D">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trike w:val="0"/>
          <w:snapToGrid/>
          <w:color w:val="auto"/>
          <w:kern w:val="2"/>
          <w:sz w:val="24"/>
          <w:szCs w:val="24"/>
          <w:highlight w:val="none"/>
        </w:rPr>
      </w:pPr>
      <w:r>
        <w:rPr>
          <w:rFonts w:hint="eastAsia" w:ascii="宋体" w:hAnsi="宋体" w:eastAsia="宋体" w:cs="宋体"/>
          <w:strike w:val="0"/>
          <w:snapToGrid/>
          <w:color w:val="auto"/>
          <w:kern w:val="2"/>
          <w:sz w:val="24"/>
          <w:szCs w:val="24"/>
          <w:highlight w:val="none"/>
        </w:rPr>
        <w:t>（3）投标须知前附表规定的其他情形。</w:t>
      </w:r>
    </w:p>
    <w:p w14:paraId="48207ECC">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192"/>
    </w:p>
    <w:p w14:paraId="232503DB">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3E178516">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w:t>
      </w:r>
      <w:r>
        <w:rPr>
          <w:rFonts w:hint="eastAsia" w:ascii="宋体" w:hAnsi="宋体" w:eastAsia="宋体" w:cs="宋体"/>
          <w:strike/>
          <w:snapToGrid/>
          <w:color w:val="auto"/>
          <w:kern w:val="2"/>
          <w:sz w:val="24"/>
          <w:szCs w:val="24"/>
          <w:highlight w:val="none"/>
        </w:rPr>
        <w:t>设计</w:t>
      </w:r>
      <w:r>
        <w:rPr>
          <w:rFonts w:hint="eastAsia" w:ascii="宋体" w:hAnsi="宋体" w:eastAsia="宋体" w:cs="宋体"/>
          <w:snapToGrid/>
          <w:color w:val="auto"/>
          <w:kern w:val="2"/>
          <w:sz w:val="24"/>
          <w:szCs w:val="24"/>
          <w:highlight w:val="none"/>
        </w:rPr>
        <w:t>合同将授予按本章第7.1条款所确定的中标人。</w:t>
      </w:r>
    </w:p>
    <w:p w14:paraId="5838E6EC">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bookmarkStart w:id="193" w:name="_Toc193449949"/>
      <w:r>
        <w:rPr>
          <w:rFonts w:hint="eastAsia" w:ascii="宋体" w:hAnsi="宋体" w:eastAsia="宋体" w:cs="宋体"/>
          <w:b/>
          <w:snapToGrid/>
          <w:color w:val="auto"/>
          <w:kern w:val="2"/>
          <w:sz w:val="24"/>
          <w:szCs w:val="24"/>
          <w:highlight w:val="none"/>
        </w:rPr>
        <w:t>7.3 中标通知书</w:t>
      </w:r>
      <w:bookmarkEnd w:id="193"/>
    </w:p>
    <w:p w14:paraId="437EB9BD">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71B01F90">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7.3.2中标通知书为合同的组成部分。</w:t>
      </w:r>
    </w:p>
    <w:p w14:paraId="4563C1AF">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194" w:name="_Toc193449950"/>
      <w:r>
        <w:rPr>
          <w:rFonts w:hint="eastAsia" w:ascii="宋体" w:hAnsi="宋体" w:eastAsia="宋体" w:cs="宋体"/>
          <w:b/>
          <w:snapToGrid/>
          <w:color w:val="auto"/>
          <w:kern w:val="2"/>
          <w:sz w:val="24"/>
          <w:szCs w:val="24"/>
          <w:highlight w:val="none"/>
        </w:rPr>
        <w:t xml:space="preserve"> 履约</w:t>
      </w:r>
      <w:bookmarkEnd w:id="194"/>
      <w:r>
        <w:rPr>
          <w:rFonts w:hint="eastAsia" w:ascii="宋体" w:hAnsi="宋体" w:eastAsia="宋体" w:cs="宋体"/>
          <w:b/>
          <w:snapToGrid/>
          <w:color w:val="auto"/>
          <w:kern w:val="2"/>
          <w:sz w:val="24"/>
          <w:szCs w:val="24"/>
          <w:highlight w:val="none"/>
        </w:rPr>
        <w:t>保证金</w:t>
      </w:r>
    </w:p>
    <w:p w14:paraId="08C0F6A6">
      <w:pPr>
        <w:widowControl w:val="0"/>
        <w:tabs>
          <w:tab w:val="left" w:pos="540"/>
        </w:tabs>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7.4.1在签订合同前，中标人应按投标人须知前附表规定的金额、担保形式向招标人提交履约保证金。</w:t>
      </w:r>
      <w:r>
        <w:rPr>
          <w:rFonts w:hint="eastAsia" w:ascii="宋体" w:hAnsi="宋体" w:eastAsia="宋体" w:cs="宋体"/>
          <w:strike/>
          <w:dstrike w:val="0"/>
          <w:snapToGrid/>
          <w:color w:val="auto"/>
          <w:kern w:val="2"/>
          <w:sz w:val="24"/>
          <w:szCs w:val="24"/>
          <w:highlight w:val="none"/>
        </w:rPr>
        <w:t>联合体中标的，其履约保证金以联合体牵头人名义提交。</w:t>
      </w:r>
      <w:r>
        <w:rPr>
          <w:rFonts w:hint="eastAsia" w:ascii="宋体" w:hAnsi="宋体" w:eastAsia="宋体" w:cs="宋体"/>
          <w:snapToGrid/>
          <w:color w:val="auto"/>
          <w:kern w:val="2"/>
          <w:sz w:val="24"/>
          <w:szCs w:val="24"/>
          <w:highlight w:val="none"/>
        </w:rPr>
        <w:t>如采用履约保函形式提交担保，则中标人应提交在中国境内注册并经招标人</w:t>
      </w:r>
      <w:r>
        <w:rPr>
          <w:rFonts w:hint="eastAsia" w:ascii="宋体" w:hAnsi="宋体" w:eastAsia="宋体" w:cs="宋体"/>
          <w:b/>
          <w:bCs/>
          <w:snapToGrid/>
          <w:color w:val="auto"/>
          <w:kern w:val="2"/>
          <w:sz w:val="24"/>
          <w:szCs w:val="24"/>
          <w:highlight w:val="none"/>
          <w:u w:val="none"/>
          <w:lang w:val="en-US" w:eastAsia="zh-CN"/>
        </w:rPr>
        <w:t>对中标人开具的履约保证金银行保函中的金额及覆盖时间等内容进行</w:t>
      </w:r>
      <w:r>
        <w:rPr>
          <w:rFonts w:hint="eastAsia" w:ascii="宋体" w:hAnsi="宋体" w:eastAsia="宋体" w:cs="宋体"/>
          <w:snapToGrid/>
          <w:color w:val="auto"/>
          <w:kern w:val="2"/>
          <w:sz w:val="24"/>
          <w:szCs w:val="24"/>
          <w:highlight w:val="none"/>
        </w:rPr>
        <w:t>认可的担保机构出具的银行保函 。否则，招标人将不予接受。</w:t>
      </w:r>
    </w:p>
    <w:p w14:paraId="5DAA3098">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7.4.2若中标人不能按本章第7.4.1条款规定提交履约保证金</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招标人将有充分理由废除</w:t>
      </w:r>
      <w:r>
        <w:rPr>
          <w:rFonts w:hint="eastAsia" w:ascii="宋体" w:hAnsi="宋体" w:eastAsia="宋体" w:cs="宋体"/>
          <w:snapToGrid/>
          <w:color w:val="auto"/>
          <w:kern w:val="2"/>
          <w:sz w:val="24"/>
          <w:szCs w:val="24"/>
          <w:highlight w:val="none"/>
          <w:lang w:val="en-US" w:eastAsia="zh-CN"/>
        </w:rPr>
        <w:t>投</w:t>
      </w:r>
      <w:r>
        <w:rPr>
          <w:rFonts w:hint="eastAsia" w:ascii="宋体" w:hAnsi="宋体" w:eastAsia="宋体" w:cs="宋体"/>
          <w:snapToGrid/>
          <w:color w:val="auto"/>
          <w:kern w:val="2"/>
          <w:sz w:val="24"/>
          <w:szCs w:val="24"/>
          <w:highlight w:val="none"/>
        </w:rPr>
        <w:t>标，投标保证金不予退还，给招标人造成的损失超过投标保证金金额的，还应当对超过部分予以赔偿，同时依法承担相应法律责任。</w:t>
      </w:r>
    </w:p>
    <w:p w14:paraId="24241A97">
      <w:pPr>
        <w:widowControl w:val="0"/>
        <w:kinsoku/>
        <w:topLinePunct/>
        <w:autoSpaceDE/>
        <w:autoSpaceDN/>
        <w:adjustRightInd/>
        <w:snapToGrid/>
        <w:spacing w:line="360" w:lineRule="auto"/>
        <w:jc w:val="both"/>
        <w:textAlignment w:val="auto"/>
        <w:rPr>
          <w:rFonts w:hint="eastAsia" w:ascii="宋体" w:hAnsi="宋体" w:eastAsia="宋体" w:cs="宋体"/>
          <w:b/>
          <w:snapToGrid/>
          <w:color w:val="auto"/>
          <w:kern w:val="2"/>
          <w:sz w:val="24"/>
          <w:szCs w:val="24"/>
          <w:highlight w:val="none"/>
        </w:rPr>
      </w:pPr>
      <w:bookmarkStart w:id="195" w:name="_Toc193449952"/>
      <w:r>
        <w:rPr>
          <w:rFonts w:hint="eastAsia" w:ascii="宋体" w:hAnsi="宋体" w:eastAsia="宋体" w:cs="宋体"/>
          <w:b/>
          <w:snapToGrid/>
          <w:color w:val="auto"/>
          <w:kern w:val="2"/>
          <w:sz w:val="24"/>
          <w:szCs w:val="24"/>
          <w:highlight w:val="none"/>
        </w:rPr>
        <w:t xml:space="preserve">7.5 </w:t>
      </w:r>
      <w:bookmarkEnd w:id="195"/>
      <w:r>
        <w:rPr>
          <w:rFonts w:hint="eastAsia" w:ascii="宋体" w:hAnsi="宋体" w:eastAsia="宋体" w:cs="宋体"/>
          <w:b/>
          <w:snapToGrid/>
          <w:color w:val="auto"/>
          <w:kern w:val="2"/>
          <w:sz w:val="24"/>
          <w:szCs w:val="24"/>
          <w:highlight w:val="none"/>
        </w:rPr>
        <w:t>签订合同</w:t>
      </w:r>
    </w:p>
    <w:p w14:paraId="77B78131">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7.5.1招标人与中标人将于中标通知书发出之日起30日内，根据招标文件和中标人的投标文件签订书面设计合同，招标人和中标人不得另行订立背离合同实质性内容的其他协议。</w:t>
      </w:r>
    </w:p>
    <w:p w14:paraId="6283C9D2">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7.5.2招标人如无正当理由不按本章第7.5.1条款规定与中标人订立合同，或招标人迫使中标人订立背离合同实质性内容的协议，招标人将依法承担相应法律责任。</w:t>
      </w:r>
    </w:p>
    <w:p w14:paraId="79D71589">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1EE197F6">
      <w:pPr>
        <w:widowControl w:val="0"/>
        <w:kinsoku/>
        <w:topLinePunct/>
        <w:autoSpaceDE/>
        <w:autoSpaceDN/>
        <w:adjustRightInd/>
        <w:snapToGrid/>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7.5.4中标人应当按照合同约定履行义务，完成中标项目的设计工作，不得将中标项目的设计工作转委托给他人。</w:t>
      </w:r>
    </w:p>
    <w:p w14:paraId="1D893585">
      <w:pPr>
        <w:kinsoku/>
        <w:topLinePunct/>
        <w:spacing w:line="36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73CE6912">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13C824CF">
      <w:pPr>
        <w:kinsoku/>
        <w:topLinePunct/>
        <w:spacing w:line="36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20FEF3EF">
      <w:pPr>
        <w:kinsoku/>
        <w:topLinePunct/>
        <w:spacing w:line="36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1</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投标截止时间止，投标人少于3个的；</w:t>
      </w:r>
    </w:p>
    <w:p w14:paraId="2470144B">
      <w:pPr>
        <w:kinsoku/>
        <w:topLinePunct/>
        <w:spacing w:line="360"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2</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rPr>
        <w:t>经评标委员会评审后否决所有投标的；</w:t>
      </w:r>
    </w:p>
    <w:p w14:paraId="120E0113">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6AD68074">
      <w:pPr>
        <w:kinsoku/>
        <w:topLinePunct/>
        <w:spacing w:line="360"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195FAE1B">
      <w:pPr>
        <w:kinsoku/>
        <w:topLinePunct/>
        <w:spacing w:line="36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7D012D30">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5B57194C">
      <w:pPr>
        <w:kinsoku/>
        <w:topLinePunct/>
        <w:spacing w:line="360"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6691DC9A">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6189F535">
      <w:pPr>
        <w:kinsoku/>
        <w:topLinePunct/>
        <w:spacing w:line="36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684B0291">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36CF5B89">
      <w:pPr>
        <w:kinsoku/>
        <w:topLinePunct/>
        <w:spacing w:line="36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0D5D35AB">
      <w:pPr>
        <w:kinsoku/>
        <w:topLinePunct/>
        <w:spacing w:line="360"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7353E8D6">
      <w:pPr>
        <w:kinsoku/>
        <w:topLinePunct/>
        <w:spacing w:line="36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76D829BD">
      <w:pPr>
        <w:kinsoku/>
        <w:topLinePunct/>
        <w:spacing w:line="360"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68B8DF00">
      <w:pPr>
        <w:kinsoku/>
        <w:topLinePunct/>
        <w:spacing w:line="360"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107CBF3C">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11363AEA">
      <w:pPr>
        <w:kinsoku/>
        <w:topLinePunct/>
        <w:spacing w:line="360"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7ABCA426">
      <w:pPr>
        <w:pageBreakBefore/>
        <w:widowControl w:val="0"/>
        <w:kinsoku/>
        <w:topLinePunct/>
        <w:spacing w:before="91" w:line="360" w:lineRule="auto"/>
        <w:ind w:left="130"/>
        <w:jc w:val="both"/>
        <w:outlineLvl w:val="1"/>
        <w:rPr>
          <w:rFonts w:hint="eastAsia" w:ascii="宋体" w:hAnsi="宋体" w:eastAsia="宋体" w:cs="宋体"/>
          <w:strike w:val="0"/>
          <w:color w:val="auto"/>
          <w:sz w:val="24"/>
          <w:szCs w:val="24"/>
          <w:highlight w:val="none"/>
        </w:rPr>
      </w:pPr>
      <w:bookmarkStart w:id="196" w:name="_bookmark5"/>
      <w:bookmarkEnd w:id="196"/>
      <w:bookmarkStart w:id="197" w:name="_Toc1214"/>
      <w:bookmarkStart w:id="198" w:name="_Toc11912"/>
      <w:bookmarkStart w:id="199" w:name="_Toc30085"/>
      <w:bookmarkStart w:id="200" w:name="_Toc6403"/>
      <w:bookmarkStart w:id="201" w:name="_Toc11995"/>
      <w:bookmarkStart w:id="202" w:name="_Toc2448"/>
      <w:bookmarkStart w:id="203" w:name="_Toc7227"/>
      <w:bookmarkStart w:id="204" w:name="_Toc20858"/>
      <w:bookmarkStart w:id="205" w:name="_Toc9371"/>
      <w:bookmarkStart w:id="206" w:name="_Toc24563"/>
      <w:bookmarkStart w:id="207" w:name="_Toc25534"/>
      <w:bookmarkStart w:id="208" w:name="_Toc6039"/>
      <w:bookmarkStart w:id="209" w:name="_Toc15064"/>
      <w:bookmarkStart w:id="210" w:name="_Toc31583"/>
      <w:bookmarkStart w:id="211" w:name="_Toc18931"/>
      <w:bookmarkStart w:id="212" w:name="_Toc24944"/>
      <w:bookmarkStart w:id="213" w:name="_Toc30511"/>
      <w:bookmarkStart w:id="214" w:name="_Toc1146"/>
      <w:bookmarkStart w:id="215" w:name="_Toc13236"/>
      <w:bookmarkStart w:id="216" w:name="_Toc22448"/>
      <w:bookmarkStart w:id="217" w:name="_Toc15577"/>
      <w:bookmarkStart w:id="218" w:name="_Toc15405"/>
      <w:bookmarkStart w:id="219" w:name="_Toc22012"/>
      <w:r>
        <w:rPr>
          <w:rFonts w:hint="eastAsia" w:ascii="宋体" w:hAnsi="宋体" w:eastAsia="宋体" w:cs="宋体"/>
          <w:strike w:val="0"/>
          <w:color w:val="auto"/>
          <w:sz w:val="24"/>
          <w:szCs w:val="24"/>
          <w:highlight w:val="none"/>
        </w:rPr>
        <w:t>附表一：开标记录表</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1DAD7674">
      <w:pPr>
        <w:tabs>
          <w:tab w:val="left" w:pos="3317"/>
        </w:tabs>
        <w:kinsoku/>
        <w:topLinePunct/>
        <w:spacing w:before="234" w:line="360" w:lineRule="auto"/>
        <w:ind w:left="126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u w:val="single"/>
        </w:rPr>
        <w:tab/>
      </w:r>
      <w:r>
        <w:rPr>
          <w:rFonts w:hint="eastAsia" w:ascii="宋体" w:hAnsi="宋体" w:eastAsia="宋体" w:cs="宋体"/>
          <w:strike w:val="0"/>
          <w:color w:val="auto"/>
          <w:sz w:val="24"/>
          <w:szCs w:val="24"/>
          <w:highlight w:val="none"/>
          <w:u w:val="single"/>
          <w:lang w:eastAsia="zh-CN"/>
        </w:rPr>
        <w:t>（</w:t>
      </w:r>
      <w:r>
        <w:rPr>
          <w:rFonts w:hint="eastAsia" w:ascii="宋体" w:hAnsi="宋体" w:eastAsia="宋体" w:cs="宋体"/>
          <w:strike w:val="0"/>
          <w:color w:val="auto"/>
          <w:sz w:val="24"/>
          <w:szCs w:val="24"/>
          <w:highlight w:val="none"/>
        </w:rPr>
        <w:t>项目名称</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标段开标记录表</w:t>
      </w:r>
    </w:p>
    <w:p w14:paraId="2F3360A0">
      <w:pPr>
        <w:kinsoku/>
        <w:topLinePunct/>
        <w:spacing w:line="360" w:lineRule="auto"/>
        <w:jc w:val="both"/>
        <w:rPr>
          <w:rFonts w:hint="eastAsia" w:ascii="宋体" w:hAnsi="宋体" w:eastAsia="宋体" w:cs="宋体"/>
          <w:strike w:val="0"/>
          <w:color w:val="auto"/>
          <w:sz w:val="24"/>
          <w:szCs w:val="24"/>
          <w:highlight w:val="none"/>
        </w:rPr>
      </w:pPr>
    </w:p>
    <w:p w14:paraId="31C92331">
      <w:pPr>
        <w:kinsoku/>
        <w:topLinePunct/>
        <w:spacing w:line="360" w:lineRule="auto"/>
        <w:jc w:val="both"/>
        <w:rPr>
          <w:rFonts w:hint="eastAsia" w:ascii="宋体" w:hAnsi="宋体" w:eastAsia="宋体" w:cs="宋体"/>
          <w:strike w:val="0"/>
          <w:color w:val="auto"/>
          <w:sz w:val="24"/>
          <w:szCs w:val="24"/>
          <w:highlight w:val="none"/>
        </w:rPr>
      </w:pPr>
    </w:p>
    <w:p w14:paraId="7899EA6C">
      <w:pPr>
        <w:kinsoku/>
        <w:topLinePunct/>
        <w:spacing w:before="75" w:line="360" w:lineRule="auto"/>
        <w:ind w:left="72"/>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开标地点：</w:t>
      </w:r>
    </w:p>
    <w:p w14:paraId="6488EAD9">
      <w:pPr>
        <w:kinsoku/>
        <w:topLinePunct/>
        <w:spacing w:before="183" w:line="360" w:lineRule="auto"/>
        <w:ind w:left="72"/>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开标时间：  年   月  日   时   分</w:t>
      </w:r>
    </w:p>
    <w:p w14:paraId="609B1AA3">
      <w:pPr>
        <w:kinsoku/>
        <w:topLinePunct/>
        <w:spacing w:line="360" w:lineRule="auto"/>
        <w:jc w:val="both"/>
        <w:rPr>
          <w:rFonts w:hint="eastAsia" w:ascii="宋体" w:hAnsi="宋体" w:eastAsia="宋体" w:cs="宋体"/>
          <w:strike w:val="0"/>
          <w:color w:val="auto"/>
          <w:sz w:val="24"/>
          <w:szCs w:val="24"/>
          <w:highlight w:val="none"/>
        </w:rPr>
      </w:pPr>
    </w:p>
    <w:tbl>
      <w:tblPr>
        <w:tblStyle w:val="37"/>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966"/>
        <w:gridCol w:w="1424"/>
        <w:gridCol w:w="1535"/>
        <w:gridCol w:w="1462"/>
        <w:gridCol w:w="850"/>
      </w:tblGrid>
      <w:tr w14:paraId="243B1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8" w:hRule="atLeast"/>
        </w:trPr>
        <w:tc>
          <w:tcPr>
            <w:tcW w:w="710" w:type="dxa"/>
            <w:noWrap w:val="0"/>
            <w:vAlign w:val="center"/>
          </w:tcPr>
          <w:p w14:paraId="38309BF3">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序号</w:t>
            </w:r>
          </w:p>
        </w:tc>
        <w:tc>
          <w:tcPr>
            <w:tcW w:w="992" w:type="dxa"/>
            <w:noWrap w:val="0"/>
            <w:vAlign w:val="center"/>
          </w:tcPr>
          <w:p w14:paraId="49481E61">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投标人</w:t>
            </w:r>
          </w:p>
        </w:tc>
        <w:tc>
          <w:tcPr>
            <w:tcW w:w="1134" w:type="dxa"/>
            <w:noWrap w:val="0"/>
            <w:vAlign w:val="center"/>
          </w:tcPr>
          <w:p w14:paraId="4226D55E">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投标报价</w:t>
            </w:r>
          </w:p>
          <w:p w14:paraId="0A6CBEE6">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元</w:t>
            </w:r>
            <w:r>
              <w:rPr>
                <w:rFonts w:hint="eastAsia" w:ascii="宋体" w:hAnsi="宋体" w:eastAsia="宋体" w:cs="宋体"/>
                <w:strike w:val="0"/>
                <w:color w:val="auto"/>
                <w:sz w:val="24"/>
                <w:szCs w:val="24"/>
                <w:highlight w:val="none"/>
                <w:lang w:eastAsia="zh-CN"/>
              </w:rPr>
              <w:t>）</w:t>
            </w:r>
          </w:p>
        </w:tc>
        <w:tc>
          <w:tcPr>
            <w:tcW w:w="966" w:type="dxa"/>
            <w:noWrap w:val="0"/>
            <w:vAlign w:val="center"/>
          </w:tcPr>
          <w:p w14:paraId="78B5D9B1">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投标品牌</w:t>
            </w:r>
          </w:p>
        </w:tc>
        <w:tc>
          <w:tcPr>
            <w:tcW w:w="1424" w:type="dxa"/>
            <w:noWrap w:val="0"/>
            <w:vAlign w:val="center"/>
          </w:tcPr>
          <w:p w14:paraId="4F691182">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交货期</w:t>
            </w:r>
          </w:p>
        </w:tc>
        <w:tc>
          <w:tcPr>
            <w:tcW w:w="1535" w:type="dxa"/>
            <w:noWrap w:val="0"/>
            <w:vAlign w:val="center"/>
          </w:tcPr>
          <w:p w14:paraId="353551D4">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投标保证金缴纳情况</w:t>
            </w:r>
          </w:p>
        </w:tc>
        <w:tc>
          <w:tcPr>
            <w:tcW w:w="1462" w:type="dxa"/>
            <w:noWrap w:val="0"/>
            <w:vAlign w:val="center"/>
          </w:tcPr>
          <w:p w14:paraId="009C3E16">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投标人确认</w:t>
            </w:r>
          </w:p>
        </w:tc>
        <w:tc>
          <w:tcPr>
            <w:tcW w:w="850" w:type="dxa"/>
            <w:noWrap w:val="0"/>
            <w:vAlign w:val="center"/>
          </w:tcPr>
          <w:p w14:paraId="6862B63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备注</w:t>
            </w:r>
          </w:p>
        </w:tc>
      </w:tr>
      <w:tr w14:paraId="595FD6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center"/>
          </w:tcPr>
          <w:p w14:paraId="67F93B5E">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06B2B30F">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0C505EFB">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288B3049">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7E5E766A">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24EED326">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681A3ED9">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284A56B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0815F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noWrap w:val="0"/>
            <w:vAlign w:val="center"/>
          </w:tcPr>
          <w:p w14:paraId="5E23CCA4">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5FA00FA2">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50CC50C1">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611D92DF">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0AEFC64E">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00F58152">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25A05CF0">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25D921FB">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2E6021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noWrap w:val="0"/>
            <w:vAlign w:val="center"/>
          </w:tcPr>
          <w:p w14:paraId="28B67A0A">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628333FE">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53512F8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3886225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6E2CECEA">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38CC518D">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6E4B999B">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78AFCFCF">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5BBA3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center"/>
          </w:tcPr>
          <w:p w14:paraId="5AFBB7A7">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124E559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708AF9C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1DA15E8A">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23FBF420">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5A31EA33">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210F8A73">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76AC910D">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66D3DF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center"/>
          </w:tcPr>
          <w:p w14:paraId="48BC2EEF">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68543F51">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4882887D">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2A4355F9">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6AD10A2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1E3181D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46B3FA1E">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71051D3B">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768C06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noWrap w:val="0"/>
            <w:vAlign w:val="center"/>
          </w:tcPr>
          <w:p w14:paraId="5955E466">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296B5F5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2C3056E4">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4196BAF6">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5E4A9E53">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5C543121">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1613432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3B00E906">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41943A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noWrap w:val="0"/>
            <w:vAlign w:val="center"/>
          </w:tcPr>
          <w:p w14:paraId="645CD2A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3F8DE8B2">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0FB50E9B">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03C9C13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58B14FE9">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4AA9B262">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4FE31110">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320C76F6">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2279A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noWrap w:val="0"/>
            <w:vAlign w:val="center"/>
          </w:tcPr>
          <w:p w14:paraId="08CDAFAA">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4D58E12E">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7FE1EFA9">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4CCED25F">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437CF273">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736C3AC1">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66B3B54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66EF3CA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r w14:paraId="31B209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noWrap w:val="0"/>
            <w:vAlign w:val="center"/>
          </w:tcPr>
          <w:p w14:paraId="70E7563C">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92" w:type="dxa"/>
            <w:noWrap w:val="0"/>
            <w:vAlign w:val="center"/>
          </w:tcPr>
          <w:p w14:paraId="2B8ED07B">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134" w:type="dxa"/>
            <w:noWrap w:val="0"/>
            <w:vAlign w:val="center"/>
          </w:tcPr>
          <w:p w14:paraId="02136DD9">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966" w:type="dxa"/>
            <w:noWrap w:val="0"/>
            <w:vAlign w:val="center"/>
          </w:tcPr>
          <w:p w14:paraId="7BD923D5">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24" w:type="dxa"/>
            <w:noWrap w:val="0"/>
            <w:vAlign w:val="center"/>
          </w:tcPr>
          <w:p w14:paraId="7DD8FD74">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535" w:type="dxa"/>
            <w:noWrap w:val="0"/>
            <w:vAlign w:val="center"/>
          </w:tcPr>
          <w:p w14:paraId="37C55ACD">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1462" w:type="dxa"/>
            <w:noWrap w:val="0"/>
            <w:vAlign w:val="center"/>
          </w:tcPr>
          <w:p w14:paraId="72852AF1">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c>
          <w:tcPr>
            <w:tcW w:w="850" w:type="dxa"/>
            <w:noWrap w:val="0"/>
            <w:vAlign w:val="center"/>
          </w:tcPr>
          <w:p w14:paraId="60E85338">
            <w:pPr>
              <w:keepNext w:val="0"/>
              <w:keepLines w:val="0"/>
              <w:pageBreakBefore w:val="0"/>
              <w:widowControl/>
              <w:kinsoku/>
              <w:wordWrap/>
              <w:overflowPunct/>
              <w:topLinePunct/>
              <w:autoSpaceDE w:val="0"/>
              <w:autoSpaceDN w:val="0"/>
              <w:bidi w:val="0"/>
              <w:adjustRightInd w:val="0"/>
              <w:snapToGrid w:val="0"/>
              <w:spacing w:line="320" w:lineRule="exact"/>
              <w:ind w:left="0" w:right="0" w:firstLine="0"/>
              <w:jc w:val="center"/>
              <w:textAlignment w:val="baseline"/>
              <w:rPr>
                <w:rFonts w:hint="eastAsia" w:ascii="宋体" w:hAnsi="宋体" w:eastAsia="宋体" w:cs="宋体"/>
                <w:strike w:val="0"/>
                <w:color w:val="auto"/>
                <w:sz w:val="24"/>
                <w:szCs w:val="24"/>
                <w:highlight w:val="none"/>
              </w:rPr>
            </w:pPr>
          </w:p>
        </w:tc>
      </w:tr>
    </w:tbl>
    <w:p w14:paraId="41D16C06">
      <w:pPr>
        <w:kinsoku/>
        <w:topLinePunct/>
        <w:spacing w:line="360" w:lineRule="auto"/>
        <w:jc w:val="both"/>
        <w:rPr>
          <w:rFonts w:hint="eastAsia" w:ascii="宋体" w:hAnsi="宋体" w:eastAsia="宋体" w:cs="宋体"/>
          <w:strike w:val="0"/>
          <w:color w:val="auto"/>
          <w:sz w:val="24"/>
          <w:szCs w:val="24"/>
          <w:highlight w:val="none"/>
        </w:rPr>
      </w:pPr>
    </w:p>
    <w:p w14:paraId="62817BA6">
      <w:pPr>
        <w:kinsoku/>
        <w:topLinePunct/>
        <w:spacing w:line="360" w:lineRule="auto"/>
        <w:jc w:val="both"/>
        <w:rPr>
          <w:rFonts w:hint="eastAsia" w:ascii="宋体" w:hAnsi="宋体" w:eastAsia="宋体" w:cs="宋体"/>
          <w:strike w:val="0"/>
          <w:color w:val="auto"/>
          <w:sz w:val="24"/>
          <w:szCs w:val="24"/>
          <w:highlight w:val="none"/>
        </w:rPr>
      </w:pPr>
    </w:p>
    <w:p w14:paraId="7C4FC341">
      <w:pPr>
        <w:tabs>
          <w:tab w:val="left" w:pos="6520"/>
        </w:tabs>
        <w:kinsoku/>
        <w:topLinePunct/>
        <w:spacing w:before="75" w:line="360" w:lineRule="auto"/>
        <w:ind w:left="5429" w:hanging="5357"/>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招标人代表：</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记录人：</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监标人：</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u w:val="single"/>
          <w:lang w:val="en-US" w:eastAsia="zh-CN"/>
        </w:rPr>
        <w:t xml:space="preserve">              </w:t>
      </w:r>
      <w:r>
        <w:rPr>
          <w:rFonts w:hint="eastAsia" w:ascii="宋体" w:hAnsi="宋体" w:eastAsia="宋体" w:cs="宋体"/>
          <w:strike w:val="0"/>
          <w:color w:val="auto"/>
          <w:sz w:val="24"/>
          <w:szCs w:val="24"/>
          <w:highlight w:val="none"/>
          <w:u w:val="single"/>
        </w:rPr>
        <w:t xml:space="preserve">  </w:t>
      </w:r>
    </w:p>
    <w:p w14:paraId="134BB59C">
      <w:pPr>
        <w:tabs>
          <w:tab w:val="left" w:pos="6520"/>
        </w:tabs>
        <w:kinsoku/>
        <w:topLinePunct/>
        <w:spacing w:before="75" w:line="360" w:lineRule="auto"/>
        <w:ind w:left="5429" w:hanging="5357"/>
        <w:jc w:val="right"/>
        <w:rPr>
          <w:rFonts w:hint="eastAsia" w:ascii="宋体" w:hAnsi="宋体" w:eastAsia="宋体" w:cs="宋体"/>
          <w:strike/>
          <w:color w:val="auto"/>
          <w:sz w:val="24"/>
          <w:szCs w:val="24"/>
          <w:highlight w:val="none"/>
        </w:rPr>
      </w:pP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年</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月</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日</w:t>
      </w:r>
    </w:p>
    <w:p w14:paraId="01888A69">
      <w:pPr>
        <w:kinsoku/>
        <w:topLinePunct/>
        <w:spacing w:before="91" w:line="360" w:lineRule="auto"/>
        <w:ind w:left="312"/>
        <w:jc w:val="both"/>
        <w:outlineLvl w:val="1"/>
        <w:rPr>
          <w:rFonts w:hint="eastAsia" w:ascii="宋体" w:hAnsi="宋体" w:eastAsia="宋体" w:cs="宋体"/>
          <w:color w:val="auto"/>
          <w:sz w:val="24"/>
          <w:szCs w:val="24"/>
          <w:highlight w:val="none"/>
        </w:rPr>
      </w:pPr>
      <w:bookmarkStart w:id="220" w:name="_bookmark6"/>
      <w:bookmarkEnd w:id="220"/>
      <w:bookmarkStart w:id="221" w:name="_Toc9048"/>
      <w:bookmarkStart w:id="222" w:name="_Toc9639"/>
      <w:bookmarkStart w:id="223" w:name="_Toc14786"/>
      <w:bookmarkStart w:id="224" w:name="_Toc22353"/>
      <w:bookmarkStart w:id="225" w:name="_Toc208"/>
      <w:bookmarkStart w:id="226" w:name="_Toc7021"/>
      <w:bookmarkStart w:id="227" w:name="_Toc24745"/>
      <w:bookmarkStart w:id="228" w:name="_Toc11844"/>
      <w:bookmarkStart w:id="229" w:name="_Toc26115"/>
      <w:bookmarkStart w:id="230" w:name="_Toc9666"/>
      <w:bookmarkStart w:id="231" w:name="_Toc11098"/>
      <w:bookmarkStart w:id="232" w:name="_Toc24562"/>
      <w:bookmarkStart w:id="233" w:name="_Toc2153"/>
      <w:bookmarkStart w:id="234" w:name="_Toc22952"/>
      <w:bookmarkStart w:id="235" w:name="_Toc4822"/>
      <w:bookmarkStart w:id="236" w:name="_Toc1874"/>
      <w:bookmarkStart w:id="237" w:name="_Toc5128"/>
      <w:r>
        <w:rPr>
          <w:rFonts w:hint="eastAsia" w:ascii="宋体" w:hAnsi="宋体" w:eastAsia="宋体" w:cs="宋体"/>
          <w:color w:val="auto"/>
          <w:sz w:val="24"/>
          <w:szCs w:val="24"/>
          <w:highlight w:val="none"/>
        </w:rPr>
        <w:br w:type="page"/>
      </w:r>
      <w:bookmarkStart w:id="238" w:name="_Toc8632"/>
      <w:bookmarkStart w:id="239" w:name="_Toc18505"/>
      <w:bookmarkStart w:id="240" w:name="_Toc4321"/>
      <w:bookmarkStart w:id="241" w:name="_Toc3815"/>
      <w:bookmarkStart w:id="242" w:name="_Toc18066"/>
      <w:bookmarkStart w:id="243" w:name="_Toc6737"/>
      <w:r>
        <w:rPr>
          <w:rFonts w:hint="eastAsia" w:ascii="宋体" w:hAnsi="宋体" w:eastAsia="宋体" w:cs="宋体"/>
          <w:color w:val="auto"/>
          <w:sz w:val="24"/>
          <w:szCs w:val="24"/>
          <w:highlight w:val="none"/>
        </w:rPr>
        <w:t>附表二：问题澄清通知</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0023022B">
      <w:pPr>
        <w:kinsoku/>
        <w:topLinePunct/>
        <w:spacing w:line="360" w:lineRule="auto"/>
        <w:jc w:val="both"/>
        <w:rPr>
          <w:rFonts w:hint="eastAsia" w:ascii="宋体" w:hAnsi="宋体" w:eastAsia="宋体" w:cs="宋体"/>
          <w:color w:val="auto"/>
          <w:sz w:val="24"/>
          <w:szCs w:val="24"/>
          <w:highlight w:val="none"/>
        </w:rPr>
      </w:pPr>
    </w:p>
    <w:p w14:paraId="64A79577">
      <w:pPr>
        <w:keepNext w:val="0"/>
        <w:keepLines w:val="0"/>
        <w:pageBreakBefore w:val="0"/>
        <w:widowControl/>
        <w:kinsoku/>
        <w:wordWrap/>
        <w:overflowPunct/>
        <w:topLinePunct/>
        <w:autoSpaceDE w:val="0"/>
        <w:autoSpaceDN w:val="0"/>
        <w:bidi w:val="0"/>
        <w:adjustRightInd w:val="0"/>
        <w:snapToGrid w:val="0"/>
        <w:spacing w:line="360" w:lineRule="auto"/>
        <w:ind w:left="0"/>
        <w:jc w:val="center"/>
        <w:textAlignment w:val="baseline"/>
        <w:rPr>
          <w:rFonts w:hint="eastAsia" w:ascii="黑体" w:hAnsi="黑体" w:eastAsia="黑体" w:cs="黑体"/>
          <w:color w:val="auto"/>
          <w:sz w:val="28"/>
          <w:szCs w:val="28"/>
          <w:highlight w:val="none"/>
        </w:rPr>
      </w:pPr>
    </w:p>
    <w:p w14:paraId="1318D144">
      <w:pPr>
        <w:keepNext w:val="0"/>
        <w:keepLines w:val="0"/>
        <w:pageBreakBefore w:val="0"/>
        <w:widowControl/>
        <w:kinsoku/>
        <w:wordWrap/>
        <w:overflowPunct/>
        <w:topLinePunct/>
        <w:autoSpaceDE w:val="0"/>
        <w:autoSpaceDN w:val="0"/>
        <w:bidi w:val="0"/>
        <w:adjustRightInd w:val="0"/>
        <w:snapToGrid w:val="0"/>
        <w:spacing w:before="91" w:line="360" w:lineRule="auto"/>
        <w:ind w:left="0"/>
        <w:jc w:val="center"/>
        <w:textAlignment w:val="baseline"/>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问题澄清通知</w:t>
      </w:r>
    </w:p>
    <w:p w14:paraId="275C7AFB">
      <w:pPr>
        <w:tabs>
          <w:tab w:val="left" w:pos="1558"/>
        </w:tabs>
        <w:kinsoku/>
        <w:topLinePunct/>
        <w:spacing w:before="226" w:line="360" w:lineRule="auto"/>
        <w:ind w:right="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0B75A6FC">
      <w:pPr>
        <w:keepNext w:val="0"/>
        <w:keepLines w:val="0"/>
        <w:pageBreakBefore w:val="0"/>
        <w:widowControl/>
        <w:kinsoku/>
        <w:wordWrap/>
        <w:overflowPunct/>
        <w:topLinePunct/>
        <w:autoSpaceDE w:val="0"/>
        <w:autoSpaceDN w:val="0"/>
        <w:bidi w:val="0"/>
        <w:adjustRightInd w:val="0"/>
        <w:snapToGrid w:val="0"/>
        <w:spacing w:line="360" w:lineRule="auto"/>
        <w:ind w:left="0"/>
        <w:jc w:val="center"/>
        <w:textAlignment w:val="baseline"/>
        <w:rPr>
          <w:rFonts w:hint="eastAsia" w:ascii="黑体" w:hAnsi="黑体" w:eastAsia="黑体" w:cs="黑体"/>
          <w:color w:val="auto"/>
          <w:sz w:val="28"/>
          <w:szCs w:val="28"/>
          <w:highlight w:val="none"/>
        </w:rPr>
      </w:pPr>
    </w:p>
    <w:p w14:paraId="383EEBE0">
      <w:pPr>
        <w:kinsoku/>
        <w:topLinePunct/>
        <w:spacing w:line="360" w:lineRule="auto"/>
        <w:jc w:val="both"/>
        <w:rPr>
          <w:rFonts w:hint="eastAsia" w:ascii="宋体" w:hAnsi="宋体" w:eastAsia="宋体" w:cs="宋体"/>
          <w:color w:val="auto"/>
          <w:sz w:val="24"/>
          <w:szCs w:val="24"/>
          <w:highlight w:val="none"/>
        </w:rPr>
      </w:pPr>
    </w:p>
    <w:p w14:paraId="4F9B0D62">
      <w:pPr>
        <w:tabs>
          <w:tab w:val="left" w:pos="1978"/>
        </w:tabs>
        <w:kinsoku/>
        <w:topLinePunct/>
        <w:spacing w:before="91"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C1B9378">
      <w:pPr>
        <w:tabs>
          <w:tab w:val="left" w:pos="1558"/>
        </w:tabs>
        <w:kinsoku/>
        <w:topLinePunct/>
        <w:spacing w:before="226" w:line="360"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标段招标的评标委员会，对你方的投标文件进行了仔细的审查，现需你方对下列问题以书面形式予以澄清：</w:t>
      </w:r>
    </w:p>
    <w:p w14:paraId="3AE2548F">
      <w:pPr>
        <w:kinsoku/>
        <w:topLinePunct/>
        <w:spacing w:before="18" w:line="360" w:lineRule="auto"/>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7A98B48A">
      <w:pPr>
        <w:kinsoku/>
        <w:topLinePunct/>
        <w:spacing w:line="360"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22168003">
      <w:pPr>
        <w:kinsoku/>
        <w:topLinePunct/>
        <w:spacing w:before="232" w:line="360" w:lineRule="auto"/>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276791B2">
      <w:pPr>
        <w:kinsoku/>
        <w:topLinePunct/>
        <w:spacing w:before="116" w:line="360"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2DED5529">
      <w:pPr>
        <w:kinsoku/>
        <w:topLinePunct/>
        <w:spacing w:line="360" w:lineRule="auto"/>
        <w:jc w:val="both"/>
        <w:rPr>
          <w:rFonts w:hint="eastAsia" w:ascii="宋体" w:hAnsi="宋体" w:eastAsia="宋体" w:cs="宋体"/>
          <w:color w:val="auto"/>
          <w:sz w:val="24"/>
          <w:szCs w:val="24"/>
          <w:highlight w:val="none"/>
        </w:rPr>
      </w:pPr>
    </w:p>
    <w:p w14:paraId="77398F9D">
      <w:pPr>
        <w:kinsoku/>
        <w:topLinePunct/>
        <w:spacing w:line="360" w:lineRule="auto"/>
        <w:jc w:val="both"/>
        <w:rPr>
          <w:rFonts w:hint="eastAsia" w:ascii="宋体" w:hAnsi="宋体" w:eastAsia="宋体" w:cs="宋体"/>
          <w:color w:val="auto"/>
          <w:sz w:val="24"/>
          <w:szCs w:val="24"/>
          <w:highlight w:val="none"/>
        </w:rPr>
      </w:pPr>
    </w:p>
    <w:p w14:paraId="44AA9DEE">
      <w:pPr>
        <w:kinsoku/>
        <w:topLinePunct/>
        <w:spacing w:line="360" w:lineRule="auto"/>
        <w:jc w:val="both"/>
        <w:rPr>
          <w:rFonts w:hint="eastAsia" w:ascii="宋体" w:hAnsi="宋体" w:eastAsia="宋体" w:cs="宋体"/>
          <w:color w:val="auto"/>
          <w:sz w:val="24"/>
          <w:szCs w:val="24"/>
          <w:highlight w:val="none"/>
        </w:rPr>
      </w:pPr>
    </w:p>
    <w:p w14:paraId="1BB387EB">
      <w:pPr>
        <w:kinsoku/>
        <w:topLinePunct/>
        <w:spacing w:line="360" w:lineRule="auto"/>
        <w:jc w:val="both"/>
        <w:rPr>
          <w:rFonts w:hint="eastAsia" w:ascii="宋体" w:hAnsi="宋体" w:eastAsia="宋体" w:cs="宋体"/>
          <w:color w:val="auto"/>
          <w:sz w:val="24"/>
          <w:szCs w:val="24"/>
          <w:highlight w:val="none"/>
        </w:rPr>
      </w:pPr>
    </w:p>
    <w:p w14:paraId="1CCFECF7">
      <w:pPr>
        <w:tabs>
          <w:tab w:val="left" w:pos="6922"/>
        </w:tabs>
        <w:kinsoku/>
        <w:topLinePunct/>
        <w:spacing w:before="91" w:line="360"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p>
    <w:p w14:paraId="500281BC">
      <w:pPr>
        <w:tabs>
          <w:tab w:val="left" w:pos="6922"/>
        </w:tabs>
        <w:kinsoku/>
        <w:topLinePunct/>
        <w:spacing w:before="91" w:line="360" w:lineRule="auto"/>
        <w:ind w:left="105" w:leftChars="50" w:firstLine="120"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5F1CF41">
      <w:pPr>
        <w:kinsoku/>
        <w:topLinePunct/>
        <w:spacing w:line="360" w:lineRule="auto"/>
        <w:jc w:val="both"/>
        <w:rPr>
          <w:rFonts w:hint="eastAsia" w:ascii="宋体" w:hAnsi="宋体" w:eastAsia="宋体" w:cs="宋体"/>
          <w:color w:val="auto"/>
          <w:sz w:val="24"/>
          <w:szCs w:val="24"/>
          <w:highlight w:val="none"/>
        </w:rPr>
        <w:sectPr>
          <w:footerReference r:id="rId5" w:type="default"/>
          <w:pgSz w:w="11906" w:h="16839"/>
          <w:pgMar w:top="1418" w:right="1474" w:bottom="1418" w:left="1474" w:header="0" w:footer="1035" w:gutter="0"/>
          <w:pgNumType w:fmt="decimal" w:start="1"/>
          <w:cols w:space="720" w:num="1"/>
        </w:sectPr>
      </w:pPr>
    </w:p>
    <w:p w14:paraId="4E5ECB13">
      <w:pPr>
        <w:kinsoku/>
        <w:topLinePunct/>
        <w:spacing w:before="157" w:line="360" w:lineRule="auto"/>
        <w:ind w:left="314"/>
        <w:jc w:val="both"/>
        <w:outlineLvl w:val="1"/>
        <w:rPr>
          <w:rFonts w:hint="eastAsia" w:ascii="宋体" w:hAnsi="宋体" w:eastAsia="宋体" w:cs="宋体"/>
          <w:color w:val="auto"/>
          <w:sz w:val="24"/>
          <w:szCs w:val="24"/>
          <w:highlight w:val="none"/>
        </w:rPr>
      </w:pPr>
      <w:bookmarkStart w:id="244" w:name="_bookmark7"/>
      <w:bookmarkEnd w:id="244"/>
      <w:bookmarkStart w:id="245" w:name="_Toc27907"/>
      <w:bookmarkStart w:id="246" w:name="_Toc16254"/>
      <w:bookmarkStart w:id="247" w:name="_Toc9190"/>
      <w:bookmarkStart w:id="248" w:name="_Toc13035"/>
      <w:bookmarkStart w:id="249" w:name="_Toc891"/>
      <w:bookmarkStart w:id="250" w:name="_Toc15802"/>
      <w:bookmarkStart w:id="251" w:name="_Toc5203"/>
      <w:bookmarkStart w:id="252" w:name="_Toc2274"/>
      <w:bookmarkStart w:id="253" w:name="_Toc21482"/>
      <w:bookmarkStart w:id="254" w:name="_Toc2716"/>
      <w:bookmarkStart w:id="255" w:name="_Toc5078"/>
      <w:bookmarkStart w:id="256" w:name="_Toc12619"/>
      <w:bookmarkStart w:id="257" w:name="_Toc17252"/>
      <w:bookmarkStart w:id="258" w:name="_Toc28907"/>
      <w:bookmarkStart w:id="259" w:name="_Toc17872"/>
      <w:bookmarkStart w:id="260" w:name="_Toc26225"/>
      <w:bookmarkStart w:id="261" w:name="_Toc8364"/>
      <w:bookmarkStart w:id="262" w:name="_Toc11456"/>
      <w:bookmarkStart w:id="263" w:name="_Toc16728"/>
      <w:bookmarkStart w:id="264" w:name="_Toc12285"/>
      <w:bookmarkStart w:id="265" w:name="_Toc23998"/>
      <w:bookmarkStart w:id="266" w:name="_Toc333"/>
      <w:bookmarkStart w:id="267" w:name="_Toc31453"/>
      <w:r>
        <w:rPr>
          <w:rFonts w:hint="eastAsia" w:ascii="宋体" w:hAnsi="宋体" w:eastAsia="宋体" w:cs="宋体"/>
          <w:color w:val="auto"/>
          <w:sz w:val="24"/>
          <w:szCs w:val="24"/>
          <w:highlight w:val="none"/>
        </w:rPr>
        <w:t>附表三：问题的澄清</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0B0DEAF0">
      <w:pPr>
        <w:kinsoku/>
        <w:topLinePunct/>
        <w:spacing w:line="360" w:lineRule="auto"/>
        <w:jc w:val="both"/>
        <w:rPr>
          <w:rFonts w:hint="eastAsia" w:ascii="宋体" w:hAnsi="宋体" w:eastAsia="宋体" w:cs="宋体"/>
          <w:color w:val="auto"/>
          <w:sz w:val="24"/>
          <w:szCs w:val="24"/>
          <w:highlight w:val="none"/>
        </w:rPr>
      </w:pPr>
    </w:p>
    <w:p w14:paraId="12AF9BFC">
      <w:pPr>
        <w:kinsoku/>
        <w:topLinePunct/>
        <w:spacing w:line="360" w:lineRule="auto"/>
        <w:jc w:val="both"/>
        <w:rPr>
          <w:rFonts w:hint="eastAsia" w:ascii="宋体" w:hAnsi="宋体" w:eastAsia="宋体" w:cs="宋体"/>
          <w:color w:val="auto"/>
          <w:sz w:val="24"/>
          <w:szCs w:val="24"/>
          <w:highlight w:val="none"/>
        </w:rPr>
      </w:pPr>
    </w:p>
    <w:p w14:paraId="4771D4E5">
      <w:pPr>
        <w:kinsoku/>
        <w:topLinePunct/>
        <w:spacing w:line="360" w:lineRule="auto"/>
        <w:jc w:val="both"/>
        <w:rPr>
          <w:rFonts w:hint="eastAsia" w:ascii="宋体" w:hAnsi="宋体" w:eastAsia="宋体" w:cs="宋体"/>
          <w:color w:val="auto"/>
          <w:sz w:val="24"/>
          <w:szCs w:val="24"/>
          <w:highlight w:val="none"/>
        </w:rPr>
      </w:pPr>
    </w:p>
    <w:p w14:paraId="3774078D">
      <w:pPr>
        <w:keepNext w:val="0"/>
        <w:keepLines w:val="0"/>
        <w:pageBreakBefore w:val="0"/>
        <w:widowControl/>
        <w:kinsoku/>
        <w:wordWrap/>
        <w:overflowPunct/>
        <w:topLinePunct/>
        <w:autoSpaceDE w:val="0"/>
        <w:autoSpaceDN w:val="0"/>
        <w:bidi w:val="0"/>
        <w:adjustRightInd w:val="0"/>
        <w:snapToGrid w:val="0"/>
        <w:spacing w:before="91" w:line="360" w:lineRule="auto"/>
        <w:ind w:left="0"/>
        <w:jc w:val="center"/>
        <w:textAlignment w:val="baseline"/>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问题的澄清</w:t>
      </w:r>
    </w:p>
    <w:p w14:paraId="57480335">
      <w:pPr>
        <w:tabs>
          <w:tab w:val="left" w:pos="1558"/>
        </w:tabs>
        <w:kinsoku/>
        <w:topLinePunct/>
        <w:spacing w:before="226" w:line="360" w:lineRule="auto"/>
        <w:ind w:right="72"/>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0333EFFC">
      <w:pPr>
        <w:tabs>
          <w:tab w:val="left" w:pos="761"/>
        </w:tabs>
        <w:kinsoku/>
        <w:topLinePunct/>
        <w:spacing w:line="360" w:lineRule="auto"/>
        <w:ind w:firstLine="120" w:firstLineChars="50"/>
        <w:jc w:val="both"/>
        <w:rPr>
          <w:rFonts w:hint="eastAsia" w:ascii="宋体" w:hAnsi="宋体" w:eastAsia="宋体" w:cs="宋体"/>
          <w:color w:val="auto"/>
          <w:sz w:val="24"/>
          <w:szCs w:val="24"/>
          <w:highlight w:val="none"/>
          <w:u w:val="single"/>
        </w:rPr>
      </w:pPr>
    </w:p>
    <w:p w14:paraId="6F3E92F5">
      <w:pPr>
        <w:tabs>
          <w:tab w:val="left" w:pos="761"/>
        </w:tabs>
        <w:kinsoku/>
        <w:topLinePunct/>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标段招标评标委员会：</w:t>
      </w:r>
    </w:p>
    <w:p w14:paraId="04748625">
      <w:pPr>
        <w:kinsoku/>
        <w:topLinePunct/>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已收悉，现澄清如下：</w:t>
      </w:r>
    </w:p>
    <w:p w14:paraId="3BE0DCC4">
      <w:pPr>
        <w:kinsoku/>
        <w:topLinePunct/>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408A405D">
      <w:pPr>
        <w:kinsoku/>
        <w:topLinePunct/>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01859A23">
      <w:pPr>
        <w:kinsoku/>
        <w:topLinePunct/>
        <w:spacing w:before="234" w:line="360" w:lineRule="auto"/>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728C8E6F">
      <w:pPr>
        <w:kinsoku/>
        <w:topLinePunct/>
        <w:spacing w:line="360" w:lineRule="auto"/>
        <w:jc w:val="both"/>
        <w:rPr>
          <w:rFonts w:hint="eastAsia" w:ascii="宋体" w:hAnsi="宋体" w:eastAsia="宋体" w:cs="宋体"/>
          <w:color w:val="auto"/>
          <w:sz w:val="24"/>
          <w:szCs w:val="24"/>
          <w:highlight w:val="none"/>
        </w:rPr>
      </w:pPr>
    </w:p>
    <w:p w14:paraId="7AB117FB">
      <w:pPr>
        <w:kinsoku/>
        <w:topLinePunct/>
        <w:spacing w:line="360" w:lineRule="auto"/>
        <w:jc w:val="both"/>
        <w:rPr>
          <w:rFonts w:hint="eastAsia" w:ascii="宋体" w:hAnsi="宋体" w:eastAsia="宋体" w:cs="宋体"/>
          <w:color w:val="auto"/>
          <w:sz w:val="24"/>
          <w:szCs w:val="24"/>
          <w:highlight w:val="none"/>
        </w:rPr>
      </w:pPr>
    </w:p>
    <w:p w14:paraId="1EB3C346">
      <w:pPr>
        <w:kinsoku/>
        <w:topLinePunct/>
        <w:spacing w:line="360" w:lineRule="auto"/>
        <w:jc w:val="both"/>
        <w:rPr>
          <w:rFonts w:hint="eastAsia" w:ascii="宋体" w:hAnsi="宋体" w:eastAsia="宋体" w:cs="宋体"/>
          <w:color w:val="auto"/>
          <w:sz w:val="24"/>
          <w:szCs w:val="24"/>
          <w:highlight w:val="none"/>
        </w:rPr>
      </w:pPr>
    </w:p>
    <w:p w14:paraId="0DBCD361">
      <w:pPr>
        <w:kinsoku/>
        <w:topLinePunct/>
        <w:spacing w:line="360" w:lineRule="auto"/>
        <w:jc w:val="both"/>
        <w:rPr>
          <w:rFonts w:hint="eastAsia" w:ascii="宋体" w:hAnsi="宋体" w:eastAsia="宋体" w:cs="宋体"/>
          <w:color w:val="auto"/>
          <w:sz w:val="24"/>
          <w:szCs w:val="24"/>
          <w:highlight w:val="none"/>
        </w:rPr>
      </w:pPr>
    </w:p>
    <w:p w14:paraId="1DB41F08">
      <w:pPr>
        <w:kinsoku/>
        <w:topLinePunct/>
        <w:spacing w:line="360" w:lineRule="auto"/>
        <w:jc w:val="both"/>
        <w:rPr>
          <w:rFonts w:hint="eastAsia" w:ascii="宋体" w:hAnsi="宋体" w:eastAsia="宋体" w:cs="宋体"/>
          <w:color w:val="auto"/>
          <w:sz w:val="24"/>
          <w:szCs w:val="24"/>
          <w:highlight w:val="none"/>
        </w:rPr>
      </w:pPr>
    </w:p>
    <w:p w14:paraId="6B896A5F">
      <w:pPr>
        <w:kinsoku/>
        <w:topLinePunct/>
        <w:spacing w:line="360" w:lineRule="auto"/>
        <w:jc w:val="both"/>
        <w:rPr>
          <w:rFonts w:hint="eastAsia" w:ascii="宋体" w:hAnsi="宋体" w:eastAsia="宋体" w:cs="宋体"/>
          <w:color w:val="auto"/>
          <w:sz w:val="24"/>
          <w:szCs w:val="24"/>
          <w:highlight w:val="none"/>
        </w:rPr>
      </w:pPr>
    </w:p>
    <w:p w14:paraId="4B520EB5">
      <w:pPr>
        <w:kinsoku/>
        <w:topLinePunct/>
        <w:spacing w:line="360" w:lineRule="auto"/>
        <w:jc w:val="both"/>
        <w:rPr>
          <w:rFonts w:hint="eastAsia" w:ascii="宋体" w:hAnsi="宋体" w:eastAsia="宋体" w:cs="宋体"/>
          <w:color w:val="auto"/>
          <w:sz w:val="24"/>
          <w:szCs w:val="24"/>
          <w:highlight w:val="none"/>
        </w:rPr>
      </w:pPr>
    </w:p>
    <w:p w14:paraId="3E9FAA58">
      <w:pPr>
        <w:kinsoku/>
        <w:topLinePunct/>
        <w:spacing w:line="360" w:lineRule="auto"/>
        <w:jc w:val="both"/>
        <w:rPr>
          <w:rFonts w:hint="eastAsia" w:ascii="宋体" w:hAnsi="宋体" w:eastAsia="宋体" w:cs="宋体"/>
          <w:color w:val="auto"/>
          <w:sz w:val="24"/>
          <w:szCs w:val="24"/>
          <w:highlight w:val="none"/>
        </w:rPr>
      </w:pPr>
    </w:p>
    <w:p w14:paraId="3D0E0712">
      <w:pPr>
        <w:kinsoku/>
        <w:topLinePunct/>
        <w:spacing w:line="360" w:lineRule="auto"/>
        <w:jc w:val="both"/>
        <w:rPr>
          <w:rFonts w:hint="eastAsia" w:ascii="宋体" w:hAnsi="宋体" w:eastAsia="宋体" w:cs="宋体"/>
          <w:color w:val="auto"/>
          <w:sz w:val="24"/>
          <w:szCs w:val="24"/>
          <w:highlight w:val="none"/>
        </w:rPr>
      </w:pPr>
    </w:p>
    <w:p w14:paraId="24C03713">
      <w:pPr>
        <w:kinsoku/>
        <w:topLinePunct/>
        <w:spacing w:before="92" w:line="360"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盖章</w:t>
      </w:r>
      <w:r>
        <w:rPr>
          <w:rFonts w:hint="eastAsia" w:ascii="宋体" w:hAnsi="宋体" w:eastAsia="宋体" w:cs="宋体"/>
          <w:color w:val="auto"/>
          <w:sz w:val="24"/>
          <w:szCs w:val="24"/>
          <w:highlight w:val="none"/>
          <w:lang w:eastAsia="zh-CN"/>
        </w:rPr>
        <w:t>）</w:t>
      </w:r>
    </w:p>
    <w:p w14:paraId="3C6C5FC8">
      <w:pPr>
        <w:kinsoku/>
        <w:topLinePunct/>
        <w:spacing w:before="92" w:line="360"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p>
    <w:p w14:paraId="7AAD5074">
      <w:pPr>
        <w:kinsoku/>
        <w:topLinePunct/>
        <w:spacing w:before="92" w:line="360" w:lineRule="auto"/>
        <w:ind w:left="115"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13C31BC3">
      <w:pPr>
        <w:kinsoku/>
        <w:topLinePunct/>
        <w:spacing w:line="360" w:lineRule="auto"/>
        <w:jc w:val="both"/>
        <w:rPr>
          <w:rFonts w:hint="eastAsia" w:ascii="宋体" w:hAnsi="宋体" w:eastAsia="宋体" w:cs="宋体"/>
          <w:color w:val="auto"/>
          <w:sz w:val="24"/>
          <w:szCs w:val="24"/>
          <w:highlight w:val="none"/>
        </w:rPr>
        <w:sectPr>
          <w:pgSz w:w="11906" w:h="16839"/>
          <w:pgMar w:top="1418" w:right="1559" w:bottom="1418" w:left="1474" w:header="0" w:footer="1035" w:gutter="0"/>
          <w:pgNumType w:fmt="decimal"/>
          <w:cols w:space="720" w:num="1"/>
        </w:sectPr>
      </w:pPr>
    </w:p>
    <w:p w14:paraId="2E680DED">
      <w:pPr>
        <w:kinsoku/>
        <w:topLinePunct/>
        <w:spacing w:before="91" w:line="360" w:lineRule="auto"/>
        <w:jc w:val="both"/>
        <w:outlineLvl w:val="1"/>
        <w:rPr>
          <w:rFonts w:hint="eastAsia" w:ascii="宋体" w:hAnsi="宋体" w:eastAsia="宋体" w:cs="宋体"/>
          <w:strike w:val="0"/>
          <w:color w:val="auto"/>
          <w:sz w:val="24"/>
          <w:szCs w:val="24"/>
          <w:highlight w:val="none"/>
        </w:rPr>
      </w:pPr>
      <w:bookmarkStart w:id="268" w:name="_bookmark8"/>
      <w:bookmarkEnd w:id="268"/>
      <w:bookmarkStart w:id="269" w:name="_Toc7664"/>
      <w:bookmarkStart w:id="270" w:name="_Toc25200"/>
      <w:bookmarkStart w:id="271" w:name="_Toc24467"/>
      <w:bookmarkStart w:id="272" w:name="_Toc30066"/>
      <w:bookmarkStart w:id="273" w:name="_Toc8763"/>
      <w:bookmarkStart w:id="274" w:name="_Toc9735"/>
      <w:bookmarkStart w:id="275" w:name="_Toc28938"/>
      <w:bookmarkStart w:id="276" w:name="_Toc31373"/>
      <w:bookmarkStart w:id="277" w:name="_Toc9240"/>
      <w:bookmarkStart w:id="278" w:name="_Toc27496"/>
      <w:bookmarkStart w:id="279" w:name="_Toc13517"/>
      <w:bookmarkStart w:id="280" w:name="_Toc25554"/>
      <w:bookmarkStart w:id="281" w:name="_Toc19085"/>
      <w:bookmarkStart w:id="282" w:name="_Toc29299"/>
      <w:bookmarkStart w:id="283" w:name="_Toc30763"/>
      <w:bookmarkStart w:id="284" w:name="_Toc20753"/>
      <w:bookmarkStart w:id="285" w:name="_Toc1703"/>
      <w:bookmarkStart w:id="286" w:name="_Toc20068"/>
      <w:bookmarkStart w:id="287" w:name="_Toc27536"/>
      <w:bookmarkStart w:id="288" w:name="_Toc17642"/>
      <w:bookmarkStart w:id="289" w:name="_Toc15075"/>
      <w:bookmarkStart w:id="290" w:name="_Toc11623"/>
      <w:bookmarkStart w:id="291" w:name="_Toc14893"/>
      <w:r>
        <w:rPr>
          <w:rFonts w:hint="eastAsia" w:ascii="宋体" w:hAnsi="宋体" w:eastAsia="宋体" w:cs="宋体"/>
          <w:strike w:val="0"/>
          <w:color w:val="auto"/>
          <w:sz w:val="24"/>
          <w:szCs w:val="24"/>
          <w:highlight w:val="none"/>
        </w:rPr>
        <w:t>附表四：中标通知书</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563B3F3F">
      <w:pPr>
        <w:keepNext w:val="0"/>
        <w:keepLines w:val="0"/>
        <w:pageBreakBefore w:val="0"/>
        <w:widowControl/>
        <w:kinsoku/>
        <w:wordWrap/>
        <w:overflowPunct/>
        <w:topLinePunct/>
        <w:autoSpaceDE w:val="0"/>
        <w:autoSpaceDN w:val="0"/>
        <w:bidi w:val="0"/>
        <w:adjustRightInd w:val="0"/>
        <w:snapToGrid w:val="0"/>
        <w:spacing w:before="91" w:line="360" w:lineRule="auto"/>
        <w:ind w:left="0"/>
        <w:jc w:val="center"/>
        <w:textAlignment w:val="baseline"/>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中标通知书</w:t>
      </w:r>
    </w:p>
    <w:p w14:paraId="6B78B6E1">
      <w:pPr>
        <w:kinsoku/>
        <w:topLinePunct/>
        <w:spacing w:before="157" w:line="360" w:lineRule="auto"/>
        <w:ind w:left="398" w:right="389" w:firstLine="48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65030424">
      <w:pPr>
        <w:kinsoku/>
        <w:topLinePunct/>
        <w:spacing w:line="360" w:lineRule="auto"/>
        <w:jc w:val="both"/>
        <w:rPr>
          <w:rFonts w:hint="eastAsia" w:ascii="宋体" w:hAnsi="宋体" w:eastAsia="宋体" w:cs="宋体"/>
          <w:strike w:val="0"/>
          <w:color w:val="auto"/>
          <w:sz w:val="24"/>
          <w:szCs w:val="24"/>
          <w:highlight w:val="none"/>
        </w:rPr>
      </w:pPr>
    </w:p>
    <w:tbl>
      <w:tblPr>
        <w:tblStyle w:val="37"/>
        <w:tblW w:w="921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98"/>
        <w:gridCol w:w="6219"/>
      </w:tblGrid>
      <w:tr w14:paraId="4FF188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998" w:type="dxa"/>
            <w:noWrap w:val="0"/>
            <w:vAlign w:val="top"/>
          </w:tcPr>
          <w:p w14:paraId="18F3E622">
            <w:pPr>
              <w:kinsoku/>
              <w:topLinePunct/>
              <w:spacing w:before="200"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招标项目名称</w:t>
            </w:r>
          </w:p>
        </w:tc>
        <w:tc>
          <w:tcPr>
            <w:tcW w:w="6219" w:type="dxa"/>
            <w:noWrap w:val="0"/>
            <w:vAlign w:val="top"/>
          </w:tcPr>
          <w:p w14:paraId="687B51C9">
            <w:pPr>
              <w:kinsoku/>
              <w:topLinePunct/>
              <w:spacing w:line="360" w:lineRule="auto"/>
              <w:jc w:val="both"/>
              <w:rPr>
                <w:rFonts w:hint="eastAsia" w:ascii="宋体" w:hAnsi="宋体" w:eastAsia="宋体" w:cs="宋体"/>
                <w:strike w:val="0"/>
                <w:color w:val="auto"/>
                <w:sz w:val="24"/>
                <w:szCs w:val="24"/>
                <w:highlight w:val="none"/>
              </w:rPr>
            </w:pPr>
          </w:p>
        </w:tc>
      </w:tr>
      <w:tr w14:paraId="194239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998" w:type="dxa"/>
            <w:noWrap w:val="0"/>
            <w:vAlign w:val="top"/>
          </w:tcPr>
          <w:p w14:paraId="4E12EF1D">
            <w:pPr>
              <w:kinsoku/>
              <w:topLinePunct/>
              <w:spacing w:before="138"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招标人名称</w:t>
            </w:r>
          </w:p>
        </w:tc>
        <w:tc>
          <w:tcPr>
            <w:tcW w:w="6219" w:type="dxa"/>
            <w:noWrap w:val="0"/>
            <w:vAlign w:val="top"/>
          </w:tcPr>
          <w:p w14:paraId="2A7A26B3">
            <w:pPr>
              <w:kinsoku/>
              <w:topLinePunct/>
              <w:spacing w:line="360" w:lineRule="auto"/>
              <w:jc w:val="both"/>
              <w:rPr>
                <w:rFonts w:hint="eastAsia" w:ascii="宋体" w:hAnsi="宋体" w:eastAsia="宋体" w:cs="宋体"/>
                <w:strike w:val="0"/>
                <w:color w:val="auto"/>
                <w:sz w:val="24"/>
                <w:szCs w:val="24"/>
                <w:highlight w:val="none"/>
              </w:rPr>
            </w:pPr>
          </w:p>
        </w:tc>
      </w:tr>
      <w:tr w14:paraId="368A6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998" w:type="dxa"/>
            <w:noWrap w:val="0"/>
            <w:vAlign w:val="top"/>
          </w:tcPr>
          <w:p w14:paraId="0B5E9A84">
            <w:pPr>
              <w:kinsoku/>
              <w:topLinePunct/>
              <w:spacing w:before="159"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中标人名称</w:t>
            </w:r>
          </w:p>
        </w:tc>
        <w:tc>
          <w:tcPr>
            <w:tcW w:w="6219" w:type="dxa"/>
            <w:noWrap w:val="0"/>
            <w:vAlign w:val="top"/>
          </w:tcPr>
          <w:p w14:paraId="5D30C0A7">
            <w:pPr>
              <w:kinsoku/>
              <w:topLinePunct/>
              <w:spacing w:line="360" w:lineRule="auto"/>
              <w:jc w:val="both"/>
              <w:rPr>
                <w:rFonts w:hint="eastAsia" w:ascii="宋体" w:hAnsi="宋体" w:eastAsia="宋体" w:cs="宋体"/>
                <w:strike w:val="0"/>
                <w:color w:val="auto"/>
                <w:sz w:val="24"/>
                <w:szCs w:val="24"/>
                <w:highlight w:val="none"/>
              </w:rPr>
            </w:pPr>
          </w:p>
        </w:tc>
      </w:tr>
      <w:tr w14:paraId="2FD73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998" w:type="dxa"/>
            <w:noWrap w:val="0"/>
            <w:vAlign w:val="top"/>
          </w:tcPr>
          <w:p w14:paraId="509D34DA">
            <w:pPr>
              <w:kinsoku/>
              <w:topLinePunct/>
              <w:spacing w:before="116"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项目负责人</w:t>
            </w:r>
          </w:p>
        </w:tc>
        <w:tc>
          <w:tcPr>
            <w:tcW w:w="6219" w:type="dxa"/>
            <w:noWrap w:val="0"/>
            <w:vAlign w:val="top"/>
          </w:tcPr>
          <w:p w14:paraId="0862E2A3">
            <w:pPr>
              <w:kinsoku/>
              <w:topLinePunct/>
              <w:spacing w:line="360" w:lineRule="auto"/>
              <w:jc w:val="both"/>
              <w:rPr>
                <w:rFonts w:hint="eastAsia" w:ascii="宋体" w:hAnsi="宋体" w:eastAsia="宋体" w:cs="宋体"/>
                <w:strike w:val="0"/>
                <w:color w:val="auto"/>
                <w:sz w:val="24"/>
                <w:szCs w:val="24"/>
                <w:highlight w:val="none"/>
              </w:rPr>
            </w:pPr>
          </w:p>
        </w:tc>
      </w:tr>
      <w:tr w14:paraId="3C18F4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998" w:type="dxa"/>
            <w:noWrap w:val="0"/>
            <w:vAlign w:val="top"/>
          </w:tcPr>
          <w:p w14:paraId="440DD6B1">
            <w:pPr>
              <w:kinsoku/>
              <w:topLinePunct/>
              <w:spacing w:before="267"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中标金额</w:t>
            </w:r>
          </w:p>
        </w:tc>
        <w:tc>
          <w:tcPr>
            <w:tcW w:w="6219" w:type="dxa"/>
            <w:noWrap w:val="0"/>
            <w:vAlign w:val="top"/>
          </w:tcPr>
          <w:p w14:paraId="484AE2BC">
            <w:pPr>
              <w:kinsoku/>
              <w:topLinePunct/>
              <w:spacing w:before="267" w:line="360" w:lineRule="auto"/>
              <w:ind w:left="125"/>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大写</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w:t>
            </w:r>
          </w:p>
          <w:p w14:paraId="029BAB21">
            <w:pPr>
              <w:kinsoku/>
              <w:topLinePunct/>
              <w:spacing w:before="267" w:line="360" w:lineRule="auto"/>
              <w:ind w:left="125"/>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小写</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w:t>
            </w:r>
          </w:p>
        </w:tc>
      </w:tr>
      <w:tr w14:paraId="1F1F0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998" w:type="dxa"/>
            <w:noWrap w:val="0"/>
            <w:vAlign w:val="top"/>
          </w:tcPr>
          <w:p w14:paraId="333CEB66">
            <w:pPr>
              <w:kinsoku/>
              <w:topLinePunct/>
              <w:spacing w:before="178"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中标内容范围</w:t>
            </w:r>
          </w:p>
        </w:tc>
        <w:tc>
          <w:tcPr>
            <w:tcW w:w="6219" w:type="dxa"/>
            <w:noWrap w:val="0"/>
            <w:vAlign w:val="top"/>
          </w:tcPr>
          <w:p w14:paraId="70462714">
            <w:pPr>
              <w:kinsoku/>
              <w:topLinePunct/>
              <w:spacing w:line="360" w:lineRule="auto"/>
              <w:jc w:val="both"/>
              <w:rPr>
                <w:rFonts w:hint="eastAsia" w:ascii="宋体" w:hAnsi="宋体" w:eastAsia="宋体" w:cs="宋体"/>
                <w:strike w:val="0"/>
                <w:color w:val="auto"/>
                <w:sz w:val="24"/>
                <w:szCs w:val="24"/>
                <w:highlight w:val="none"/>
              </w:rPr>
            </w:pPr>
          </w:p>
        </w:tc>
      </w:tr>
      <w:tr w14:paraId="38FE64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998" w:type="dxa"/>
            <w:noWrap w:val="0"/>
            <w:vAlign w:val="top"/>
          </w:tcPr>
          <w:p w14:paraId="7E533346">
            <w:pPr>
              <w:kinsoku/>
              <w:topLinePunct/>
              <w:autoSpaceDE/>
              <w:autoSpaceDN/>
              <w:spacing w:before="0" w:line="360" w:lineRule="auto"/>
              <w:ind w:left="0" w:firstLine="0" w:firstLineChars="0"/>
              <w:jc w:val="left"/>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lang w:eastAsia="zh-CN"/>
              </w:rPr>
              <w:t>中标人与招标人签订中标合同期限</w:t>
            </w:r>
          </w:p>
        </w:tc>
        <w:tc>
          <w:tcPr>
            <w:tcW w:w="6219" w:type="dxa"/>
            <w:noWrap w:val="0"/>
            <w:vAlign w:val="top"/>
          </w:tcPr>
          <w:p w14:paraId="6DBDE5B0">
            <w:pPr>
              <w:kinsoku/>
              <w:topLinePunct/>
              <w:spacing w:line="360" w:lineRule="auto"/>
              <w:jc w:val="both"/>
              <w:rPr>
                <w:rFonts w:hint="eastAsia" w:ascii="宋体" w:hAnsi="宋体" w:eastAsia="宋体" w:cs="宋体"/>
                <w:strike w:val="0"/>
                <w:color w:val="auto"/>
                <w:sz w:val="24"/>
                <w:szCs w:val="24"/>
                <w:highlight w:val="none"/>
              </w:rPr>
            </w:pPr>
          </w:p>
        </w:tc>
      </w:tr>
      <w:tr w14:paraId="030265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998" w:type="dxa"/>
            <w:noWrap w:val="0"/>
            <w:vAlign w:val="top"/>
          </w:tcPr>
          <w:p w14:paraId="1BF40FBC">
            <w:pPr>
              <w:kinsoku/>
              <w:topLinePunct/>
              <w:spacing w:before="196"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签订中标合同地址</w:t>
            </w:r>
          </w:p>
        </w:tc>
        <w:tc>
          <w:tcPr>
            <w:tcW w:w="6219" w:type="dxa"/>
            <w:noWrap w:val="0"/>
            <w:vAlign w:val="top"/>
          </w:tcPr>
          <w:p w14:paraId="55FA0B05">
            <w:pPr>
              <w:kinsoku/>
              <w:topLinePunct/>
              <w:spacing w:line="360" w:lineRule="auto"/>
              <w:jc w:val="both"/>
              <w:rPr>
                <w:rFonts w:hint="eastAsia" w:ascii="宋体" w:hAnsi="宋体" w:eastAsia="宋体" w:cs="宋体"/>
                <w:strike w:val="0"/>
                <w:color w:val="auto"/>
                <w:sz w:val="24"/>
                <w:szCs w:val="24"/>
                <w:highlight w:val="none"/>
              </w:rPr>
            </w:pPr>
          </w:p>
        </w:tc>
      </w:tr>
      <w:tr w14:paraId="10830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998" w:type="dxa"/>
            <w:noWrap w:val="0"/>
            <w:vAlign w:val="top"/>
          </w:tcPr>
          <w:p w14:paraId="41D16568">
            <w:pPr>
              <w:kinsoku/>
              <w:topLinePunct/>
              <w:spacing w:before="159" w:line="360" w:lineRule="auto"/>
              <w:ind w:left="1" w:firstLine="2" w:firstLineChars="1"/>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其他需说明内容</w:t>
            </w:r>
          </w:p>
        </w:tc>
        <w:tc>
          <w:tcPr>
            <w:tcW w:w="6219" w:type="dxa"/>
            <w:noWrap w:val="0"/>
            <w:vAlign w:val="top"/>
          </w:tcPr>
          <w:p w14:paraId="4F11B422">
            <w:pPr>
              <w:kinsoku/>
              <w:topLinePunct/>
              <w:spacing w:line="360" w:lineRule="auto"/>
              <w:jc w:val="both"/>
              <w:rPr>
                <w:rFonts w:hint="eastAsia" w:ascii="宋体" w:hAnsi="宋体" w:eastAsia="宋体" w:cs="宋体"/>
                <w:strike w:val="0"/>
                <w:color w:val="auto"/>
                <w:sz w:val="24"/>
                <w:szCs w:val="24"/>
                <w:highlight w:val="none"/>
              </w:rPr>
            </w:pPr>
          </w:p>
        </w:tc>
      </w:tr>
    </w:tbl>
    <w:p w14:paraId="04EC0239">
      <w:pPr>
        <w:kinsoku/>
        <w:topLinePunct/>
        <w:spacing w:line="360" w:lineRule="auto"/>
        <w:jc w:val="both"/>
        <w:rPr>
          <w:rFonts w:hint="eastAsia" w:ascii="宋体" w:hAnsi="宋体" w:eastAsia="宋体" w:cs="宋体"/>
          <w:strike w:val="0"/>
          <w:color w:val="auto"/>
          <w:sz w:val="24"/>
          <w:szCs w:val="24"/>
          <w:highlight w:val="none"/>
        </w:rPr>
      </w:pPr>
    </w:p>
    <w:p w14:paraId="2D2FF8A8">
      <w:pPr>
        <w:kinsoku/>
        <w:topLinePunct/>
        <w:spacing w:before="75" w:line="360" w:lineRule="auto"/>
        <w:ind w:left="6280" w:right="410" w:hanging="1035"/>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招标人：</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 </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盖章</w:t>
      </w:r>
      <w:r>
        <w:rPr>
          <w:rFonts w:hint="eastAsia" w:ascii="宋体" w:hAnsi="宋体" w:eastAsia="宋体" w:cs="宋体"/>
          <w:strike w:val="0"/>
          <w:color w:val="auto"/>
          <w:sz w:val="24"/>
          <w:szCs w:val="24"/>
          <w:highlight w:val="none"/>
          <w:lang w:eastAsia="zh-CN"/>
        </w:rPr>
        <w:t>）</w:t>
      </w:r>
    </w:p>
    <w:p w14:paraId="66EF18B5">
      <w:pPr>
        <w:kinsoku/>
        <w:topLinePunct/>
        <w:spacing w:before="75" w:line="360" w:lineRule="auto"/>
        <w:ind w:left="6280" w:right="410" w:hanging="1035"/>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经办人：</w:t>
      </w:r>
      <w:r>
        <w:rPr>
          <w:rFonts w:hint="eastAsia" w:ascii="宋体" w:hAnsi="宋体" w:eastAsia="宋体" w:cs="宋体"/>
          <w:strike w:val="0"/>
          <w:color w:val="auto"/>
          <w:sz w:val="24"/>
          <w:szCs w:val="24"/>
          <w:highlight w:val="none"/>
          <w:u w:val="single"/>
        </w:rPr>
        <w:t xml:space="preserve">      </w:t>
      </w:r>
    </w:p>
    <w:p w14:paraId="7F31DCD8">
      <w:pPr>
        <w:kinsoku/>
        <w:topLinePunct/>
        <w:spacing w:before="2" w:line="360" w:lineRule="auto"/>
        <w:ind w:left="6277" w:right="1078" w:hanging="1035"/>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电话：</w:t>
      </w:r>
      <w:r>
        <w:rPr>
          <w:rFonts w:hint="eastAsia" w:ascii="宋体" w:hAnsi="宋体" w:eastAsia="宋体" w:cs="宋体"/>
          <w:strike w:val="0"/>
          <w:color w:val="auto"/>
          <w:sz w:val="24"/>
          <w:szCs w:val="24"/>
          <w:highlight w:val="none"/>
          <w:u w:val="single"/>
        </w:rPr>
        <w:t xml:space="preserve">       </w:t>
      </w:r>
    </w:p>
    <w:p w14:paraId="7C76DA8F">
      <w:pPr>
        <w:kinsoku/>
        <w:topLinePunct/>
        <w:spacing w:before="2" w:line="360" w:lineRule="auto"/>
        <w:ind w:left="6277" w:right="1078" w:hanging="1035"/>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传真：</w:t>
      </w:r>
      <w:r>
        <w:rPr>
          <w:rFonts w:hint="eastAsia" w:ascii="宋体" w:hAnsi="宋体" w:eastAsia="宋体" w:cs="宋体"/>
          <w:strike w:val="0"/>
          <w:color w:val="auto"/>
          <w:sz w:val="24"/>
          <w:szCs w:val="24"/>
          <w:highlight w:val="none"/>
          <w:u w:val="single"/>
        </w:rPr>
        <w:t xml:space="preserve">       </w:t>
      </w:r>
    </w:p>
    <w:p w14:paraId="71404987">
      <w:pPr>
        <w:tabs>
          <w:tab w:val="left" w:pos="7447"/>
        </w:tabs>
        <w:kinsoku/>
        <w:topLinePunct/>
        <w:spacing w:line="360" w:lineRule="auto"/>
        <w:ind w:left="6837" w:hanging="1035"/>
        <w:jc w:val="both"/>
        <w:outlineLvl w:val="9"/>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年</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月</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日</w:t>
      </w:r>
    </w:p>
    <w:p w14:paraId="5E9B95F4">
      <w:pPr>
        <w:kinsoku/>
        <w:topLinePunct/>
        <w:spacing w:line="360" w:lineRule="auto"/>
        <w:jc w:val="both"/>
        <w:rPr>
          <w:rFonts w:hint="eastAsia" w:ascii="宋体" w:hAnsi="宋体" w:eastAsia="宋体" w:cs="宋体"/>
          <w:strike w:val="0"/>
          <w:color w:val="auto"/>
          <w:sz w:val="24"/>
          <w:szCs w:val="24"/>
          <w:highlight w:val="none"/>
        </w:rPr>
        <w:sectPr>
          <w:pgSz w:w="11906" w:h="16839"/>
          <w:pgMar w:top="1418" w:right="1559" w:bottom="1418" w:left="1474" w:header="0" w:footer="1035" w:gutter="0"/>
          <w:pgNumType w:fmt="decimal"/>
          <w:cols w:space="720" w:num="1"/>
        </w:sectPr>
      </w:pPr>
    </w:p>
    <w:p w14:paraId="6C9C9278">
      <w:pPr>
        <w:kinsoku/>
        <w:topLinePunct/>
        <w:spacing w:before="91" w:line="360" w:lineRule="auto"/>
        <w:jc w:val="both"/>
        <w:outlineLvl w:val="1"/>
        <w:rPr>
          <w:rFonts w:hint="eastAsia" w:ascii="宋体" w:hAnsi="宋体" w:eastAsia="宋体" w:cs="宋体"/>
          <w:strike w:val="0"/>
          <w:color w:val="auto"/>
          <w:sz w:val="24"/>
          <w:szCs w:val="24"/>
          <w:highlight w:val="none"/>
        </w:rPr>
      </w:pPr>
      <w:bookmarkStart w:id="292" w:name="_bookmark10"/>
      <w:bookmarkEnd w:id="292"/>
      <w:bookmarkStart w:id="293" w:name="_Toc1082"/>
      <w:bookmarkStart w:id="294" w:name="_Toc5259"/>
      <w:bookmarkStart w:id="295" w:name="_Toc20399"/>
      <w:bookmarkStart w:id="296" w:name="_Toc29283"/>
      <w:bookmarkStart w:id="297" w:name="_Toc7613"/>
      <w:bookmarkStart w:id="298" w:name="_Toc4320"/>
      <w:bookmarkStart w:id="299" w:name="_Toc5426"/>
      <w:bookmarkStart w:id="300" w:name="_Toc28726"/>
      <w:bookmarkStart w:id="301" w:name="_Toc10521"/>
      <w:bookmarkStart w:id="302" w:name="_Toc3159"/>
      <w:bookmarkStart w:id="303" w:name="_Toc23313"/>
      <w:bookmarkStart w:id="304" w:name="_Toc6570"/>
      <w:bookmarkStart w:id="305" w:name="_Toc9705"/>
      <w:bookmarkStart w:id="306" w:name="_Toc29873"/>
      <w:bookmarkStart w:id="307" w:name="_Toc14557"/>
      <w:bookmarkStart w:id="308" w:name="_Toc13480"/>
      <w:bookmarkStart w:id="309" w:name="_Toc32011"/>
      <w:bookmarkStart w:id="310" w:name="_Toc23270"/>
      <w:bookmarkStart w:id="311" w:name="_Toc12284"/>
      <w:bookmarkStart w:id="312" w:name="_Toc23526"/>
      <w:bookmarkStart w:id="313" w:name="_Toc6534"/>
      <w:bookmarkStart w:id="314" w:name="_Toc21395"/>
      <w:bookmarkStart w:id="315" w:name="_Toc7605"/>
      <w:r>
        <w:rPr>
          <w:rFonts w:hint="eastAsia" w:ascii="宋体" w:hAnsi="宋体" w:eastAsia="宋体" w:cs="宋体"/>
          <w:strike w:val="0"/>
          <w:color w:val="auto"/>
          <w:sz w:val="24"/>
          <w:szCs w:val="24"/>
          <w:highlight w:val="none"/>
        </w:rPr>
        <w:t>附表五：确认通知</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0EB41F34">
      <w:pPr>
        <w:kinsoku/>
        <w:topLinePunct/>
        <w:spacing w:line="360" w:lineRule="auto"/>
        <w:jc w:val="both"/>
        <w:rPr>
          <w:rFonts w:hint="eastAsia" w:ascii="宋体" w:hAnsi="宋体" w:eastAsia="宋体" w:cs="宋体"/>
          <w:strike w:val="0"/>
          <w:color w:val="auto"/>
          <w:sz w:val="24"/>
          <w:szCs w:val="24"/>
          <w:highlight w:val="none"/>
        </w:rPr>
      </w:pPr>
    </w:p>
    <w:p w14:paraId="2D2D8413">
      <w:pPr>
        <w:kinsoku/>
        <w:topLinePunct/>
        <w:spacing w:line="360" w:lineRule="auto"/>
        <w:jc w:val="both"/>
        <w:rPr>
          <w:rFonts w:hint="eastAsia" w:ascii="宋体" w:hAnsi="宋体" w:eastAsia="宋体" w:cs="宋体"/>
          <w:strike w:val="0"/>
          <w:color w:val="auto"/>
          <w:sz w:val="24"/>
          <w:szCs w:val="24"/>
          <w:highlight w:val="none"/>
        </w:rPr>
      </w:pPr>
    </w:p>
    <w:p w14:paraId="559FAD27">
      <w:pPr>
        <w:keepNext w:val="0"/>
        <w:keepLines w:val="0"/>
        <w:pageBreakBefore w:val="0"/>
        <w:widowControl/>
        <w:kinsoku/>
        <w:wordWrap/>
        <w:overflowPunct/>
        <w:topLinePunct/>
        <w:autoSpaceDE w:val="0"/>
        <w:autoSpaceDN w:val="0"/>
        <w:bidi w:val="0"/>
        <w:adjustRightInd w:val="0"/>
        <w:snapToGrid w:val="0"/>
        <w:spacing w:before="91" w:line="360" w:lineRule="auto"/>
        <w:ind w:left="0"/>
        <w:jc w:val="center"/>
        <w:textAlignment w:val="baseline"/>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确认通知</w:t>
      </w:r>
    </w:p>
    <w:p w14:paraId="131CDCA8">
      <w:pPr>
        <w:kinsoku/>
        <w:topLinePunct/>
        <w:spacing w:line="360" w:lineRule="auto"/>
        <w:jc w:val="both"/>
        <w:rPr>
          <w:rFonts w:hint="eastAsia" w:ascii="宋体" w:hAnsi="宋体" w:eastAsia="宋体" w:cs="宋体"/>
          <w:strike w:val="0"/>
          <w:color w:val="auto"/>
          <w:sz w:val="24"/>
          <w:szCs w:val="24"/>
          <w:highlight w:val="none"/>
        </w:rPr>
      </w:pPr>
    </w:p>
    <w:p w14:paraId="25F0DB79">
      <w:pPr>
        <w:tabs>
          <w:tab w:val="left" w:pos="1838"/>
        </w:tabs>
        <w:kinsoku/>
        <w:topLinePunct/>
        <w:spacing w:before="91" w:line="360" w:lineRule="auto"/>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u w:val="single"/>
        </w:rPr>
        <w:tab/>
      </w:r>
      <w:r>
        <w:rPr>
          <w:rFonts w:hint="eastAsia" w:ascii="宋体" w:hAnsi="宋体" w:eastAsia="宋体" w:cs="宋体"/>
          <w:strike w:val="0"/>
          <w:color w:val="auto"/>
          <w:sz w:val="24"/>
          <w:szCs w:val="24"/>
          <w:highlight w:val="none"/>
          <w:u w:val="single"/>
          <w:lang w:eastAsia="zh-CN"/>
        </w:rPr>
        <w:t>（</w:t>
      </w:r>
      <w:r>
        <w:rPr>
          <w:rFonts w:hint="eastAsia" w:ascii="宋体" w:hAnsi="宋体" w:eastAsia="宋体" w:cs="宋体"/>
          <w:strike w:val="0"/>
          <w:color w:val="auto"/>
          <w:sz w:val="24"/>
          <w:szCs w:val="24"/>
          <w:highlight w:val="none"/>
        </w:rPr>
        <w:t>招标人名称</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w:t>
      </w:r>
    </w:p>
    <w:p w14:paraId="27527283">
      <w:pPr>
        <w:kinsoku/>
        <w:topLinePunct/>
        <w:spacing w:before="223" w:line="360" w:lineRule="auto"/>
        <w:ind w:left="10" w:right="72" w:firstLine="562"/>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我方已接到你方</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年</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月</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日发出的</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u w:val="single"/>
          <w:lang w:eastAsia="zh-CN"/>
        </w:rPr>
        <w:t>（</w:t>
      </w:r>
      <w:r>
        <w:rPr>
          <w:rFonts w:hint="eastAsia" w:ascii="宋体" w:hAnsi="宋体" w:eastAsia="宋体" w:cs="宋体"/>
          <w:strike w:val="0"/>
          <w:color w:val="auto"/>
          <w:sz w:val="24"/>
          <w:szCs w:val="24"/>
          <w:highlight w:val="none"/>
        </w:rPr>
        <w:t>项目名称</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标段招标关于中标结果的通知，我方已于</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年</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月</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日收到。</w:t>
      </w:r>
    </w:p>
    <w:p w14:paraId="195CA93F">
      <w:pPr>
        <w:kinsoku/>
        <w:topLinePunct/>
        <w:spacing w:line="360" w:lineRule="auto"/>
        <w:jc w:val="both"/>
        <w:rPr>
          <w:rFonts w:hint="eastAsia" w:ascii="宋体" w:hAnsi="宋体" w:eastAsia="宋体" w:cs="宋体"/>
          <w:strike w:val="0"/>
          <w:color w:val="auto"/>
          <w:sz w:val="24"/>
          <w:szCs w:val="24"/>
          <w:highlight w:val="none"/>
        </w:rPr>
      </w:pPr>
    </w:p>
    <w:p w14:paraId="4E282F52">
      <w:pPr>
        <w:kinsoku/>
        <w:topLinePunct/>
        <w:spacing w:before="91" w:line="360" w:lineRule="auto"/>
        <w:ind w:left="570"/>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特此确认。</w:t>
      </w:r>
    </w:p>
    <w:p w14:paraId="456C30BA">
      <w:pPr>
        <w:kinsoku/>
        <w:topLinePunct/>
        <w:spacing w:line="360" w:lineRule="auto"/>
        <w:jc w:val="both"/>
        <w:rPr>
          <w:rFonts w:hint="eastAsia" w:ascii="宋体" w:hAnsi="宋体" w:eastAsia="宋体" w:cs="宋体"/>
          <w:strike w:val="0"/>
          <w:color w:val="auto"/>
          <w:sz w:val="24"/>
          <w:szCs w:val="24"/>
          <w:highlight w:val="none"/>
        </w:rPr>
      </w:pPr>
    </w:p>
    <w:p w14:paraId="361F534B">
      <w:pPr>
        <w:kinsoku/>
        <w:topLinePunct/>
        <w:spacing w:line="360" w:lineRule="auto"/>
        <w:jc w:val="both"/>
        <w:rPr>
          <w:rFonts w:hint="eastAsia" w:ascii="宋体" w:hAnsi="宋体" w:eastAsia="宋体" w:cs="宋体"/>
          <w:strike w:val="0"/>
          <w:color w:val="auto"/>
          <w:sz w:val="24"/>
          <w:szCs w:val="24"/>
          <w:highlight w:val="none"/>
        </w:rPr>
      </w:pPr>
    </w:p>
    <w:p w14:paraId="302524EA">
      <w:pPr>
        <w:kinsoku/>
        <w:topLinePunct/>
        <w:spacing w:line="360" w:lineRule="auto"/>
        <w:jc w:val="both"/>
        <w:rPr>
          <w:rFonts w:hint="eastAsia" w:ascii="宋体" w:hAnsi="宋体" w:eastAsia="宋体" w:cs="宋体"/>
          <w:strike w:val="0"/>
          <w:color w:val="auto"/>
          <w:sz w:val="24"/>
          <w:szCs w:val="24"/>
          <w:highlight w:val="none"/>
        </w:rPr>
      </w:pPr>
    </w:p>
    <w:p w14:paraId="11A4AF86">
      <w:pPr>
        <w:kinsoku/>
        <w:topLinePunct/>
        <w:spacing w:line="360" w:lineRule="auto"/>
        <w:jc w:val="both"/>
        <w:rPr>
          <w:rFonts w:hint="eastAsia" w:ascii="宋体" w:hAnsi="宋体" w:eastAsia="宋体" w:cs="宋体"/>
          <w:strike w:val="0"/>
          <w:color w:val="auto"/>
          <w:sz w:val="24"/>
          <w:szCs w:val="24"/>
          <w:highlight w:val="none"/>
        </w:rPr>
      </w:pPr>
    </w:p>
    <w:p w14:paraId="3B130910">
      <w:pPr>
        <w:kinsoku/>
        <w:topLinePunct/>
        <w:spacing w:line="360" w:lineRule="auto"/>
        <w:jc w:val="both"/>
        <w:rPr>
          <w:rFonts w:hint="eastAsia" w:ascii="宋体" w:hAnsi="宋体" w:eastAsia="宋体" w:cs="宋体"/>
          <w:strike w:val="0"/>
          <w:color w:val="auto"/>
          <w:sz w:val="24"/>
          <w:szCs w:val="24"/>
          <w:highlight w:val="none"/>
        </w:rPr>
      </w:pPr>
    </w:p>
    <w:p w14:paraId="7F9E57A2">
      <w:pPr>
        <w:tabs>
          <w:tab w:val="left" w:pos="7060"/>
        </w:tabs>
        <w:kinsoku/>
        <w:topLinePunct/>
        <w:spacing w:before="91" w:line="360" w:lineRule="auto"/>
        <w:ind w:left="6628" w:hanging="1993"/>
        <w:jc w:val="both"/>
        <w:rPr>
          <w:rFonts w:hint="eastAsia" w:ascii="宋体" w:hAnsi="宋体" w:eastAsia="宋体" w:cs="宋体"/>
          <w:strike w:val="0"/>
          <w:color w:val="auto"/>
          <w:sz w:val="24"/>
          <w:szCs w:val="24"/>
          <w:highlight w:val="none"/>
        </w:rPr>
      </w:pPr>
      <w:r>
        <w:rPr>
          <w:rFonts w:hint="eastAsia" w:ascii="宋体" w:hAnsi="宋体" w:eastAsia="宋体" w:cs="宋体"/>
          <w:strike w:val="0"/>
          <w:color w:val="auto"/>
          <w:sz w:val="24"/>
          <w:szCs w:val="24"/>
          <w:highlight w:val="none"/>
        </w:rPr>
        <w:t>投标人：</w:t>
      </w:r>
      <w:r>
        <w:rPr>
          <w:rFonts w:hint="eastAsia" w:ascii="宋体" w:hAnsi="宋体" w:eastAsia="宋体" w:cs="宋体"/>
          <w:strike w:val="0"/>
          <w:color w:val="auto"/>
          <w:sz w:val="24"/>
          <w:szCs w:val="24"/>
          <w:highlight w:val="none"/>
          <w:u w:val="single"/>
        </w:rPr>
        <w:t xml:space="preserve">   </w:t>
      </w:r>
      <w:r>
        <w:rPr>
          <w:rFonts w:hint="eastAsia" w:ascii="宋体" w:hAnsi="宋体" w:eastAsia="宋体" w:cs="宋体"/>
          <w:strike w:val="0"/>
          <w:color w:val="auto"/>
          <w:sz w:val="24"/>
          <w:szCs w:val="24"/>
          <w:highlight w:val="none"/>
        </w:rPr>
        <w:t xml:space="preserve"> </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盖单位公章</w:t>
      </w:r>
      <w:r>
        <w:rPr>
          <w:rFonts w:hint="eastAsia" w:ascii="宋体" w:hAnsi="宋体" w:eastAsia="宋体" w:cs="宋体"/>
          <w:strike w:val="0"/>
          <w:color w:val="auto"/>
          <w:sz w:val="24"/>
          <w:szCs w:val="24"/>
          <w:highlight w:val="none"/>
          <w:lang w:eastAsia="zh-CN"/>
        </w:rPr>
        <w:t>）</w:t>
      </w:r>
    </w:p>
    <w:p w14:paraId="099C80D6">
      <w:pPr>
        <w:tabs>
          <w:tab w:val="left" w:pos="7060"/>
        </w:tabs>
        <w:kinsoku/>
        <w:topLinePunct/>
        <w:spacing w:before="91" w:line="377" w:lineRule="auto"/>
        <w:ind w:left="6628" w:hanging="1993"/>
        <w:jc w:val="both"/>
        <w:rPr>
          <w:rFonts w:ascii="宋体" w:hAnsi="宋体" w:eastAsia="宋体" w:cs="宋体"/>
          <w:strike w:val="0"/>
          <w:color w:val="auto"/>
          <w:sz w:val="24"/>
          <w:szCs w:val="24"/>
          <w:highlight w:val="none"/>
        </w:rPr>
      </w:pPr>
      <w:r>
        <w:rPr>
          <w:rFonts w:ascii="宋体" w:hAnsi="宋体" w:eastAsia="宋体" w:cs="宋体"/>
          <w:strike w:val="0"/>
          <w:color w:val="auto"/>
          <w:sz w:val="23"/>
          <w:szCs w:val="23"/>
          <w:highlight w:val="none"/>
          <w:u w:val="single"/>
        </w:rPr>
        <w:t xml:space="preserve">   </w:t>
      </w:r>
      <w:r>
        <w:rPr>
          <w:rFonts w:ascii="宋体" w:hAnsi="宋体" w:eastAsia="宋体" w:cs="宋体"/>
          <w:strike w:val="0"/>
          <w:color w:val="auto"/>
          <w:sz w:val="24"/>
          <w:szCs w:val="24"/>
          <w:highlight w:val="none"/>
        </w:rPr>
        <w:t>年</w:t>
      </w:r>
      <w:r>
        <w:rPr>
          <w:rFonts w:ascii="宋体" w:hAnsi="宋体" w:eastAsia="宋体" w:cs="宋体"/>
          <w:strike w:val="0"/>
          <w:color w:val="auto"/>
          <w:sz w:val="23"/>
          <w:szCs w:val="23"/>
          <w:highlight w:val="none"/>
          <w:u w:val="single"/>
        </w:rPr>
        <w:t xml:space="preserve">   </w:t>
      </w:r>
      <w:r>
        <w:rPr>
          <w:rFonts w:ascii="宋体" w:hAnsi="宋体" w:eastAsia="宋体" w:cs="宋体"/>
          <w:strike w:val="0"/>
          <w:color w:val="auto"/>
          <w:sz w:val="24"/>
          <w:szCs w:val="24"/>
          <w:highlight w:val="none"/>
        </w:rPr>
        <w:t>月</w:t>
      </w:r>
      <w:r>
        <w:rPr>
          <w:rFonts w:ascii="宋体" w:hAnsi="宋体" w:eastAsia="宋体" w:cs="宋体"/>
          <w:strike w:val="0"/>
          <w:color w:val="auto"/>
          <w:sz w:val="23"/>
          <w:szCs w:val="23"/>
          <w:highlight w:val="none"/>
          <w:u w:val="single"/>
        </w:rPr>
        <w:t xml:space="preserve">   </w:t>
      </w:r>
      <w:r>
        <w:rPr>
          <w:rFonts w:ascii="宋体" w:hAnsi="宋体" w:eastAsia="宋体" w:cs="宋体"/>
          <w:strike w:val="0"/>
          <w:color w:val="auto"/>
          <w:sz w:val="24"/>
          <w:szCs w:val="24"/>
          <w:highlight w:val="none"/>
        </w:rPr>
        <w:t>日</w:t>
      </w:r>
    </w:p>
    <w:p w14:paraId="026BED97">
      <w:pPr>
        <w:kinsoku/>
        <w:topLinePunct/>
        <w:jc w:val="both"/>
        <w:rPr>
          <w:strike w:val="0"/>
          <w:color w:val="auto"/>
          <w:highlight w:val="none"/>
        </w:rPr>
        <w:sectPr>
          <w:pgSz w:w="11906" w:h="16839"/>
          <w:pgMar w:top="1418" w:right="1559" w:bottom="1418" w:left="1474" w:header="0" w:footer="1035" w:gutter="0"/>
          <w:pgNumType w:fmt="decimal"/>
          <w:cols w:space="720" w:num="1"/>
        </w:sectPr>
      </w:pPr>
    </w:p>
    <w:p w14:paraId="7060E60F">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ascii="宋体" w:hAnsi="宋体" w:eastAsia="宋体" w:cs="宋体"/>
          <w:b/>
          <w:bCs/>
          <w:color w:val="auto"/>
          <w:sz w:val="36"/>
          <w:szCs w:val="36"/>
          <w:highlight w:val="none"/>
        </w:rPr>
      </w:pPr>
      <w:bookmarkStart w:id="316" w:name="_bookmark11"/>
      <w:bookmarkEnd w:id="316"/>
      <w:bookmarkStart w:id="317" w:name="_Toc24364"/>
      <w:bookmarkStart w:id="318" w:name="_Toc7612"/>
      <w:bookmarkStart w:id="319" w:name="_Toc28282"/>
      <w:bookmarkStart w:id="320" w:name="_Toc12456"/>
      <w:bookmarkStart w:id="321" w:name="_Toc2713"/>
      <w:bookmarkStart w:id="322" w:name="_Toc13955"/>
      <w:bookmarkStart w:id="323" w:name="_Toc14457"/>
      <w:bookmarkStart w:id="324" w:name="_Toc21697"/>
      <w:bookmarkStart w:id="325" w:name="_Toc13834"/>
      <w:bookmarkStart w:id="326" w:name="_Toc2667"/>
      <w:bookmarkStart w:id="327" w:name="_Toc505"/>
      <w:bookmarkStart w:id="328" w:name="_Toc5790"/>
      <w:bookmarkStart w:id="329" w:name="_Toc30256"/>
      <w:bookmarkStart w:id="330" w:name="_Toc1799"/>
      <w:bookmarkStart w:id="331" w:name="_Toc31707"/>
      <w:bookmarkStart w:id="332" w:name="_Toc23661"/>
      <w:bookmarkStart w:id="333" w:name="_Toc28849"/>
      <w:bookmarkStart w:id="334" w:name="_Toc10808"/>
      <w:bookmarkStart w:id="335" w:name="_Toc21409"/>
      <w:bookmarkStart w:id="336" w:name="_Toc7174"/>
      <w:bookmarkStart w:id="337" w:name="_Toc20216"/>
      <w:bookmarkStart w:id="338" w:name="_Toc29601"/>
      <w:bookmarkStart w:id="339" w:name="_Toc31525"/>
      <w:r>
        <w:rPr>
          <w:rFonts w:ascii="宋体" w:hAnsi="宋体" w:eastAsia="宋体" w:cs="宋体"/>
          <w:b/>
          <w:bCs/>
          <w:color w:val="auto"/>
          <w:sz w:val="36"/>
          <w:szCs w:val="36"/>
          <w:highlight w:val="none"/>
        </w:rPr>
        <w:t>第三章</w:t>
      </w:r>
      <w:r>
        <w:rPr>
          <w:rFonts w:hint="eastAsia" w:ascii="宋体" w:hAnsi="宋体" w:eastAsia="宋体" w:cs="宋体"/>
          <w:b/>
          <w:bCs/>
          <w:color w:val="auto"/>
          <w:sz w:val="36"/>
          <w:szCs w:val="36"/>
          <w:highlight w:val="none"/>
          <w:lang w:val="en-US" w:eastAsia="zh-CN"/>
        </w:rPr>
        <w:t xml:space="preserve">  </w:t>
      </w:r>
      <w:r>
        <w:rPr>
          <w:rFonts w:hint="default" w:ascii="宋体" w:hAnsi="宋体" w:eastAsia="宋体" w:cs="宋体"/>
          <w:b/>
          <w:bCs/>
          <w:color w:val="auto"/>
          <w:sz w:val="36"/>
          <w:szCs w:val="36"/>
          <w:highlight w:val="none"/>
        </w:rPr>
        <w:t>评标定标办法</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14:paraId="21C60718">
      <w:pPr>
        <w:widowControl w:val="0"/>
        <w:kinsoku/>
        <w:topLinePunct/>
        <w:autoSpaceDE/>
        <w:autoSpaceDN/>
        <w:spacing w:line="360" w:lineRule="auto"/>
        <w:ind w:firstLine="480" w:firstLineChars="200"/>
        <w:jc w:val="both"/>
        <w:textAlignment w:val="auto"/>
        <w:outlineLvl w:val="1"/>
        <w:rPr>
          <w:rFonts w:hint="eastAsia" w:ascii="宋体" w:hAnsi="宋体" w:eastAsia="宋体" w:cs="宋体"/>
          <w:snapToGrid/>
          <w:color w:val="auto"/>
          <w:kern w:val="2"/>
          <w:sz w:val="24"/>
          <w:szCs w:val="24"/>
          <w:highlight w:val="none"/>
        </w:rPr>
      </w:pPr>
      <w:bookmarkStart w:id="340" w:name="_Toc4918"/>
      <w:bookmarkStart w:id="341" w:name="_Toc11324"/>
      <w:bookmarkStart w:id="342" w:name="_Toc25639"/>
      <w:bookmarkStart w:id="343" w:name="_Toc882"/>
      <w:bookmarkStart w:id="344" w:name="_Toc12415"/>
      <w:bookmarkStart w:id="345" w:name="_Toc5350"/>
      <w:bookmarkStart w:id="346" w:name="_Toc14009"/>
      <w:bookmarkStart w:id="347" w:name="_Toc9313"/>
      <w:bookmarkStart w:id="348" w:name="_Toc9241"/>
      <w:bookmarkStart w:id="349" w:name="_Toc23658"/>
      <w:bookmarkStart w:id="350" w:name="_Toc1600"/>
      <w:bookmarkStart w:id="351" w:name="_Toc9697"/>
      <w:bookmarkStart w:id="352" w:name="_Toc3618"/>
      <w:bookmarkStart w:id="353" w:name="_Toc1210"/>
      <w:bookmarkStart w:id="354" w:name="_Toc10168"/>
      <w:bookmarkStart w:id="355" w:name="_Toc14285"/>
      <w:bookmarkStart w:id="356" w:name="_Toc15837"/>
      <w:bookmarkStart w:id="357" w:name="_Toc13387"/>
      <w:bookmarkStart w:id="358" w:name="_Toc8304"/>
      <w:bookmarkStart w:id="359" w:name="_Toc4306"/>
      <w:bookmarkStart w:id="360" w:name="_Toc5689"/>
      <w:bookmarkStart w:id="361" w:name="_Toc7882"/>
      <w:bookmarkStart w:id="362" w:name="_Toc18365"/>
      <w:r>
        <w:rPr>
          <w:rFonts w:hint="eastAsia" w:ascii="宋体" w:hAnsi="宋体" w:eastAsia="宋体" w:cs="宋体"/>
          <w:snapToGrid/>
          <w:color w:val="auto"/>
          <w:kern w:val="2"/>
          <w:sz w:val="24"/>
          <w:szCs w:val="24"/>
          <w:highlight w:val="none"/>
        </w:rPr>
        <w:t>一、评标办法：</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7E1D7981">
      <w:pPr>
        <w:widowControl w:val="0"/>
        <w:kinsoku/>
        <w:topLinePunct/>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rFonts w:hint="eastAsia" w:ascii="宋体" w:hAnsi="宋体" w:eastAsia="宋体" w:cs="宋体"/>
          <w:color w:val="auto"/>
          <w:sz w:val="24"/>
          <w:szCs w:val="24"/>
          <w:highlight w:val="none"/>
        </w:rPr>
        <w:t>经评审的最低投标价法</w:t>
      </w:r>
    </w:p>
    <w:p w14:paraId="1B9D3843">
      <w:pPr>
        <w:widowControl w:val="0"/>
        <w:kinsoku/>
        <w:topLinePunct/>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rFonts w:hint="eastAsia" w:ascii="宋体" w:hAnsi="宋体" w:eastAsia="宋体" w:cs="宋体"/>
          <w:color w:val="auto"/>
          <w:sz w:val="24"/>
          <w:szCs w:val="24"/>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742B3B10">
      <w:pPr>
        <w:widowControl w:val="0"/>
        <w:kinsoku/>
        <w:topLinePunct/>
        <w:autoSpaceDE/>
        <w:autoSpaceDN/>
        <w:adjustRightInd/>
        <w:snapToGrid/>
        <w:spacing w:after="120" w:line="360" w:lineRule="auto"/>
        <w:jc w:val="both"/>
        <w:textAlignment w:val="auto"/>
        <w:rPr>
          <w:rFonts w:hint="eastAsia" w:ascii="宋体" w:hAnsi="宋体" w:eastAsia="宋体" w:cs="宋体"/>
          <w:snapToGrid/>
          <w:color w:val="auto"/>
          <w:kern w:val="2"/>
          <w:sz w:val="24"/>
          <w:szCs w:val="24"/>
          <w:highlight w:val="none"/>
        </w:rPr>
      </w:pPr>
    </w:p>
    <w:p w14:paraId="1214EF06">
      <w:pPr>
        <w:widowControl w:val="0"/>
        <w:kinsoku/>
        <w:topLinePunct/>
        <w:autoSpaceDE/>
        <w:autoSpaceDN/>
        <w:adjustRightInd/>
        <w:snapToGrid/>
        <w:spacing w:line="360" w:lineRule="auto"/>
        <w:ind w:left="420" w:leftChars="200"/>
        <w:jc w:val="both"/>
        <w:textAlignment w:val="auto"/>
        <w:outlineLvl w:val="1"/>
        <w:rPr>
          <w:rFonts w:hint="eastAsia" w:ascii="宋体" w:hAnsi="宋体" w:eastAsia="宋体" w:cs="宋体"/>
          <w:snapToGrid/>
          <w:color w:val="auto"/>
          <w:kern w:val="2"/>
          <w:sz w:val="24"/>
          <w:szCs w:val="24"/>
          <w:highlight w:val="none"/>
        </w:rPr>
      </w:pPr>
      <w:bookmarkStart w:id="363" w:name="_Toc9649"/>
      <w:bookmarkStart w:id="364" w:name="_Toc17902"/>
      <w:bookmarkStart w:id="365" w:name="_Toc30144"/>
      <w:bookmarkStart w:id="366" w:name="_Toc15402"/>
      <w:bookmarkStart w:id="367" w:name="_Toc12269"/>
      <w:bookmarkStart w:id="368" w:name="_Toc2694"/>
      <w:bookmarkStart w:id="369" w:name="_Toc27396"/>
      <w:bookmarkStart w:id="370" w:name="_Toc20776"/>
      <w:bookmarkStart w:id="371" w:name="_Toc18748"/>
      <w:bookmarkStart w:id="372" w:name="_Toc30082"/>
      <w:bookmarkStart w:id="373" w:name="_Toc14202"/>
      <w:bookmarkStart w:id="374" w:name="_Toc277"/>
      <w:bookmarkStart w:id="375" w:name="_Toc8596"/>
      <w:bookmarkStart w:id="376" w:name="_Toc1896"/>
      <w:bookmarkStart w:id="377" w:name="_Toc5974"/>
      <w:bookmarkStart w:id="378" w:name="_Toc5122"/>
      <w:bookmarkStart w:id="379" w:name="_Toc30993"/>
      <w:bookmarkStart w:id="380" w:name="_Toc16384"/>
      <w:bookmarkStart w:id="381" w:name="_Toc12913"/>
      <w:bookmarkStart w:id="382" w:name="_Toc27980"/>
      <w:bookmarkStart w:id="383" w:name="_Toc15993"/>
      <w:bookmarkStart w:id="384" w:name="_Toc7216"/>
      <w:bookmarkStart w:id="385" w:name="_Toc27072"/>
      <w:r>
        <w:rPr>
          <w:rFonts w:hint="eastAsia" w:ascii="宋体" w:hAnsi="宋体" w:eastAsia="宋体" w:cs="宋体"/>
          <w:snapToGrid/>
          <w:color w:val="auto"/>
          <w:kern w:val="2"/>
          <w:sz w:val="24"/>
          <w:szCs w:val="24"/>
          <w:highlight w:val="none"/>
        </w:rPr>
        <w:t>二、定标办法：</w:t>
      </w:r>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613513D3">
      <w:pPr>
        <w:widowControl w:val="0"/>
        <w:kinsoku/>
        <w:wordWrap w:val="0"/>
        <w:topLinePunct/>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注：定标办法按照《浙江省工程建设项目招标投标“评定分离”操作指引（试行）》（浙发改公管〔2023〕256号）、《绍兴市工程建设项目招标投标“评定分离”试点定标操作指引（试行）》（绍市政服办〔2023〕17号）确定，由招标人在招标文件中明确。</w:t>
      </w:r>
    </w:p>
    <w:p w14:paraId="5E0BC79A">
      <w:pPr>
        <w:widowControl w:val="0"/>
        <w:kinsoku/>
        <w:wordWrap w:val="0"/>
        <w:topLinePunct/>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□票决法：由定标委员会以直接票决或者逐轮票决的方式确定中标人。</w:t>
      </w:r>
    </w:p>
    <w:p w14:paraId="0528291C">
      <w:pPr>
        <w:widowControl w:val="0"/>
        <w:kinsoku/>
        <w:wordWrap w:val="0"/>
        <w:topLinePunct/>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205020B0">
      <w:pPr>
        <w:widowControl w:val="0"/>
        <w:kinsoku/>
        <w:wordWrap w:val="0"/>
        <w:topLinePunct/>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□其他：</w:t>
      </w:r>
      <w:r>
        <w:rPr>
          <w:rFonts w:hint="eastAsia" w:ascii="宋体" w:hAnsi="宋体" w:eastAsia="宋体" w:cs="宋体"/>
          <w:snapToGrid/>
          <w:color w:val="auto"/>
          <w:kern w:val="2"/>
          <w:sz w:val="24"/>
          <w:szCs w:val="24"/>
          <w:highlight w:val="none"/>
          <w:u w:val="single"/>
        </w:rPr>
        <w:t xml:space="preserve">                                                    。</w:t>
      </w:r>
    </w:p>
    <w:p w14:paraId="12C0A30A">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7E4A561A">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79F4E267">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08BA02D2">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516F3450">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773A4EFC">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0944AD9B">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22BCE8AF">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106B85E0">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5E5AA41A">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3CC2C3E3">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006576BB">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5895F536">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20D3D1DD">
      <w:pPr>
        <w:widowControl w:val="0"/>
        <w:kinsoku/>
        <w:topLinePunct/>
        <w:autoSpaceDE/>
        <w:autoSpaceDN/>
        <w:adjustRightInd/>
        <w:snapToGrid/>
        <w:spacing w:line="360" w:lineRule="auto"/>
        <w:jc w:val="both"/>
        <w:textAlignment w:val="auto"/>
        <w:rPr>
          <w:rFonts w:hint="eastAsia" w:ascii="宋体" w:hAnsi="宋体" w:eastAsia="宋体" w:cs="宋体"/>
          <w:snapToGrid/>
          <w:color w:val="auto"/>
          <w:kern w:val="2"/>
          <w:sz w:val="24"/>
          <w:szCs w:val="24"/>
          <w:highlight w:val="none"/>
        </w:rPr>
      </w:pPr>
    </w:p>
    <w:p w14:paraId="6536A2B3">
      <w:pPr>
        <w:kinsoku/>
        <w:topLinePunct/>
        <w:spacing w:before="64" w:line="360" w:lineRule="auto"/>
        <w:jc w:val="center"/>
        <w:outlineLvl w:val="1"/>
        <w:rPr>
          <w:rFonts w:hint="eastAsia" w:ascii="宋体" w:hAnsi="宋体" w:eastAsia="宋体" w:cs="宋体"/>
          <w:color w:val="auto"/>
          <w:sz w:val="24"/>
          <w:szCs w:val="24"/>
          <w:highlight w:val="none"/>
        </w:rPr>
      </w:pPr>
      <w:bookmarkStart w:id="386" w:name="_Toc17281"/>
      <w:bookmarkStart w:id="387" w:name="_Toc14412"/>
      <w:bookmarkStart w:id="388" w:name="_Toc29813"/>
      <w:bookmarkStart w:id="389" w:name="_Toc4493"/>
      <w:bookmarkStart w:id="390" w:name="_Toc29338"/>
      <w:bookmarkStart w:id="391" w:name="_Toc7930"/>
      <w:bookmarkStart w:id="392" w:name="_Toc25835"/>
      <w:bookmarkStart w:id="393" w:name="_Toc6115"/>
      <w:bookmarkStart w:id="394" w:name="_Toc15738"/>
      <w:bookmarkStart w:id="395" w:name="_Toc32058"/>
      <w:bookmarkStart w:id="396" w:name="_Toc20676"/>
      <w:bookmarkStart w:id="397" w:name="_Toc4937"/>
      <w:bookmarkStart w:id="398" w:name="_Toc9742"/>
      <w:bookmarkStart w:id="399" w:name="_Toc10947"/>
      <w:bookmarkStart w:id="400" w:name="_Toc7778"/>
      <w:bookmarkStart w:id="401" w:name="_Toc6072"/>
      <w:bookmarkStart w:id="402" w:name="_Toc31588"/>
      <w:bookmarkStart w:id="403" w:name="_Toc15049"/>
      <w:bookmarkStart w:id="404" w:name="_Toc13989"/>
      <w:bookmarkStart w:id="405" w:name="_Toc18604"/>
      <w:bookmarkStart w:id="406" w:name="_Toc15963"/>
      <w:bookmarkStart w:id="407" w:name="_Toc4601"/>
      <w:bookmarkStart w:id="408" w:name="_Toc18046"/>
      <w:r>
        <w:rPr>
          <w:rFonts w:hint="eastAsia" w:ascii="宋体" w:hAnsi="宋体" w:eastAsia="宋体" w:cs="宋体"/>
          <w:color w:val="auto"/>
          <w:sz w:val="24"/>
          <w:szCs w:val="24"/>
          <w:highlight w:val="none"/>
        </w:rPr>
        <w:t>综合评估法</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5D8D8B4D">
      <w:pPr>
        <w:kinsoku/>
        <w:topLinePunct/>
        <w:spacing w:before="75" w:line="360" w:lineRule="auto"/>
        <w:ind w:right="65"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根据《中华人民共和国招标投标法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中华人民共和国招标投标法实施条例</w:t>
      </w:r>
      <w:r>
        <w:rPr>
          <w:rFonts w:hint="eastAsia" w:ascii="宋体" w:hAnsi="宋体" w:eastAsia="宋体" w:cs="宋体"/>
          <w:color w:val="auto"/>
          <w:sz w:val="24"/>
          <w:szCs w:val="24"/>
          <w:highlight w:val="none"/>
          <w:lang w:eastAsia="zh-CN"/>
        </w:rPr>
        <w:t>》</w:t>
      </w:r>
      <w:r>
        <w:rPr>
          <w:rFonts w:hint="eastAsia" w:ascii="宋体" w:hAnsi="宋体" w:eastAsia="宋体" w:cs="宋体"/>
          <w:strike w:val="0"/>
          <w:color w:val="auto"/>
          <w:sz w:val="24"/>
          <w:szCs w:val="24"/>
          <w:highlight w:val="none"/>
          <w:lang w:eastAsia="zh-CN"/>
        </w:rPr>
        <w:t>《</w:t>
      </w:r>
      <w:r>
        <w:rPr>
          <w:rFonts w:hint="eastAsia" w:ascii="宋体" w:hAnsi="宋体" w:eastAsia="宋体" w:cs="宋体"/>
          <w:color w:val="auto"/>
          <w:sz w:val="24"/>
          <w:szCs w:val="24"/>
          <w:highlight w:val="none"/>
        </w:rPr>
        <w:t>评标委员会和评标办法暂行规定</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浙江省综合性评标专家库管理办法实施细则》等有关规定，制定本办法。</w:t>
      </w:r>
    </w:p>
    <w:p w14:paraId="480D729E">
      <w:pPr>
        <w:kinsoku/>
        <w:topLinePunct/>
        <w:spacing w:line="360" w:lineRule="auto"/>
        <w:ind w:left="485"/>
        <w:jc w:val="both"/>
        <w:outlineLvl w:val="1"/>
        <w:rPr>
          <w:rFonts w:hint="eastAsia" w:ascii="宋体" w:hAnsi="宋体" w:eastAsia="宋体" w:cs="宋体"/>
          <w:color w:val="auto"/>
          <w:sz w:val="24"/>
          <w:szCs w:val="24"/>
          <w:highlight w:val="none"/>
        </w:rPr>
      </w:pPr>
      <w:bookmarkStart w:id="409" w:name="_Toc24376"/>
      <w:bookmarkStart w:id="410" w:name="_Toc21321"/>
      <w:bookmarkStart w:id="411" w:name="_Toc14734"/>
      <w:bookmarkStart w:id="412" w:name="_Toc6470"/>
      <w:bookmarkStart w:id="413" w:name="_Toc8256"/>
      <w:bookmarkStart w:id="414" w:name="_Toc6897"/>
      <w:bookmarkStart w:id="415" w:name="_Toc8395"/>
      <w:bookmarkStart w:id="416" w:name="_Toc18188"/>
      <w:bookmarkStart w:id="417" w:name="_Toc15057"/>
      <w:bookmarkStart w:id="418" w:name="_Toc24909"/>
      <w:bookmarkStart w:id="419" w:name="_Toc22754"/>
      <w:bookmarkStart w:id="420" w:name="_Toc3632"/>
      <w:bookmarkStart w:id="421" w:name="_Toc9733"/>
      <w:bookmarkStart w:id="422" w:name="_Toc11077"/>
      <w:bookmarkStart w:id="423" w:name="_Toc32471"/>
      <w:bookmarkStart w:id="424" w:name="_Toc20906"/>
      <w:bookmarkStart w:id="425" w:name="_Toc26039"/>
      <w:bookmarkStart w:id="426" w:name="_Toc3495"/>
      <w:bookmarkStart w:id="427" w:name="_Toc5365"/>
      <w:bookmarkStart w:id="428" w:name="_Toc13042"/>
      <w:bookmarkStart w:id="429" w:name="_Toc1272"/>
      <w:bookmarkStart w:id="430" w:name="_Toc26638"/>
      <w:bookmarkStart w:id="431" w:name="_Toc448"/>
      <w:r>
        <w:rPr>
          <w:rFonts w:hint="eastAsia" w:ascii="宋体" w:hAnsi="宋体" w:eastAsia="宋体" w:cs="宋体"/>
          <w:color w:val="auto"/>
          <w:position w:val="2"/>
          <w:sz w:val="24"/>
          <w:szCs w:val="24"/>
          <w:highlight w:val="none"/>
        </w:rPr>
        <w:t>一、评标原则</w:t>
      </w:r>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5ECF5755">
      <w:pPr>
        <w:kinsoku/>
        <w:topLinePunct/>
        <w:spacing w:before="44" w:line="360" w:lineRule="auto"/>
        <w:ind w:lef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评标应遵循公平、公正、科学、择优的原则。</w:t>
      </w:r>
    </w:p>
    <w:p w14:paraId="1BB373D2">
      <w:pPr>
        <w:kinsoku/>
        <w:topLinePunct/>
        <w:spacing w:before="157" w:line="360" w:lineRule="auto"/>
        <w:ind w:left="485"/>
        <w:jc w:val="both"/>
        <w:outlineLvl w:val="1"/>
        <w:rPr>
          <w:rFonts w:hint="eastAsia" w:ascii="宋体" w:hAnsi="宋体" w:eastAsia="宋体" w:cs="宋体"/>
          <w:color w:val="auto"/>
          <w:sz w:val="24"/>
          <w:szCs w:val="24"/>
          <w:highlight w:val="none"/>
        </w:rPr>
      </w:pPr>
      <w:bookmarkStart w:id="432" w:name="_Toc11048"/>
      <w:bookmarkStart w:id="433" w:name="_Toc1333"/>
      <w:bookmarkStart w:id="434" w:name="_Toc30335"/>
      <w:bookmarkStart w:id="435" w:name="_Toc8600"/>
      <w:bookmarkStart w:id="436" w:name="_Toc20378"/>
      <w:bookmarkStart w:id="437" w:name="_Toc4426"/>
      <w:bookmarkStart w:id="438" w:name="_Toc19806"/>
      <w:bookmarkStart w:id="439" w:name="_Toc16451"/>
      <w:bookmarkStart w:id="440" w:name="_Toc8294"/>
      <w:bookmarkStart w:id="441" w:name="_Toc16976"/>
      <w:bookmarkStart w:id="442" w:name="_Toc19002"/>
      <w:bookmarkStart w:id="443" w:name="_Toc27498"/>
      <w:bookmarkStart w:id="444" w:name="_Toc1959"/>
      <w:bookmarkStart w:id="445" w:name="_Toc10834"/>
      <w:bookmarkStart w:id="446" w:name="_Toc8665"/>
      <w:bookmarkStart w:id="447" w:name="_Toc8474"/>
      <w:bookmarkStart w:id="448" w:name="_Toc30514"/>
      <w:bookmarkStart w:id="449" w:name="_Toc29089"/>
      <w:bookmarkStart w:id="450" w:name="_Toc28284"/>
      <w:bookmarkStart w:id="451" w:name="_Toc16066"/>
      <w:bookmarkStart w:id="452" w:name="_Toc6349"/>
      <w:bookmarkStart w:id="453" w:name="_Toc6258"/>
      <w:bookmarkStart w:id="454" w:name="_Toc20198"/>
      <w:r>
        <w:rPr>
          <w:rFonts w:hint="eastAsia" w:ascii="宋体" w:hAnsi="宋体" w:eastAsia="宋体" w:cs="宋体"/>
          <w:color w:val="auto"/>
          <w:position w:val="1"/>
          <w:sz w:val="24"/>
          <w:szCs w:val="24"/>
          <w:highlight w:val="none"/>
        </w:rPr>
        <w:t>二、评标组织</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p>
    <w:p w14:paraId="23AE93FA">
      <w:pPr>
        <w:kinsoku/>
        <w:topLinePunct/>
        <w:spacing w:before="125" w:line="360" w:lineRule="auto"/>
        <w:ind w:left="3"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评标工作由招标人依法组建的评标委员会负责。评标委员会的组建见投标人须知前附表，成员为不少于</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人的单数。</w:t>
      </w:r>
    </w:p>
    <w:p w14:paraId="2EB9D205">
      <w:pPr>
        <w:kinsoku/>
        <w:topLinePunct/>
        <w:spacing w:before="1" w:line="360" w:lineRule="auto"/>
        <w:ind w:right="65"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7CBF6F26">
      <w:pPr>
        <w:kinsoku/>
        <w:topLinePunct/>
        <w:spacing w:before="1" w:line="360" w:lineRule="auto"/>
        <w:ind w:left="2" w:right="65"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评标委员会应当按照招标文件确定的评标标准和方法，客观、公正对投标文件进行评审和比较，招标文件没有规定的评标标准和方法不得作为评标的依据。</w:t>
      </w:r>
    </w:p>
    <w:p w14:paraId="0AC2EDC8">
      <w:pPr>
        <w:kinsoku/>
        <w:topLinePunct/>
        <w:spacing w:before="1" w:line="360" w:lineRule="auto"/>
        <w:ind w:left="2" w:right="65" w:firstLine="47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评标委员会对投标文件作出的评审结论，应当符合有关法律、法规、规章和招标文件的规定。</w:t>
      </w:r>
    </w:p>
    <w:p w14:paraId="6ECB450C">
      <w:pPr>
        <w:kinsoku/>
        <w:topLinePunct/>
        <w:spacing w:line="360" w:lineRule="auto"/>
        <w:ind w:left="481"/>
        <w:jc w:val="both"/>
        <w:outlineLvl w:val="1"/>
        <w:rPr>
          <w:rFonts w:hint="eastAsia" w:ascii="宋体" w:hAnsi="宋体" w:eastAsia="宋体" w:cs="宋体"/>
          <w:color w:val="auto"/>
          <w:sz w:val="24"/>
          <w:szCs w:val="24"/>
          <w:highlight w:val="none"/>
        </w:rPr>
      </w:pPr>
      <w:bookmarkStart w:id="455" w:name="_Toc27071"/>
      <w:bookmarkStart w:id="456" w:name="_Toc3506"/>
      <w:bookmarkStart w:id="457" w:name="_Toc8642"/>
      <w:bookmarkStart w:id="458" w:name="_Toc278"/>
      <w:bookmarkStart w:id="459" w:name="_Toc10091"/>
      <w:bookmarkStart w:id="460" w:name="_Toc21485"/>
      <w:bookmarkStart w:id="461" w:name="_Toc7807"/>
      <w:bookmarkStart w:id="462" w:name="_Toc2751"/>
      <w:bookmarkStart w:id="463" w:name="_Toc7208"/>
      <w:bookmarkStart w:id="464" w:name="_Toc25489"/>
      <w:bookmarkStart w:id="465" w:name="_Toc4814"/>
      <w:bookmarkStart w:id="466" w:name="_Toc16327"/>
      <w:bookmarkStart w:id="467" w:name="_Toc16179"/>
      <w:bookmarkStart w:id="468" w:name="_Toc29948"/>
      <w:bookmarkStart w:id="469" w:name="_Toc29782"/>
      <w:bookmarkStart w:id="470" w:name="_Toc11151"/>
      <w:bookmarkStart w:id="471" w:name="_Toc30030"/>
      <w:bookmarkStart w:id="472" w:name="_Toc8462"/>
      <w:bookmarkStart w:id="473" w:name="_Toc961"/>
      <w:bookmarkStart w:id="474" w:name="_Toc28344"/>
      <w:bookmarkStart w:id="475" w:name="_Toc10172"/>
      <w:bookmarkStart w:id="476" w:name="_Toc10867"/>
      <w:bookmarkStart w:id="477" w:name="_Toc1683"/>
      <w:r>
        <w:rPr>
          <w:rFonts w:hint="eastAsia" w:ascii="宋体" w:hAnsi="宋体" w:eastAsia="宋体" w:cs="宋体"/>
          <w:color w:val="auto"/>
          <w:position w:val="1"/>
          <w:sz w:val="24"/>
          <w:szCs w:val="24"/>
          <w:highlight w:val="none"/>
        </w:rPr>
        <w:t>三、评标程序和内容</w:t>
      </w:r>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p>
    <w:p w14:paraId="397DE4A7">
      <w:pPr>
        <w:kinsoku/>
        <w:topLinePunct/>
        <w:spacing w:before="134" w:line="360" w:lineRule="auto"/>
        <w:ind w:left="499"/>
        <w:jc w:val="both"/>
        <w:rPr>
          <w:rFonts w:hint="eastAsia" w:ascii="宋体" w:hAnsi="宋体" w:eastAsia="宋体" w:cs="宋体"/>
          <w:color w:val="auto"/>
          <w:sz w:val="24"/>
          <w:szCs w:val="24"/>
          <w:highlight w:val="none"/>
        </w:rPr>
      </w:pPr>
      <w:r>
        <w:rPr>
          <w:rFonts w:hint="eastAsia" w:ascii="宋体" w:hAnsi="宋体" w:eastAsia="宋体" w:cs="宋体"/>
          <w:color w:val="auto"/>
          <w:position w:val="15"/>
          <w:sz w:val="24"/>
          <w:szCs w:val="24"/>
          <w:highlight w:val="none"/>
        </w:rPr>
        <w:t>1.熟悉招标文件和评标办法；</w:t>
      </w:r>
    </w:p>
    <w:p w14:paraId="1ADD0735">
      <w:pPr>
        <w:kinsoku/>
        <w:topLinePunct/>
        <w:spacing w:line="360" w:lineRule="auto"/>
        <w:ind w:left="484"/>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2.投标文件的符合性评审；</w:t>
      </w:r>
    </w:p>
    <w:p w14:paraId="79904836">
      <w:pPr>
        <w:kinsoku/>
        <w:topLinePunct/>
        <w:spacing w:before="128" w:line="360" w:lineRule="auto"/>
        <w:ind w:left="48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3.投标文件的资信、业绩评审；</w:t>
      </w:r>
    </w:p>
    <w:p w14:paraId="085F6166">
      <w:pPr>
        <w:kinsoku/>
        <w:topLinePunct/>
        <w:spacing w:before="130" w:line="360" w:lineRule="auto"/>
        <w:ind w:left="48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4.投标文件的技术标评审；</w:t>
      </w:r>
    </w:p>
    <w:p w14:paraId="5D19EE4A">
      <w:pPr>
        <w:kinsoku/>
        <w:topLinePunct/>
        <w:spacing w:before="130" w:line="360" w:lineRule="auto"/>
        <w:ind w:left="48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5.投标文件的商务标评审；</w:t>
      </w:r>
    </w:p>
    <w:p w14:paraId="052A7DD5">
      <w:pPr>
        <w:kinsoku/>
        <w:topLinePunct/>
        <w:spacing w:before="131" w:line="360" w:lineRule="auto"/>
        <w:ind w:left="21" w:right="63" w:firstLine="4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6.必要时对投标文件中的问题进行询标，包括拟作出否决投标决定前对相关投标人进行的询问核实；</w:t>
      </w:r>
    </w:p>
    <w:p w14:paraId="5CBAA615">
      <w:pPr>
        <w:kinsoku/>
        <w:topLinePunct/>
        <w:spacing w:line="360" w:lineRule="auto"/>
        <w:ind w:left="487"/>
        <w:jc w:val="both"/>
        <w:rPr>
          <w:rFonts w:hint="eastAsia" w:ascii="宋体" w:hAnsi="宋体" w:eastAsia="宋体" w:cs="宋体"/>
          <w:color w:val="auto"/>
          <w:sz w:val="24"/>
          <w:szCs w:val="24"/>
          <w:highlight w:val="none"/>
        </w:rPr>
      </w:pPr>
      <w:r>
        <w:rPr>
          <w:rFonts w:hint="eastAsia" w:ascii="宋体" w:hAnsi="宋体" w:eastAsia="宋体" w:cs="宋体"/>
          <w:color w:val="auto"/>
          <w:position w:val="15"/>
          <w:sz w:val="24"/>
          <w:szCs w:val="24"/>
          <w:highlight w:val="none"/>
        </w:rPr>
        <w:t>7.根据评标办法和标准对投标文件进行综合评分、排序；</w:t>
      </w:r>
    </w:p>
    <w:p w14:paraId="59B8E2C2">
      <w:pPr>
        <w:kinsoku/>
        <w:topLinePunct/>
        <w:spacing w:line="360" w:lineRule="auto"/>
        <w:ind w:left="48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8.完成评标报告，推荐中标候选人。</w:t>
      </w:r>
    </w:p>
    <w:p w14:paraId="26C98738">
      <w:pPr>
        <w:kinsoku/>
        <w:topLinePunct/>
        <w:spacing w:before="130" w:line="360" w:lineRule="auto"/>
        <w:ind w:left="504"/>
        <w:jc w:val="both"/>
        <w:outlineLvl w:val="1"/>
        <w:rPr>
          <w:rFonts w:hint="eastAsia" w:ascii="宋体" w:hAnsi="宋体" w:eastAsia="宋体" w:cs="宋体"/>
          <w:color w:val="auto"/>
          <w:sz w:val="24"/>
          <w:szCs w:val="24"/>
          <w:highlight w:val="none"/>
        </w:rPr>
      </w:pPr>
      <w:bookmarkStart w:id="478" w:name="_Toc4278"/>
      <w:bookmarkStart w:id="479" w:name="_Toc15549"/>
      <w:bookmarkStart w:id="480" w:name="_Toc32326"/>
      <w:bookmarkStart w:id="481" w:name="_Toc24518"/>
      <w:bookmarkStart w:id="482" w:name="_Toc3259"/>
      <w:bookmarkStart w:id="483" w:name="_Toc3650"/>
      <w:bookmarkStart w:id="484" w:name="_Toc20481"/>
      <w:bookmarkStart w:id="485" w:name="_Toc31022"/>
      <w:bookmarkStart w:id="486" w:name="_Toc15421"/>
      <w:bookmarkStart w:id="487" w:name="_Toc996"/>
      <w:bookmarkStart w:id="488" w:name="_Toc24983"/>
      <w:bookmarkStart w:id="489" w:name="_Toc204"/>
      <w:bookmarkStart w:id="490" w:name="_Toc6296"/>
      <w:bookmarkStart w:id="491" w:name="_Toc2433"/>
      <w:bookmarkStart w:id="492" w:name="_Toc10666"/>
      <w:bookmarkStart w:id="493" w:name="_Toc5235"/>
      <w:bookmarkStart w:id="494" w:name="_Toc20127"/>
      <w:bookmarkStart w:id="495" w:name="_Toc3801"/>
      <w:bookmarkStart w:id="496" w:name="_Toc5073"/>
      <w:bookmarkStart w:id="497" w:name="_Toc10845"/>
      <w:bookmarkStart w:id="498" w:name="_Toc18075"/>
      <w:bookmarkStart w:id="499" w:name="_Toc9215"/>
      <w:bookmarkStart w:id="500" w:name="_Toc6608"/>
      <w:r>
        <w:rPr>
          <w:rFonts w:hint="eastAsia" w:ascii="宋体" w:hAnsi="宋体" w:eastAsia="宋体" w:cs="宋体"/>
          <w:color w:val="auto"/>
          <w:sz w:val="24"/>
          <w:szCs w:val="24"/>
          <w:highlight w:val="none"/>
        </w:rPr>
        <w:t>四、评审细则</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04623C52">
      <w:pPr>
        <w:kinsoku/>
        <w:topLinePunct/>
        <w:spacing w:before="154" w:line="360" w:lineRule="auto"/>
        <w:ind w:left="4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投标文件的符合性评审</w:t>
      </w:r>
    </w:p>
    <w:p w14:paraId="6A827F70">
      <w:pPr>
        <w:kinsoku/>
        <w:topLinePunct/>
        <w:spacing w:line="360" w:lineRule="auto"/>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1.评标委员会应依照招标文件的要求和规定，首先对投标人的投标资格和投标文件进行符合性评审。</w:t>
      </w:r>
    </w:p>
    <w:p w14:paraId="443B3147">
      <w:pPr>
        <w:kinsoku/>
        <w:topLinePunct/>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如评标委员会发现投标文件存在招标文件投标人须知前附表10.1“否决投标的情形”第二款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符合性内容、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技术标内容、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商务标内容之一的，经询问核实并认定后，即可判定该投标文件符合性评审不通过应予以否决，不再进入后续的综合评分程序。</w:t>
      </w:r>
    </w:p>
    <w:p w14:paraId="47BCBC2A">
      <w:pPr>
        <w:kinsoku/>
        <w:topLinePunct/>
        <w:spacing w:line="360" w:lineRule="auto"/>
        <w:ind w:firstLine="600" w:firstLineChars="25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2.询标</w:t>
      </w:r>
    </w:p>
    <w:p w14:paraId="3FCE1523">
      <w:pPr>
        <w:kinsoku/>
        <w:topLinePunct/>
        <w:spacing w:line="360" w:lineRule="auto"/>
        <w:ind w:firstLine="48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投标文件中有含义不明确的内容、明显文字或计算错误，评标委员会认为需要投标人作出必要澄清、说明的，应当组织询标。</w:t>
      </w:r>
    </w:p>
    <w:p w14:paraId="44DC52E6">
      <w:pPr>
        <w:kinsoku/>
        <w:topLinePunct/>
        <w:spacing w:line="360"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4781F09D">
      <w:pPr>
        <w:kinsoku/>
        <w:topLinePunct/>
        <w:spacing w:line="360" w:lineRule="auto"/>
        <w:ind w:firstLine="4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询标问题及投标人的澄清、说明应当采用书面形式，并不得超出投标文件的范围或者改变投标文件的实质性内容。</w:t>
      </w:r>
    </w:p>
    <w:p w14:paraId="5D28F108">
      <w:pPr>
        <w:kinsoku/>
        <w:topLinePunct/>
        <w:spacing w:line="360" w:lineRule="auto"/>
        <w:ind w:firstLine="4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评标委员会不得暗示或者诱导投标人作出澄清、说明，不得接受投标人主动提出的澄清、说明。</w:t>
      </w:r>
    </w:p>
    <w:p w14:paraId="71866B29">
      <w:pPr>
        <w:kinsoku/>
        <w:topLinePunct/>
        <w:spacing w:line="360" w:lineRule="auto"/>
        <w:ind w:firstLine="48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投标人不得通过补充、修改或撤销投标文件中的内容使其成为实质性响应的投标，投标人在投标截止时间以后不得提交任何资料作为评标依据。</w:t>
      </w:r>
    </w:p>
    <w:p w14:paraId="75EE86FD">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资信、业绩评审</w:t>
      </w:r>
    </w:p>
    <w:p w14:paraId="2F329872">
      <w:pPr>
        <w:kinsoku/>
        <w:topLinePunct/>
        <w:spacing w:line="360" w:lineRule="auto"/>
        <w:ind w:firstLine="4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由评标委员会全体成员根据投标人提供的相关证明材料进行集体认定。</w:t>
      </w:r>
    </w:p>
    <w:p w14:paraId="14474EAF">
      <w:pPr>
        <w:kinsoku/>
        <w:topLinePunct/>
        <w:spacing w:line="360" w:lineRule="auto"/>
        <w:ind w:firstLine="4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业绩评分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3分</w:t>
      </w:r>
      <w:r>
        <w:rPr>
          <w:rFonts w:hint="eastAsia" w:ascii="宋体" w:hAnsi="宋体" w:eastAsia="宋体" w:cs="宋体"/>
          <w:color w:val="auto"/>
          <w:sz w:val="24"/>
          <w:szCs w:val="24"/>
          <w:highlight w:val="none"/>
          <w:lang w:eastAsia="zh-CN"/>
        </w:rPr>
        <w:t>）</w:t>
      </w:r>
    </w:p>
    <w:p w14:paraId="09C7722D">
      <w:pPr>
        <w:kinsoku/>
        <w:topLinePunct/>
        <w:spacing w:line="360" w:lineRule="auto"/>
        <w:ind w:firstLine="480" w:firstLineChars="20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投标人自202</w:t>
      </w: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年</w:t>
      </w:r>
      <w:r>
        <w:rPr>
          <w:rFonts w:hint="eastAsia" w:ascii="宋体" w:hAnsi="宋体" w:eastAsia="宋体" w:cs="宋体"/>
          <w:color w:val="auto"/>
          <w:sz w:val="24"/>
          <w:szCs w:val="24"/>
          <w:highlight w:val="none"/>
          <w:u w:val="none"/>
          <w:lang w:val="en-US" w:eastAsia="zh-CN"/>
        </w:rPr>
        <w:t>1</w:t>
      </w:r>
      <w:r>
        <w:rPr>
          <w:rFonts w:hint="eastAsia" w:ascii="宋体" w:hAnsi="宋体" w:eastAsia="宋体" w:cs="宋体"/>
          <w:color w:val="auto"/>
          <w:sz w:val="24"/>
          <w:szCs w:val="24"/>
          <w:highlight w:val="none"/>
          <w:u w:val="none"/>
        </w:rPr>
        <w:t>月1日以来完成过水利水电工程或市政公用工程单个合同额在470万元（仅限各类阀门合计金额）及以上且包含</w:t>
      </w:r>
      <w:r>
        <w:rPr>
          <w:rFonts w:hint="eastAsia" w:ascii="宋体" w:hAnsi="宋体" w:eastAsia="宋体" w:cs="宋体"/>
          <w:color w:val="auto"/>
          <w:sz w:val="24"/>
          <w:szCs w:val="24"/>
          <w:highlight w:val="none"/>
          <w:u w:val="none"/>
          <w:lang w:val="en-US" w:eastAsia="zh-CN"/>
        </w:rPr>
        <w:t>公称</w:t>
      </w:r>
      <w:r>
        <w:rPr>
          <w:rFonts w:hint="eastAsia" w:ascii="宋体" w:hAnsi="宋体" w:eastAsia="宋体" w:cs="宋体"/>
          <w:color w:val="auto"/>
          <w:sz w:val="24"/>
          <w:szCs w:val="24"/>
          <w:highlight w:val="none"/>
          <w:u w:val="none"/>
        </w:rPr>
        <w:t>直径不小于</w:t>
      </w:r>
      <w:r>
        <w:rPr>
          <w:rFonts w:hint="eastAsia" w:ascii="宋体" w:hAnsi="宋体" w:eastAsia="宋体" w:cs="宋体"/>
          <w:color w:val="auto"/>
          <w:sz w:val="24"/>
          <w:szCs w:val="24"/>
          <w:highlight w:val="none"/>
          <w:u w:val="none"/>
          <w:lang w:val="en-US" w:eastAsia="zh-CN"/>
        </w:rPr>
        <w:t>26</w:t>
      </w:r>
      <w:r>
        <w:rPr>
          <w:rFonts w:hint="eastAsia" w:ascii="宋体" w:hAnsi="宋体" w:eastAsia="宋体" w:cs="宋体"/>
          <w:color w:val="auto"/>
          <w:sz w:val="24"/>
          <w:szCs w:val="24"/>
          <w:highlight w:val="none"/>
          <w:u w:val="none"/>
        </w:rPr>
        <w:t>00mm的蝶阀供货业绩，每个得1.5分，此项最多得3分。</w:t>
      </w:r>
    </w:p>
    <w:p w14:paraId="6BA24620">
      <w:pPr>
        <w:kinsoku/>
        <w:topLinePunct/>
        <w:spacing w:line="360" w:lineRule="auto"/>
        <w:ind w:firstLine="480" w:firstLineChars="200"/>
        <w:jc w:val="both"/>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注：投标人所提供</w:t>
      </w:r>
      <w:r>
        <w:rPr>
          <w:rFonts w:hint="eastAsia" w:ascii="宋体" w:hAnsi="宋体" w:eastAsia="宋体" w:cs="宋体"/>
          <w:b/>
          <w:bCs/>
          <w:color w:val="auto"/>
          <w:sz w:val="24"/>
          <w:szCs w:val="24"/>
          <w:highlight w:val="none"/>
        </w:rPr>
        <w:t>自202</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年</w:t>
      </w: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月1日以来完成过</w:t>
      </w:r>
      <w:r>
        <w:rPr>
          <w:rFonts w:hint="eastAsia" w:ascii="宋体" w:hAnsi="宋体" w:eastAsia="宋体" w:cs="宋体"/>
          <w:b/>
          <w:bCs/>
          <w:color w:val="auto"/>
          <w:sz w:val="24"/>
          <w:szCs w:val="24"/>
          <w:highlight w:val="none"/>
          <w:lang w:val="en-US" w:eastAsia="zh-CN"/>
        </w:rPr>
        <w:t>中国境内</w:t>
      </w:r>
      <w:r>
        <w:rPr>
          <w:rFonts w:hint="eastAsia" w:ascii="宋体" w:hAnsi="宋体" w:eastAsia="宋体" w:cs="宋体"/>
          <w:color w:val="auto"/>
          <w:sz w:val="24"/>
          <w:szCs w:val="24"/>
          <w:highlight w:val="none"/>
          <w:u w:val="none"/>
        </w:rPr>
        <w:t>的供货业绩证明材料须同时提供以下①和②：①合同协议书及已标价工程量清单；</w:t>
      </w:r>
      <w:r>
        <w:rPr>
          <w:rFonts w:hint="eastAsia" w:ascii="宋体" w:hAnsi="宋体" w:eastAsia="宋体" w:cs="宋体"/>
          <w:color w:val="auto"/>
          <w:sz w:val="24"/>
          <w:szCs w:val="24"/>
          <w:highlight w:val="none"/>
        </w:rPr>
        <w:t>②阀门</w:t>
      </w:r>
      <w:r>
        <w:rPr>
          <w:rFonts w:hint="eastAsia" w:ascii="宋体" w:hAnsi="宋体" w:eastAsia="宋体" w:cs="宋体"/>
          <w:color w:val="auto"/>
          <w:sz w:val="24"/>
          <w:szCs w:val="24"/>
          <w:highlight w:val="none"/>
          <w:lang w:val="en-US" w:eastAsia="zh-CN"/>
        </w:rPr>
        <w:t>安装</w:t>
      </w:r>
      <w:r>
        <w:rPr>
          <w:rFonts w:hint="eastAsia" w:ascii="宋体" w:hAnsi="宋体" w:eastAsia="宋体" w:cs="宋体"/>
          <w:color w:val="auto"/>
          <w:sz w:val="24"/>
          <w:szCs w:val="24"/>
          <w:highlight w:val="none"/>
        </w:rPr>
        <w:t>验收报告或工程完工（或竣工）验收报告</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及供货发票。若①和②材料中有不一致时，以②为准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供货业绩时间以阀门安装验收报告或工程完工（或竣工）验收报告为准，其中任何一项报告时间满足要求即可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rPr>
        <w:t>阀门直径和类型仅以证明材料①和②作为有效证明材料，其它证明材料不予认可。若合同中无法体现为水利水电工程或市政公用工程的，水利水电工程须提供初步设计（或可研）批复或行政许可文件，市政公用工程须提供初步设计（或可研）批复文件或行政主管部门有效证明材料，其它证明材料不予认可。如提供的合同同时包含阀门以外的其他内容的，且在合同中无法体现阀门部分金额时，须提供业主出具并加盖业主公章的证明材料，同时在已标价工程量清单中标记出阀门部分清单。以上业绩证明材料均应提供证明材料的复制件并加盖投标人公章。</w:t>
      </w:r>
    </w:p>
    <w:p w14:paraId="62A63DFC">
      <w:pPr>
        <w:kinsoku/>
        <w:topLinePunct/>
        <w:spacing w:line="360" w:lineRule="auto"/>
        <w:ind w:firstLine="482" w:firstLineChars="200"/>
        <w:jc w:val="both"/>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u w:val="none"/>
        </w:rPr>
        <w:t>特别说明：1.资格审查资料仅需提供1个满足资格审查业绩要求的业绩证明材料即可；2.若投标人在资格审查资料中提供多个业绩的，资格审查中提供的所有业绩在技术标业绩评分评审时，不予计分</w:t>
      </w:r>
      <w:r>
        <w:rPr>
          <w:rFonts w:hint="eastAsia" w:ascii="宋体" w:hAnsi="宋体" w:eastAsia="宋体" w:cs="宋体"/>
          <w:b/>
          <w:bCs/>
          <w:color w:val="auto"/>
          <w:sz w:val="24"/>
          <w:szCs w:val="24"/>
          <w:highlight w:val="none"/>
          <w:lang w:eastAsia="zh-CN"/>
        </w:rPr>
        <w:t>。</w:t>
      </w:r>
    </w:p>
    <w:p w14:paraId="21AAB8C6">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投标文件的技术标评审</w:t>
      </w:r>
    </w:p>
    <w:p w14:paraId="24F16B36">
      <w:pPr>
        <w:kinsoku/>
        <w:topLinePunct/>
        <w:spacing w:line="360" w:lineRule="auto"/>
        <w:ind w:firstLine="4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评标委员会全体成员对投标文件采用记名方式各自评分。如发现某个单项的评分超出了规定的分值范围的，则该张评分表无效。此项评分为：从评标专家的有效评分中扣除一个最高总分和一个最低总分后的算术平均值</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保留小数2位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4FB0792">
      <w:pPr>
        <w:kinsoku/>
        <w:topLinePunct/>
        <w:spacing w:line="360" w:lineRule="auto"/>
        <w:ind w:firstLine="49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2.技术评分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60分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4C5BE8AD">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招标人可根据招标项目的特点设置相应的评审内容和标准，原则上技术含量高的货物，技术评分权重大。可自选评审内容并要求细化，每一打分项分值区间不宜超过3分：</w:t>
      </w:r>
    </w:p>
    <w:p w14:paraId="62040D2D">
      <w:pPr>
        <w:kinsoku/>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加工能力、制造水平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2～6分</w:t>
      </w:r>
      <w:r>
        <w:rPr>
          <w:rFonts w:hint="eastAsia" w:ascii="宋体" w:hAnsi="宋体" w:eastAsia="宋体" w:cs="宋体"/>
          <w:color w:val="auto"/>
          <w:sz w:val="24"/>
          <w:szCs w:val="24"/>
          <w:highlight w:val="none"/>
          <w:lang w:eastAsia="zh-CN"/>
        </w:rPr>
        <w:t>）</w:t>
      </w:r>
    </w:p>
    <w:p w14:paraId="2BB7B4F2">
      <w:pPr>
        <w:pStyle w:val="13"/>
        <w:topLinePunct/>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）投标人</w:t>
      </w:r>
      <w:r>
        <w:rPr>
          <w:rFonts w:hint="eastAsia" w:ascii="宋体" w:hAnsi="宋体" w:cs="宋体"/>
          <w:color w:val="auto"/>
          <w:sz w:val="24"/>
          <w:szCs w:val="24"/>
          <w:highlight w:val="none"/>
          <w:lang w:val="en-US" w:eastAsia="zh-CN"/>
        </w:rPr>
        <w:t>或投标人所投</w:t>
      </w:r>
      <w:r>
        <w:rPr>
          <w:rFonts w:hint="eastAsia" w:ascii="宋体" w:hAnsi="宋体" w:eastAsia="宋体" w:cs="宋体"/>
          <w:color w:val="auto"/>
          <w:sz w:val="24"/>
          <w:szCs w:val="24"/>
          <w:highlight w:val="none"/>
          <w:lang w:eastAsia="zh-CN"/>
        </w:rPr>
        <w:t>设备生产（制造）商具备生产本项目货物的能力，提供具有制造投标货物的生产设备和检测设备的详细说明及照片，包括但不限于满足加工生产DN2600阀门的立车、数控机床、喷砂设备、桥机、探伤设备等（提供现场设备图片及设备购置发票），</w:t>
      </w:r>
      <w:r>
        <w:rPr>
          <w:rFonts w:hint="eastAsia" w:ascii="宋体" w:hAnsi="宋体" w:eastAsia="宋体" w:cs="宋体"/>
          <w:snapToGrid/>
          <w:color w:val="auto"/>
          <w:sz w:val="24"/>
          <w:szCs w:val="24"/>
          <w:highlight w:val="none"/>
          <w:lang w:val="en-US" w:eastAsia="zh-CN" w:bidi="ar-SA"/>
        </w:rPr>
        <w:t>横向比较综合打分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p>
    <w:p w14:paraId="350AB9F1">
      <w:pPr>
        <w:pStyle w:val="13"/>
        <w:topLinePunct/>
        <w:spacing w:after="0"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lang w:val="en-US" w:eastAsia="zh-CN"/>
        </w:rPr>
        <w:t>所投</w:t>
      </w:r>
      <w:r>
        <w:rPr>
          <w:rFonts w:hint="eastAsia" w:ascii="宋体" w:hAnsi="宋体" w:eastAsia="宋体" w:cs="宋体"/>
          <w:snapToGrid/>
          <w:color w:val="auto"/>
          <w:sz w:val="24"/>
          <w:szCs w:val="24"/>
          <w:highlight w:val="none"/>
          <w:lang w:val="en-US" w:eastAsia="zh-CN" w:bidi="ar-SA"/>
        </w:rPr>
        <w:t>设备生产（制造）商的质量管控手段、质量管理体系等</w:t>
      </w:r>
      <w:r>
        <w:rPr>
          <w:rFonts w:hint="eastAsia" w:ascii="宋体" w:hAnsi="宋体" w:cs="宋体"/>
          <w:snapToGrid/>
          <w:color w:val="auto"/>
          <w:sz w:val="24"/>
          <w:szCs w:val="24"/>
          <w:highlight w:val="none"/>
          <w:lang w:val="en-US" w:eastAsia="zh-CN" w:bidi="ar-SA"/>
        </w:rPr>
        <w:t>，</w:t>
      </w:r>
      <w:r>
        <w:rPr>
          <w:rFonts w:hint="eastAsia" w:ascii="宋体" w:hAnsi="宋体" w:eastAsia="宋体" w:cs="宋体"/>
          <w:snapToGrid/>
          <w:color w:val="auto"/>
          <w:sz w:val="24"/>
          <w:szCs w:val="24"/>
          <w:highlight w:val="none"/>
          <w:lang w:val="en-US" w:eastAsia="zh-CN" w:bidi="ar-SA"/>
        </w:rPr>
        <w:t>横向比较综合打分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585CAC3D">
      <w:pPr>
        <w:kinsoku/>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投标货物技术指标的符合性、优越性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7～25分</w:t>
      </w:r>
      <w:r>
        <w:rPr>
          <w:rFonts w:hint="eastAsia" w:ascii="宋体" w:hAnsi="宋体" w:eastAsia="宋体" w:cs="宋体"/>
          <w:color w:val="auto"/>
          <w:sz w:val="24"/>
          <w:szCs w:val="24"/>
          <w:highlight w:val="none"/>
          <w:lang w:eastAsia="zh-CN"/>
        </w:rPr>
        <w:t>）</w:t>
      </w:r>
    </w:p>
    <w:p w14:paraId="340F91CC">
      <w:pPr>
        <w:numPr>
          <w:ilvl w:val="0"/>
          <w:numId w:val="1"/>
        </w:numPr>
        <w:topLinePunct w:val="0"/>
        <w:autoSpaceDE/>
        <w:autoSpaceDN/>
        <w:spacing w:line="360" w:lineRule="auto"/>
        <w:ind w:firstLine="482" w:firstLineChars="200"/>
        <w:jc w:val="both"/>
        <w:rPr>
          <w:rFonts w:hint="eastAsia" w:ascii="宋体" w:hAnsi="宋体" w:eastAsia="宋体" w:cs="宋体"/>
          <w:b/>
          <w:bCs/>
          <w:snapToGrid/>
          <w:color w:val="auto"/>
          <w:sz w:val="24"/>
          <w:szCs w:val="24"/>
          <w:highlight w:val="none"/>
          <w:lang w:eastAsia="zh-CN"/>
        </w:rPr>
      </w:pPr>
      <w:r>
        <w:rPr>
          <w:rFonts w:hint="eastAsia" w:ascii="宋体" w:hAnsi="宋体" w:eastAsia="宋体" w:cs="宋体"/>
          <w:b/>
          <w:bCs/>
          <w:snapToGrid/>
          <w:color w:val="auto"/>
          <w:sz w:val="24"/>
          <w:szCs w:val="24"/>
          <w:highlight w:val="none"/>
          <w:lang w:val="en-US" w:eastAsia="zh-CN"/>
        </w:rPr>
        <w:t>根据投标人所投蝶阀的性能、运行工况、过流能力、流量调节、气蚀、噪音、使用寿命，是否具备在线检修功能，厂商是否具有省级及以上权威检测机构出具的蝶阀启闭次数无泄漏的检测报告（严格按照JB/T 8863-2017《蝶阀 静压寿命试验规程》要求执行），根据投标人提供的蝶阀无泄漏启闭次数的检测报告等酌情打分。投标人针对本项目所供蝶阀随时满足省级及以上权威检测机构抽检合格的承诺等，横向比较综合打分</w:t>
      </w:r>
      <w:r>
        <w:rPr>
          <w:rFonts w:hint="eastAsia" w:ascii="宋体" w:hAnsi="宋体" w:eastAsia="宋体" w:cs="宋体"/>
          <w:b/>
          <w:bCs/>
          <w:snapToGrid/>
          <w:color w:val="auto"/>
          <w:sz w:val="24"/>
          <w:szCs w:val="24"/>
          <w:highlight w:val="none"/>
          <w:lang w:eastAsia="zh-CN"/>
        </w:rPr>
        <w:t>，</w:t>
      </w:r>
      <w:r>
        <w:rPr>
          <w:rFonts w:hint="eastAsia" w:ascii="宋体" w:hAnsi="宋体" w:eastAsia="宋体" w:cs="宋体"/>
          <w:b/>
          <w:bCs/>
          <w:snapToGrid/>
          <w:color w:val="auto"/>
          <w:sz w:val="24"/>
          <w:szCs w:val="24"/>
          <w:highlight w:val="none"/>
        </w:rPr>
        <w:t>（</w:t>
      </w:r>
      <w:r>
        <w:rPr>
          <w:rFonts w:hint="eastAsia" w:ascii="宋体" w:hAnsi="宋体" w:eastAsia="宋体" w:cs="宋体"/>
          <w:b/>
          <w:bCs/>
          <w:snapToGrid/>
          <w:color w:val="auto"/>
          <w:sz w:val="24"/>
          <w:szCs w:val="24"/>
          <w:highlight w:val="none"/>
          <w:lang w:val="en-US" w:eastAsia="zh-CN"/>
        </w:rPr>
        <w:t>1</w:t>
      </w:r>
      <w:r>
        <w:rPr>
          <w:rFonts w:hint="eastAsia" w:ascii="宋体" w:hAnsi="宋体" w:eastAsia="宋体" w:cs="宋体"/>
          <w:b/>
          <w:bCs/>
          <w:snapToGrid/>
          <w:color w:val="auto"/>
          <w:sz w:val="24"/>
          <w:szCs w:val="24"/>
          <w:highlight w:val="none"/>
        </w:rPr>
        <w:t>～</w:t>
      </w:r>
      <w:r>
        <w:rPr>
          <w:rFonts w:hint="eastAsia" w:ascii="宋体" w:hAnsi="宋体" w:eastAsia="宋体" w:cs="宋体"/>
          <w:b/>
          <w:bCs/>
          <w:snapToGrid/>
          <w:color w:val="auto"/>
          <w:sz w:val="24"/>
          <w:szCs w:val="24"/>
          <w:highlight w:val="none"/>
          <w:lang w:val="en-US" w:eastAsia="zh-CN"/>
        </w:rPr>
        <w:t>4</w:t>
      </w:r>
      <w:r>
        <w:rPr>
          <w:rFonts w:hint="eastAsia" w:ascii="宋体" w:hAnsi="宋体" w:eastAsia="宋体" w:cs="宋体"/>
          <w:b/>
          <w:bCs/>
          <w:snapToGrid/>
          <w:color w:val="auto"/>
          <w:sz w:val="24"/>
          <w:szCs w:val="24"/>
          <w:highlight w:val="none"/>
          <w:lang w:eastAsia="zh-CN"/>
        </w:rPr>
        <w:t>分）。</w:t>
      </w:r>
    </w:p>
    <w:p w14:paraId="28F7E1BC">
      <w:pPr>
        <w:numPr>
          <w:ilvl w:val="0"/>
          <w:numId w:val="1"/>
        </w:numPr>
        <w:topLinePunct w:val="0"/>
        <w:autoSpaceDE/>
        <w:autoSpaceDN/>
        <w:spacing w:line="360" w:lineRule="auto"/>
        <w:ind w:firstLine="482" w:firstLineChars="200"/>
        <w:jc w:val="both"/>
        <w:rPr>
          <w:rFonts w:hint="eastAsia" w:ascii="宋体" w:hAnsi="宋体" w:eastAsia="宋体" w:cs="宋体"/>
          <w:b/>
          <w:bCs/>
          <w:snapToGrid/>
          <w:color w:val="auto"/>
          <w:sz w:val="24"/>
          <w:szCs w:val="24"/>
          <w:highlight w:val="none"/>
          <w:lang w:eastAsia="zh-CN"/>
        </w:rPr>
      </w:pPr>
      <w:r>
        <w:rPr>
          <w:rFonts w:hint="eastAsia" w:ascii="宋体" w:hAnsi="宋体" w:eastAsia="宋体" w:cs="宋体"/>
          <w:b/>
          <w:bCs/>
          <w:snapToGrid/>
          <w:color w:val="auto"/>
          <w:sz w:val="24"/>
          <w:szCs w:val="24"/>
          <w:highlight w:val="none"/>
          <w:lang w:val="en-US" w:eastAsia="zh-CN"/>
        </w:rPr>
        <w:t>根据投标人所投偏心半球阀的性能、运行工况、过流能力、流量调节、气蚀、噪音、使用寿命，厂商是否具有省级及以上权威检测机构出具的偏心半球阀启闭次数无泄漏的检测报告（严格按照CJ/T283-2017《偏心半球阀》要求执行，该标准要求DN40-DN250半球阀启闭循环不少于5000次），根据投标人提供的偏心半球阀无泄漏启闭次数的检测报告等酌情打分。投标人针对本项目所供偏心半球阀随时满足省级及以上权威检测机构抽检合格的承诺等，横向比较综合打分</w:t>
      </w:r>
      <w:r>
        <w:rPr>
          <w:rFonts w:hint="eastAsia" w:ascii="宋体" w:hAnsi="宋体" w:eastAsia="宋体" w:cs="宋体"/>
          <w:b/>
          <w:bCs/>
          <w:snapToGrid/>
          <w:color w:val="auto"/>
          <w:sz w:val="24"/>
          <w:szCs w:val="24"/>
          <w:highlight w:val="none"/>
          <w:lang w:eastAsia="zh-CN"/>
        </w:rPr>
        <w:t>，</w:t>
      </w:r>
      <w:r>
        <w:rPr>
          <w:rFonts w:hint="eastAsia" w:ascii="宋体" w:hAnsi="宋体" w:eastAsia="宋体" w:cs="宋体"/>
          <w:b/>
          <w:bCs/>
          <w:snapToGrid/>
          <w:color w:val="auto"/>
          <w:sz w:val="24"/>
          <w:szCs w:val="24"/>
          <w:highlight w:val="none"/>
        </w:rPr>
        <w:t>（</w:t>
      </w:r>
      <w:r>
        <w:rPr>
          <w:rFonts w:hint="eastAsia" w:ascii="宋体" w:hAnsi="宋体" w:eastAsia="宋体" w:cs="宋体"/>
          <w:b/>
          <w:bCs/>
          <w:snapToGrid/>
          <w:color w:val="auto"/>
          <w:sz w:val="24"/>
          <w:szCs w:val="24"/>
          <w:highlight w:val="none"/>
          <w:lang w:val="en-US" w:eastAsia="zh-CN"/>
        </w:rPr>
        <w:t>1</w:t>
      </w:r>
      <w:r>
        <w:rPr>
          <w:rFonts w:hint="eastAsia" w:ascii="宋体" w:hAnsi="宋体" w:eastAsia="宋体" w:cs="宋体"/>
          <w:b/>
          <w:bCs/>
          <w:snapToGrid/>
          <w:color w:val="auto"/>
          <w:sz w:val="24"/>
          <w:szCs w:val="24"/>
          <w:highlight w:val="none"/>
        </w:rPr>
        <w:t>～</w:t>
      </w:r>
      <w:r>
        <w:rPr>
          <w:rFonts w:hint="eastAsia" w:ascii="宋体" w:hAnsi="宋体" w:eastAsia="宋体" w:cs="宋体"/>
          <w:b/>
          <w:bCs/>
          <w:snapToGrid/>
          <w:color w:val="auto"/>
          <w:sz w:val="24"/>
          <w:szCs w:val="24"/>
          <w:highlight w:val="none"/>
          <w:lang w:val="en-US" w:eastAsia="zh-CN"/>
        </w:rPr>
        <w:t>4</w:t>
      </w:r>
      <w:r>
        <w:rPr>
          <w:rFonts w:hint="eastAsia" w:ascii="宋体" w:hAnsi="宋体" w:eastAsia="宋体" w:cs="宋体"/>
          <w:b/>
          <w:bCs/>
          <w:snapToGrid/>
          <w:color w:val="auto"/>
          <w:sz w:val="24"/>
          <w:szCs w:val="24"/>
          <w:highlight w:val="none"/>
          <w:lang w:eastAsia="zh-CN"/>
        </w:rPr>
        <w:t>分）。</w:t>
      </w:r>
    </w:p>
    <w:p w14:paraId="23ACB4A9">
      <w:pPr>
        <w:numPr>
          <w:ilvl w:val="0"/>
          <w:numId w:val="1"/>
        </w:numPr>
        <w:topLinePunct w:val="0"/>
        <w:autoSpaceDE/>
        <w:autoSpaceDN/>
        <w:spacing w:line="360" w:lineRule="auto"/>
        <w:ind w:firstLine="482" w:firstLineChars="200"/>
        <w:jc w:val="both"/>
        <w:rPr>
          <w:rFonts w:hint="eastAsia" w:ascii="宋体" w:hAnsi="宋体" w:eastAsia="宋体" w:cs="宋体"/>
          <w:b/>
          <w:bCs/>
          <w:snapToGrid/>
          <w:color w:val="auto"/>
          <w:sz w:val="24"/>
          <w:szCs w:val="24"/>
          <w:highlight w:val="none"/>
          <w:lang w:eastAsia="zh-CN"/>
        </w:rPr>
      </w:pPr>
      <w:r>
        <w:rPr>
          <w:rFonts w:hint="eastAsia" w:ascii="宋体" w:hAnsi="宋体" w:eastAsia="宋体" w:cs="宋体"/>
          <w:b/>
          <w:bCs/>
          <w:snapToGrid/>
          <w:color w:val="auto"/>
          <w:sz w:val="24"/>
          <w:szCs w:val="24"/>
          <w:highlight w:val="none"/>
          <w:lang w:eastAsia="zh-CN"/>
        </w:rPr>
        <w:t>根据投标人所投活塞调流阀的性能、运行工况、过流能力、流量调节、气蚀、噪音、使用寿命，投标人针对本项目所供活塞调流阀随时满足省级及以上权威检测机构抽检合格的承诺等，横向比较综合打分，（1～4分）。</w:t>
      </w:r>
    </w:p>
    <w:p w14:paraId="73897DC2">
      <w:pPr>
        <w:numPr>
          <w:ilvl w:val="0"/>
          <w:numId w:val="1"/>
        </w:numPr>
        <w:topLinePunct w:val="0"/>
        <w:autoSpaceDE/>
        <w:autoSpaceDN/>
        <w:spacing w:line="360" w:lineRule="auto"/>
        <w:ind w:firstLine="482" w:firstLineChars="200"/>
        <w:jc w:val="both"/>
        <w:rPr>
          <w:rFonts w:hint="eastAsia" w:ascii="宋体" w:hAnsi="宋体" w:eastAsia="宋体" w:cs="宋体"/>
          <w:b/>
          <w:bCs/>
          <w:snapToGrid/>
          <w:color w:val="auto"/>
          <w:sz w:val="24"/>
          <w:szCs w:val="24"/>
          <w:highlight w:val="none"/>
          <w:lang w:eastAsia="zh-CN"/>
        </w:rPr>
      </w:pPr>
      <w:r>
        <w:rPr>
          <w:rFonts w:hint="eastAsia" w:ascii="宋体" w:hAnsi="宋体" w:eastAsia="宋体" w:cs="宋体"/>
          <w:b/>
          <w:bCs/>
          <w:snapToGrid/>
          <w:color w:val="auto"/>
          <w:sz w:val="24"/>
          <w:szCs w:val="24"/>
          <w:highlight w:val="none"/>
          <w:lang w:val="en-US" w:eastAsia="zh-CN"/>
        </w:rPr>
        <w:t>据投标人所投固定锥阀的性能、运行工况、过流能力、流量调节、气蚀、噪音、使用寿命，投标人针对本项目所供固定锥阀随时满足省级及以上权威检测机构抽检合格的承诺等，横向比较综合打分</w:t>
      </w:r>
      <w:r>
        <w:rPr>
          <w:rFonts w:hint="eastAsia" w:ascii="宋体" w:hAnsi="宋体" w:eastAsia="宋体" w:cs="宋体"/>
          <w:b/>
          <w:bCs/>
          <w:snapToGrid/>
          <w:color w:val="auto"/>
          <w:sz w:val="24"/>
          <w:szCs w:val="24"/>
          <w:highlight w:val="none"/>
          <w:lang w:eastAsia="zh-CN"/>
        </w:rPr>
        <w:t>，（1～4分）。</w:t>
      </w:r>
    </w:p>
    <w:p w14:paraId="19750EB9">
      <w:pPr>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5</w:t>
      </w:r>
      <w:r>
        <w:rPr>
          <w:rFonts w:hint="eastAsia" w:ascii="宋体" w:hAnsi="宋体" w:eastAsia="宋体" w:cs="宋体"/>
          <w:snapToGrid/>
          <w:color w:val="auto"/>
          <w:sz w:val="24"/>
          <w:szCs w:val="24"/>
          <w:highlight w:val="none"/>
          <w:lang w:eastAsia="zh-CN"/>
        </w:rPr>
        <w:t>）根据投标人所投电动执行机构的防护等级、控制功能、操作灵活性等，横向比较综合打分，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15F23310">
      <w:pPr>
        <w:topLinePunct w:val="0"/>
        <w:spacing w:line="360" w:lineRule="auto"/>
        <w:ind w:firstLine="480" w:firstLineChars="200"/>
        <w:jc w:val="both"/>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6</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rPr>
        <w:t>根据投标人</w:t>
      </w:r>
      <w:r>
        <w:rPr>
          <w:rFonts w:hint="eastAsia" w:ascii="宋体" w:hAnsi="宋体" w:eastAsia="宋体" w:cs="宋体"/>
          <w:snapToGrid/>
          <w:color w:val="auto"/>
          <w:sz w:val="24"/>
          <w:szCs w:val="24"/>
          <w:highlight w:val="none"/>
          <w:lang w:eastAsia="zh-CN"/>
        </w:rPr>
        <w:t>所投</w:t>
      </w:r>
      <w:r>
        <w:rPr>
          <w:rFonts w:hint="eastAsia" w:ascii="宋体" w:hAnsi="宋体" w:eastAsia="宋体" w:cs="宋体"/>
          <w:snapToGrid/>
          <w:color w:val="auto"/>
          <w:sz w:val="24"/>
          <w:szCs w:val="24"/>
          <w:highlight w:val="none"/>
          <w:lang w:val="en-US" w:eastAsia="zh-CN"/>
        </w:rPr>
        <w:t>电磁流量计、超声波流量计流速测量范围、测量精度等性能的优异性等，</w:t>
      </w:r>
      <w:r>
        <w:rPr>
          <w:rFonts w:hint="eastAsia" w:ascii="宋体" w:hAnsi="宋体" w:eastAsia="宋体" w:cs="宋体"/>
          <w:snapToGrid/>
          <w:color w:val="auto"/>
          <w:sz w:val="24"/>
          <w:szCs w:val="24"/>
          <w:highlight w:val="none"/>
        </w:rPr>
        <w:t>横向比较</w:t>
      </w:r>
      <w:r>
        <w:rPr>
          <w:rFonts w:hint="eastAsia" w:ascii="宋体" w:hAnsi="宋体" w:eastAsia="宋体" w:cs="宋体"/>
          <w:snapToGrid/>
          <w:color w:val="auto"/>
          <w:sz w:val="24"/>
          <w:szCs w:val="24"/>
          <w:highlight w:val="none"/>
          <w:lang w:eastAsia="zh-CN"/>
        </w:rPr>
        <w:t>综合</w:t>
      </w:r>
      <w:r>
        <w:rPr>
          <w:rFonts w:hint="eastAsia" w:ascii="宋体" w:hAnsi="宋体" w:eastAsia="宋体" w:cs="宋体"/>
          <w:snapToGrid/>
          <w:color w:val="auto"/>
          <w:sz w:val="24"/>
          <w:szCs w:val="24"/>
          <w:highlight w:val="none"/>
        </w:rPr>
        <w:t>打分</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14CFE414">
      <w:pPr>
        <w:topLinePunct w:val="0"/>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7</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rPr>
        <w:t>根据投标人</w:t>
      </w:r>
      <w:r>
        <w:rPr>
          <w:rFonts w:hint="eastAsia" w:ascii="宋体" w:hAnsi="宋体" w:eastAsia="宋体" w:cs="宋体"/>
          <w:snapToGrid/>
          <w:color w:val="auto"/>
          <w:sz w:val="24"/>
          <w:szCs w:val="24"/>
          <w:highlight w:val="none"/>
          <w:lang w:eastAsia="zh-CN"/>
        </w:rPr>
        <w:t>所投</w:t>
      </w:r>
      <w:r>
        <w:rPr>
          <w:rFonts w:hint="eastAsia" w:ascii="宋体" w:hAnsi="宋体" w:eastAsia="宋体" w:cs="宋体"/>
          <w:snapToGrid/>
          <w:color w:val="auto"/>
          <w:sz w:val="24"/>
          <w:szCs w:val="24"/>
          <w:highlight w:val="none"/>
          <w:lang w:val="en-US" w:eastAsia="zh-CN"/>
        </w:rPr>
        <w:t>超声波流量计流量管理系统服务器、工作站和网络设备等硬件配置性能的优异性和流量管理系统软件的开放性、可拓展性等，</w:t>
      </w:r>
      <w:r>
        <w:rPr>
          <w:rFonts w:hint="eastAsia" w:ascii="宋体" w:hAnsi="宋体" w:eastAsia="宋体" w:cs="宋体"/>
          <w:snapToGrid/>
          <w:color w:val="auto"/>
          <w:sz w:val="24"/>
          <w:szCs w:val="24"/>
          <w:highlight w:val="none"/>
        </w:rPr>
        <w:t>横向比较</w:t>
      </w:r>
      <w:r>
        <w:rPr>
          <w:rFonts w:hint="eastAsia" w:ascii="宋体" w:hAnsi="宋体" w:eastAsia="宋体" w:cs="宋体"/>
          <w:snapToGrid/>
          <w:color w:val="auto"/>
          <w:sz w:val="24"/>
          <w:szCs w:val="24"/>
          <w:highlight w:val="none"/>
          <w:lang w:eastAsia="zh-CN"/>
        </w:rPr>
        <w:t>综合</w:t>
      </w:r>
      <w:r>
        <w:rPr>
          <w:rFonts w:hint="eastAsia" w:ascii="宋体" w:hAnsi="宋体" w:eastAsia="宋体" w:cs="宋体"/>
          <w:snapToGrid/>
          <w:color w:val="auto"/>
          <w:sz w:val="24"/>
          <w:szCs w:val="24"/>
          <w:highlight w:val="none"/>
        </w:rPr>
        <w:t>打分</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38DDE838">
      <w:pPr>
        <w:kinsoku/>
        <w:topLinePunct/>
        <w:autoSpaceDE/>
        <w:autoSpaceDN/>
        <w:adjustRightInd/>
        <w:snapToGrid/>
        <w:spacing w:line="360"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rPr>
        <w:t>主</w:t>
      </w:r>
      <w:r>
        <w:rPr>
          <w:rFonts w:hint="eastAsia" w:ascii="宋体" w:hAnsi="宋体" w:eastAsia="宋体" w:cs="宋体"/>
          <w:color w:val="auto"/>
          <w:sz w:val="24"/>
          <w:szCs w:val="24"/>
          <w:highlight w:val="none"/>
        </w:rPr>
        <w:t>要制作材料选用的比较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3～6分</w:t>
      </w:r>
      <w:r>
        <w:rPr>
          <w:rFonts w:hint="eastAsia" w:ascii="宋体" w:hAnsi="宋体" w:eastAsia="宋体" w:cs="宋体"/>
          <w:color w:val="auto"/>
          <w:sz w:val="24"/>
          <w:szCs w:val="24"/>
          <w:highlight w:val="none"/>
          <w:lang w:eastAsia="zh-CN"/>
        </w:rPr>
        <w:t>）</w:t>
      </w:r>
    </w:p>
    <w:p w14:paraId="6C72B2F4">
      <w:pPr>
        <w:pStyle w:val="13"/>
        <w:numPr>
          <w:ilvl w:val="0"/>
          <w:numId w:val="0"/>
        </w:numPr>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snapToGrid/>
          <w:color w:val="auto"/>
          <w:sz w:val="24"/>
          <w:szCs w:val="24"/>
          <w:highlight w:val="none"/>
          <w:lang w:val="en-US" w:eastAsia="zh-CN" w:bidi="ar-SA"/>
        </w:rPr>
        <w:t>（1）</w:t>
      </w:r>
      <w:r>
        <w:rPr>
          <w:rFonts w:hint="eastAsia" w:ascii="宋体" w:hAnsi="宋体" w:eastAsia="宋体" w:cs="宋体"/>
          <w:color w:val="auto"/>
          <w:sz w:val="24"/>
          <w:szCs w:val="24"/>
          <w:highlight w:val="none"/>
        </w:rPr>
        <w:t>根据阀体内外防腐技术，涂层厚度及所提供的防腐材料成分性能检验报告内容等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横向比较</w:t>
      </w:r>
      <w:r>
        <w:rPr>
          <w:rFonts w:hint="eastAsia" w:ascii="宋体" w:hAnsi="宋体" w:eastAsia="宋体" w:cs="宋体"/>
          <w:color w:val="auto"/>
          <w:sz w:val="24"/>
          <w:szCs w:val="24"/>
          <w:highlight w:val="none"/>
          <w:lang w:eastAsia="zh-CN"/>
        </w:rPr>
        <w:t>综合</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2CC1F57E">
      <w:pPr>
        <w:pStyle w:val="13"/>
        <w:numPr>
          <w:ilvl w:val="0"/>
          <w:numId w:val="0"/>
        </w:numPr>
        <w:topLinePunct/>
        <w:spacing w:line="360" w:lineRule="auto"/>
        <w:ind w:firstLine="480" w:firstLineChars="200"/>
        <w:jc w:val="both"/>
        <w:rPr>
          <w:rFonts w:hint="eastAsia" w:ascii="宋体" w:hAnsi="宋体" w:eastAsia="宋体" w:cs="宋体"/>
          <w:snapToGrid/>
          <w:color w:val="auto"/>
          <w:sz w:val="24"/>
          <w:szCs w:val="24"/>
          <w:highlight w:val="none"/>
        </w:rPr>
      </w:pPr>
      <w:r>
        <w:rPr>
          <w:rFonts w:hint="eastAsia" w:ascii="宋体" w:hAnsi="宋体" w:eastAsia="宋体" w:cs="宋体"/>
          <w:snapToGrid/>
          <w:color w:val="auto"/>
          <w:sz w:val="24"/>
          <w:szCs w:val="24"/>
          <w:highlight w:val="none"/>
          <w:lang w:val="en-US" w:eastAsia="zh-CN" w:bidi="ar-SA"/>
        </w:rPr>
        <w:t>（2）</w:t>
      </w:r>
      <w:r>
        <w:rPr>
          <w:rFonts w:hint="eastAsia" w:ascii="宋体" w:hAnsi="宋体" w:eastAsia="宋体" w:cs="宋体"/>
          <w:snapToGrid/>
          <w:color w:val="auto"/>
          <w:sz w:val="24"/>
          <w:szCs w:val="24"/>
          <w:highlight w:val="none"/>
        </w:rPr>
        <w:t>根据投标人</w:t>
      </w:r>
      <w:r>
        <w:rPr>
          <w:rFonts w:hint="eastAsia" w:ascii="宋体" w:hAnsi="宋体" w:eastAsia="宋体" w:cs="宋体"/>
          <w:snapToGrid/>
          <w:color w:val="auto"/>
          <w:sz w:val="24"/>
          <w:szCs w:val="24"/>
          <w:highlight w:val="none"/>
          <w:lang w:eastAsia="zh-CN"/>
        </w:rPr>
        <w:t>所投</w:t>
      </w:r>
      <w:r>
        <w:rPr>
          <w:rFonts w:hint="eastAsia" w:ascii="宋体" w:hAnsi="宋体" w:eastAsia="宋体" w:cs="宋体"/>
          <w:snapToGrid/>
          <w:color w:val="auto"/>
          <w:sz w:val="24"/>
          <w:szCs w:val="24"/>
          <w:highlight w:val="none"/>
          <w:lang w:val="en-US" w:eastAsia="zh-CN"/>
        </w:rPr>
        <w:t>各类阀门</w:t>
      </w:r>
      <w:r>
        <w:rPr>
          <w:rFonts w:hint="eastAsia" w:ascii="宋体" w:hAnsi="宋体" w:eastAsia="宋体" w:cs="宋体"/>
          <w:snapToGrid/>
          <w:color w:val="auto"/>
          <w:sz w:val="24"/>
          <w:szCs w:val="24"/>
          <w:highlight w:val="none"/>
        </w:rPr>
        <w:t>的主要部件材质材料的优异性</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先进性、耐久性</w:t>
      </w:r>
      <w:r>
        <w:rPr>
          <w:rFonts w:hint="eastAsia" w:ascii="宋体" w:hAnsi="宋体" w:cs="宋体"/>
          <w:snapToGrid/>
          <w:color w:val="auto"/>
          <w:sz w:val="24"/>
          <w:szCs w:val="24"/>
          <w:highlight w:val="none"/>
          <w:lang w:val="en-US" w:eastAsia="zh-CN"/>
        </w:rPr>
        <w:t>等，</w:t>
      </w:r>
      <w:r>
        <w:rPr>
          <w:rFonts w:hint="eastAsia" w:ascii="宋体" w:hAnsi="宋体" w:eastAsia="宋体" w:cs="宋体"/>
          <w:snapToGrid/>
          <w:color w:val="auto"/>
          <w:sz w:val="24"/>
          <w:szCs w:val="24"/>
          <w:highlight w:val="none"/>
        </w:rPr>
        <w:t>横向比较</w:t>
      </w:r>
      <w:r>
        <w:rPr>
          <w:rFonts w:hint="eastAsia" w:ascii="宋体" w:hAnsi="宋体" w:eastAsia="宋体" w:cs="宋体"/>
          <w:snapToGrid/>
          <w:color w:val="auto"/>
          <w:sz w:val="24"/>
          <w:szCs w:val="24"/>
          <w:highlight w:val="none"/>
          <w:lang w:eastAsia="zh-CN"/>
        </w:rPr>
        <w:t>综合</w:t>
      </w:r>
      <w:r>
        <w:rPr>
          <w:rFonts w:hint="eastAsia" w:ascii="宋体" w:hAnsi="宋体" w:eastAsia="宋体" w:cs="宋体"/>
          <w:snapToGrid/>
          <w:color w:val="auto"/>
          <w:sz w:val="24"/>
          <w:szCs w:val="24"/>
          <w:highlight w:val="none"/>
        </w:rPr>
        <w:t>打分</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rPr>
        <w:t>（</w:t>
      </w:r>
      <w:r>
        <w:rPr>
          <w:rFonts w:hint="eastAsia" w:ascii="宋体" w:hAnsi="宋体" w:eastAsia="宋体" w:cs="宋体"/>
          <w:snapToGrid/>
          <w:color w:val="auto"/>
          <w:sz w:val="24"/>
          <w:szCs w:val="24"/>
          <w:highlight w:val="none"/>
          <w:lang w:val="en-US" w:eastAsia="zh-CN"/>
        </w:rPr>
        <w:t>1</w:t>
      </w:r>
      <w:r>
        <w:rPr>
          <w:rFonts w:hint="eastAsia" w:ascii="宋体" w:hAnsi="宋体" w:eastAsia="宋体" w:cs="宋体"/>
          <w:snapToGrid/>
          <w:color w:val="auto"/>
          <w:sz w:val="24"/>
          <w:szCs w:val="24"/>
          <w:highlight w:val="none"/>
        </w:rPr>
        <w:t>～</w:t>
      </w:r>
      <w:r>
        <w:rPr>
          <w:rFonts w:hint="eastAsia" w:ascii="宋体" w:hAnsi="宋体" w:eastAsia="宋体" w:cs="宋体"/>
          <w:snapToGrid/>
          <w:color w:val="auto"/>
          <w:sz w:val="24"/>
          <w:szCs w:val="24"/>
          <w:highlight w:val="none"/>
          <w:lang w:val="en-US" w:eastAsia="zh-CN"/>
        </w:rPr>
        <w:t>2</w:t>
      </w:r>
      <w:r>
        <w:rPr>
          <w:rFonts w:hint="eastAsia" w:ascii="宋体" w:hAnsi="宋体" w:eastAsia="宋体" w:cs="宋体"/>
          <w:snapToGrid/>
          <w:color w:val="auto"/>
          <w:sz w:val="24"/>
          <w:szCs w:val="24"/>
          <w:highlight w:val="none"/>
        </w:rPr>
        <w:t>分）。</w:t>
      </w:r>
    </w:p>
    <w:p w14:paraId="4FF4CB43">
      <w:pPr>
        <w:kinsoku/>
        <w:topLinePunct/>
        <w:autoSpaceDE/>
        <w:autoSpaceDN/>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3</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rPr>
        <w:t>根据投标人</w:t>
      </w:r>
      <w:r>
        <w:rPr>
          <w:rFonts w:hint="eastAsia" w:ascii="宋体" w:hAnsi="宋体" w:eastAsia="宋体" w:cs="宋体"/>
          <w:snapToGrid/>
          <w:color w:val="auto"/>
          <w:sz w:val="24"/>
          <w:szCs w:val="24"/>
          <w:highlight w:val="none"/>
          <w:lang w:eastAsia="zh-CN"/>
        </w:rPr>
        <w:t>所投</w:t>
      </w:r>
      <w:r>
        <w:rPr>
          <w:rFonts w:hint="eastAsia" w:ascii="宋体" w:hAnsi="宋体" w:eastAsia="宋体" w:cs="宋体"/>
          <w:snapToGrid/>
          <w:color w:val="auto"/>
          <w:sz w:val="24"/>
          <w:szCs w:val="24"/>
          <w:highlight w:val="none"/>
          <w:lang w:val="en-US" w:eastAsia="zh-CN"/>
        </w:rPr>
        <w:t>电磁流量计传感器、电极材料等</w:t>
      </w:r>
      <w:r>
        <w:rPr>
          <w:rFonts w:hint="eastAsia" w:ascii="宋体" w:hAnsi="宋体" w:eastAsia="宋体" w:cs="宋体"/>
          <w:snapToGrid/>
          <w:color w:val="auto"/>
          <w:sz w:val="24"/>
          <w:szCs w:val="24"/>
          <w:highlight w:val="none"/>
        </w:rPr>
        <w:t>主要部件材质材料的</w:t>
      </w:r>
      <w:r>
        <w:rPr>
          <w:rFonts w:hint="eastAsia" w:ascii="宋体" w:hAnsi="宋体" w:eastAsia="宋体" w:cs="宋体"/>
          <w:snapToGrid/>
          <w:color w:val="auto"/>
          <w:sz w:val="24"/>
          <w:szCs w:val="24"/>
          <w:highlight w:val="none"/>
          <w:lang w:val="en-US" w:eastAsia="zh-CN"/>
        </w:rPr>
        <w:t>优异性等，</w:t>
      </w:r>
      <w:r>
        <w:rPr>
          <w:rFonts w:hint="eastAsia" w:ascii="宋体" w:hAnsi="宋体" w:eastAsia="宋体" w:cs="宋体"/>
          <w:snapToGrid/>
          <w:color w:val="auto"/>
          <w:sz w:val="24"/>
          <w:szCs w:val="24"/>
          <w:highlight w:val="none"/>
        </w:rPr>
        <w:t>横向比较</w:t>
      </w:r>
      <w:r>
        <w:rPr>
          <w:rFonts w:hint="eastAsia" w:ascii="宋体" w:hAnsi="宋体" w:eastAsia="宋体" w:cs="宋体"/>
          <w:snapToGrid/>
          <w:color w:val="auto"/>
          <w:sz w:val="24"/>
          <w:szCs w:val="24"/>
          <w:highlight w:val="none"/>
          <w:lang w:eastAsia="zh-CN"/>
        </w:rPr>
        <w:t>综合</w:t>
      </w:r>
      <w:r>
        <w:rPr>
          <w:rFonts w:hint="eastAsia" w:ascii="宋体" w:hAnsi="宋体" w:eastAsia="宋体" w:cs="宋体"/>
          <w:snapToGrid/>
          <w:color w:val="auto"/>
          <w:sz w:val="24"/>
          <w:szCs w:val="24"/>
          <w:highlight w:val="none"/>
        </w:rPr>
        <w:t>打分</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rPr>
        <w:t>（</w:t>
      </w:r>
      <w:r>
        <w:rPr>
          <w:rFonts w:hint="eastAsia" w:ascii="宋体" w:hAnsi="宋体" w:eastAsia="宋体" w:cs="宋体"/>
          <w:snapToGrid/>
          <w:color w:val="auto"/>
          <w:sz w:val="24"/>
          <w:szCs w:val="24"/>
          <w:highlight w:val="none"/>
          <w:lang w:val="en-US" w:eastAsia="zh-CN"/>
        </w:rPr>
        <w:t>1</w:t>
      </w:r>
      <w:r>
        <w:rPr>
          <w:rFonts w:hint="eastAsia" w:ascii="宋体" w:hAnsi="宋体" w:eastAsia="宋体" w:cs="宋体"/>
          <w:snapToGrid/>
          <w:color w:val="auto"/>
          <w:sz w:val="24"/>
          <w:szCs w:val="24"/>
          <w:highlight w:val="none"/>
        </w:rPr>
        <w:t>～</w:t>
      </w:r>
      <w:r>
        <w:rPr>
          <w:rFonts w:hint="eastAsia" w:ascii="宋体" w:hAnsi="宋体" w:eastAsia="宋体" w:cs="宋体"/>
          <w:snapToGrid/>
          <w:color w:val="auto"/>
          <w:sz w:val="24"/>
          <w:szCs w:val="24"/>
          <w:highlight w:val="none"/>
          <w:lang w:val="en-US" w:eastAsia="zh-CN"/>
        </w:rPr>
        <w:t>2</w:t>
      </w:r>
      <w:r>
        <w:rPr>
          <w:rFonts w:hint="eastAsia" w:ascii="宋体" w:hAnsi="宋体" w:eastAsia="宋体" w:cs="宋体"/>
          <w:snapToGrid/>
          <w:color w:val="auto"/>
          <w:sz w:val="24"/>
          <w:szCs w:val="24"/>
          <w:highlight w:val="none"/>
        </w:rPr>
        <w:t>分）</w:t>
      </w:r>
      <w:r>
        <w:rPr>
          <w:rFonts w:hint="eastAsia" w:ascii="宋体" w:hAnsi="宋体" w:eastAsia="宋体" w:cs="宋体"/>
          <w:snapToGrid/>
          <w:color w:val="auto"/>
          <w:sz w:val="24"/>
          <w:szCs w:val="24"/>
          <w:highlight w:val="none"/>
          <w:lang w:eastAsia="zh-CN"/>
        </w:rPr>
        <w:t>。</w:t>
      </w:r>
    </w:p>
    <w:p w14:paraId="7DBD286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辅助制作材料及配件选用的比较</w:t>
      </w:r>
    </w:p>
    <w:p w14:paraId="73CEEFE1">
      <w:pPr>
        <w:kinsoku/>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5～16分</w:t>
      </w:r>
      <w:r>
        <w:rPr>
          <w:rFonts w:hint="eastAsia" w:ascii="宋体" w:hAnsi="宋体" w:eastAsia="宋体" w:cs="宋体"/>
          <w:color w:val="auto"/>
          <w:sz w:val="24"/>
          <w:szCs w:val="24"/>
          <w:highlight w:val="none"/>
          <w:lang w:eastAsia="zh-CN"/>
        </w:rPr>
        <w:t>）</w:t>
      </w:r>
    </w:p>
    <w:p w14:paraId="3E1B77BA">
      <w:pPr>
        <w:pStyle w:val="13"/>
        <w:topLinePunct/>
        <w:spacing w:after="0"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1</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根据投标人的服务实施方案的科学性、合理性、规范性、可操作性，包括设计、生产、供货、使用维护培训、项目验收等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横向比较</w:t>
      </w:r>
      <w:r>
        <w:rPr>
          <w:rFonts w:hint="eastAsia" w:ascii="宋体" w:hAnsi="宋体" w:eastAsia="宋体" w:cs="宋体"/>
          <w:color w:val="auto"/>
          <w:sz w:val="24"/>
          <w:szCs w:val="24"/>
          <w:highlight w:val="none"/>
          <w:lang w:eastAsia="zh-CN"/>
        </w:rPr>
        <w:t>综合</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3EB5EB59">
      <w:pPr>
        <w:pStyle w:val="13"/>
        <w:topLinePunct/>
        <w:spacing w:after="0" w:line="360" w:lineRule="auto"/>
        <w:ind w:firstLine="480" w:firstLineChars="200"/>
        <w:jc w:val="both"/>
        <w:rPr>
          <w:rFonts w:hint="eastAsia" w:ascii="宋体" w:hAnsi="宋体" w:eastAsia="宋体" w:cs="宋体"/>
          <w:snapToGrid/>
          <w:color w:val="auto"/>
          <w:sz w:val="24"/>
          <w:szCs w:val="24"/>
          <w:highlight w:val="none"/>
          <w:lang w:val="en-US"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2</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根据投标人大直径阀门运输方案的科学性、合理性、可操作性等</w:t>
      </w:r>
      <w:r>
        <w:rPr>
          <w:rFonts w:hint="eastAsia" w:ascii="宋体" w:hAnsi="宋体" w:cs="宋体"/>
          <w:snapToGrid/>
          <w:color w:val="auto"/>
          <w:sz w:val="24"/>
          <w:szCs w:val="24"/>
          <w:highlight w:val="none"/>
          <w:lang w:val="en-US" w:eastAsia="zh-CN"/>
        </w:rPr>
        <w:t>，</w:t>
      </w:r>
      <w:r>
        <w:rPr>
          <w:rFonts w:hint="eastAsia" w:ascii="宋体" w:hAnsi="宋体" w:eastAsia="宋体" w:cs="宋体"/>
          <w:snapToGrid/>
          <w:color w:val="auto"/>
          <w:sz w:val="24"/>
          <w:szCs w:val="24"/>
          <w:highlight w:val="none"/>
          <w:lang w:val="en-US" w:eastAsia="zh-CN"/>
        </w:rPr>
        <w:t>横向比较综合打分，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30AEE9CC">
      <w:pPr>
        <w:pStyle w:val="13"/>
        <w:topLinePunct/>
        <w:spacing w:after="0"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3</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根据投标人指导安装方案的科学性、合理性、可操作性等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横向比较</w:t>
      </w:r>
      <w:r>
        <w:rPr>
          <w:rFonts w:hint="eastAsia" w:ascii="宋体" w:hAnsi="宋体" w:eastAsia="宋体" w:cs="宋体"/>
          <w:color w:val="auto"/>
          <w:sz w:val="24"/>
          <w:szCs w:val="24"/>
          <w:highlight w:val="none"/>
          <w:lang w:eastAsia="zh-CN"/>
        </w:rPr>
        <w:t>综合</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p>
    <w:p w14:paraId="06FCD936">
      <w:pPr>
        <w:pStyle w:val="13"/>
        <w:topLinePunct/>
        <w:spacing w:after="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4</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根据投标人</w:t>
      </w:r>
      <w:r>
        <w:rPr>
          <w:rFonts w:hint="eastAsia" w:ascii="宋体" w:hAnsi="宋体" w:eastAsia="宋体" w:cs="宋体"/>
          <w:color w:val="auto"/>
          <w:sz w:val="24"/>
          <w:szCs w:val="24"/>
          <w:highlight w:val="none"/>
          <w:lang w:val="en-US" w:eastAsia="zh-CN"/>
        </w:rPr>
        <w:t>阀门</w:t>
      </w:r>
      <w:r>
        <w:rPr>
          <w:rFonts w:hint="eastAsia" w:ascii="宋体" w:hAnsi="宋体" w:eastAsia="宋体" w:cs="宋体"/>
          <w:color w:val="auto"/>
          <w:sz w:val="24"/>
          <w:szCs w:val="24"/>
          <w:highlight w:val="none"/>
        </w:rPr>
        <w:t>吊装维修方案的科学性、合理性、可操作性等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横向比较</w:t>
      </w:r>
      <w:r>
        <w:rPr>
          <w:rFonts w:hint="eastAsia" w:ascii="宋体" w:hAnsi="宋体" w:eastAsia="宋体" w:cs="宋体"/>
          <w:color w:val="auto"/>
          <w:sz w:val="24"/>
          <w:szCs w:val="24"/>
          <w:highlight w:val="none"/>
          <w:lang w:eastAsia="zh-CN"/>
        </w:rPr>
        <w:t>综合</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w:t>
      </w:r>
    </w:p>
    <w:p w14:paraId="26A5C7FD">
      <w:pPr>
        <w:pStyle w:val="13"/>
        <w:topLinePunct/>
        <w:spacing w:after="0" w:line="360" w:lineRule="auto"/>
        <w:ind w:firstLine="480" w:firstLineChars="20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根据投标人或所投的活塞阀、固定锥阀生产制造商是否具有模型试验或真机试验能力，是否具有不同规模大小的模型试验平台，以及模型试验或真机试验方案的科学性、合理性、可操作性等，横向比较综合打分</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lang w:val="en-US" w:eastAsia="zh-CN"/>
        </w:rPr>
        <w:t>。</w:t>
      </w:r>
    </w:p>
    <w:p w14:paraId="42BBC08E">
      <w:pPr>
        <w:kinsoku/>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2～6分</w:t>
      </w:r>
      <w:r>
        <w:rPr>
          <w:rFonts w:hint="eastAsia" w:ascii="宋体" w:hAnsi="宋体" w:eastAsia="宋体" w:cs="宋体"/>
          <w:color w:val="auto"/>
          <w:sz w:val="24"/>
          <w:szCs w:val="24"/>
          <w:highlight w:val="none"/>
          <w:lang w:eastAsia="zh-CN"/>
        </w:rPr>
        <w:t>）</w:t>
      </w:r>
    </w:p>
    <w:p w14:paraId="4B755CA7">
      <w:pPr>
        <w:pStyle w:val="13"/>
        <w:numPr>
          <w:ilvl w:val="0"/>
          <w:numId w:val="0"/>
        </w:numPr>
        <w:topLinePunct/>
        <w:spacing w:after="0"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1</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根据投标人响应速度时间、售后服务承诺</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提供的售后服务方案可行性、完整性</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提供的售后队伍人员数量、经验、响应速度以及服务承诺落实的保障措施，质保期内外的后续技术支持和维护能力等</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横向比较</w:t>
      </w:r>
      <w:r>
        <w:rPr>
          <w:rFonts w:hint="eastAsia" w:ascii="宋体" w:hAnsi="宋体" w:eastAsia="宋体" w:cs="宋体"/>
          <w:color w:val="auto"/>
          <w:sz w:val="24"/>
          <w:szCs w:val="24"/>
          <w:highlight w:val="none"/>
          <w:lang w:eastAsia="zh-CN"/>
        </w:rPr>
        <w:t>综合</w:t>
      </w:r>
      <w:r>
        <w:rPr>
          <w:rFonts w:hint="eastAsia" w:ascii="宋体" w:hAnsi="宋体" w:eastAsia="宋体" w:cs="宋体"/>
          <w:color w:val="auto"/>
          <w:sz w:val="24"/>
          <w:szCs w:val="24"/>
          <w:highlight w:val="none"/>
        </w:rPr>
        <w:t>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2.5</w:t>
      </w:r>
      <w:r>
        <w:rPr>
          <w:rFonts w:hint="eastAsia" w:ascii="宋体" w:hAnsi="宋体" w:eastAsia="宋体" w:cs="宋体"/>
          <w:color w:val="auto"/>
          <w:sz w:val="24"/>
          <w:szCs w:val="24"/>
          <w:highlight w:val="none"/>
          <w:lang w:eastAsia="zh-CN"/>
        </w:rPr>
        <w:t>分）。</w:t>
      </w:r>
    </w:p>
    <w:p w14:paraId="13033560">
      <w:pPr>
        <w:pStyle w:val="13"/>
        <w:numPr>
          <w:ilvl w:val="0"/>
          <w:numId w:val="0"/>
        </w:numPr>
        <w:topLinePunct/>
        <w:spacing w:after="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2</w:t>
      </w: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bidi="ar-SA"/>
        </w:rPr>
        <w:t>根据</w:t>
      </w:r>
      <w:r>
        <w:rPr>
          <w:rFonts w:hint="eastAsia" w:ascii="宋体" w:hAnsi="宋体" w:eastAsia="宋体" w:cs="宋体"/>
          <w:color w:val="auto"/>
          <w:sz w:val="24"/>
          <w:szCs w:val="24"/>
          <w:highlight w:val="none"/>
        </w:rPr>
        <w:t>投标人的供货进度安排及相应保障措施</w:t>
      </w:r>
      <w:r>
        <w:rPr>
          <w:rFonts w:hint="eastAsia" w:ascii="宋体" w:hAnsi="宋体" w:eastAsia="宋体" w:cs="宋体"/>
          <w:color w:val="auto"/>
          <w:sz w:val="24"/>
          <w:szCs w:val="24"/>
          <w:highlight w:val="none"/>
          <w:lang w:val="en-US" w:eastAsia="zh-CN"/>
        </w:rPr>
        <w:t>等</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横向比较综合打分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p>
    <w:p w14:paraId="48C8A4A3">
      <w:pPr>
        <w:pStyle w:val="13"/>
        <w:numPr>
          <w:ilvl w:val="0"/>
          <w:numId w:val="0"/>
        </w:numPr>
        <w:topLinePunct/>
        <w:spacing w:after="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3</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投标人在投标文件中承诺的24个月质保期基础上每增加一年的，得</w:t>
      </w:r>
      <w:r>
        <w:rPr>
          <w:rFonts w:hint="eastAsia" w:ascii="宋体" w:hAnsi="宋体" w:eastAsia="宋体" w:cs="宋体"/>
          <w:b/>
          <w:bCs/>
          <w:color w:val="auto"/>
          <w:sz w:val="24"/>
          <w:szCs w:val="24"/>
          <w:highlight w:val="none"/>
          <w:lang w:val="en-US" w:eastAsia="zh-CN"/>
        </w:rPr>
        <w:t>0.</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5</w:t>
      </w:r>
      <w:r>
        <w:rPr>
          <w:rFonts w:hint="eastAsia" w:ascii="宋体" w:hAnsi="宋体" w:eastAsia="宋体" w:cs="宋体"/>
          <w:color w:val="auto"/>
          <w:sz w:val="24"/>
          <w:szCs w:val="24"/>
          <w:highlight w:val="none"/>
        </w:rPr>
        <w:t>分，不足一年的不加分，此项目最多得</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1.5分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w:t>
      </w:r>
    </w:p>
    <w:p w14:paraId="40C6B2F1">
      <w:pPr>
        <w:kinsoku/>
        <w:topLinePunct/>
        <w:spacing w:line="360"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投标人提供的样品质量比较</w:t>
      </w:r>
    </w:p>
    <w:p w14:paraId="08C717C0">
      <w:pPr>
        <w:kinsoku/>
        <w:topLinePunct/>
        <w:spacing w:line="360"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0～1分</w:t>
      </w:r>
      <w:r>
        <w:rPr>
          <w:rFonts w:hint="eastAsia" w:ascii="宋体" w:hAnsi="宋体" w:eastAsia="宋体" w:cs="宋体"/>
          <w:color w:val="auto"/>
          <w:sz w:val="24"/>
          <w:szCs w:val="24"/>
          <w:highlight w:val="none"/>
          <w:lang w:eastAsia="zh-CN"/>
        </w:rPr>
        <w:t>）</w:t>
      </w:r>
    </w:p>
    <w:p w14:paraId="12B99E5D">
      <w:pPr>
        <w:kinsoku/>
        <w:topLinePunct/>
        <w:spacing w:line="360"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1</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根据投标人</w:t>
      </w:r>
      <w:r>
        <w:rPr>
          <w:rFonts w:hint="eastAsia" w:ascii="宋体" w:hAnsi="宋体" w:eastAsia="宋体" w:cs="宋体"/>
          <w:color w:val="auto"/>
          <w:sz w:val="24"/>
          <w:szCs w:val="24"/>
          <w:highlight w:val="none"/>
          <w:lang w:val="en-US" w:eastAsia="zh-CN"/>
        </w:rPr>
        <w:t>所投设备的品牌响应情况，横向比较综合打分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分）。</w:t>
      </w:r>
    </w:p>
    <w:p w14:paraId="31714670">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投标文件的商务标评审</w:t>
      </w:r>
    </w:p>
    <w:p w14:paraId="58C3BE89">
      <w:pPr>
        <w:kinsoku/>
        <w:topLinePunct/>
        <w:spacing w:line="360" w:lineRule="auto"/>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14:paraId="169002C3">
      <w:pPr>
        <w:kinsoku/>
        <w:topLinePunct/>
        <w:spacing w:line="360" w:lineRule="auto"/>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2.报价评审应以报价口径范围一致的投标评标价为依据。投标评标价应在最终报价的基础上，按照招标文件约定的因素和方法进行计算。</w:t>
      </w:r>
    </w:p>
    <w:p w14:paraId="03EC7647">
      <w:pPr>
        <w:kinsoku/>
        <w:topLinePunct/>
        <w:spacing w:line="360" w:lineRule="auto"/>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3.评标基准价由评标委员会依据下述方法计算，除计算差错外，确认后的评标基准价在本次招标期间保持不变。</w:t>
      </w:r>
    </w:p>
    <w:p w14:paraId="71AC4886">
      <w:pPr>
        <w:keepNext w:val="0"/>
        <w:keepLines w:val="0"/>
        <w:pageBreakBefore w:val="0"/>
        <w:widowControl/>
        <w:kinsoku/>
        <w:wordWrap/>
        <w:overflowPunct/>
        <w:topLinePunct/>
        <w:autoSpaceDE w:val="0"/>
        <w:autoSpaceDN w:val="0"/>
        <w:bidi w:val="0"/>
        <w:adjustRightInd w:val="0"/>
        <w:snapToGrid w:val="0"/>
        <w:spacing w:before="154" w:line="360" w:lineRule="auto"/>
        <w:ind w:left="0" w:firstLine="480" w:firstLineChars="200"/>
        <w:jc w:val="both"/>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计算差错，仅限于以下两种情况：（1）纯算术性四则运算差错；（2）未按约定的计算方法，多计或者少计投标人报价的。由于评标差错，导致否决投标错误，重新评标纠正等其他情况，不属于计算差错。</w:t>
      </w:r>
    </w:p>
    <w:p w14:paraId="1F7EE9BA">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4.报价评分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10～37</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w:t>
      </w:r>
    </w:p>
    <w:p w14:paraId="28C4C303">
      <w:pPr>
        <w:kinsoku/>
        <w:topLinePunct/>
        <w:spacing w:before="117" w:line="360" w:lineRule="auto"/>
        <w:ind w:left="51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平均价法（方法一）</w:t>
      </w:r>
    </w:p>
    <w:p w14:paraId="3734EA7E">
      <w:pPr>
        <w:kinsoku/>
        <w:topLinePunct/>
        <w:spacing w:before="156" w:line="360" w:lineRule="auto"/>
        <w:ind w:left="50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评分范围：通过符合性审查的所有投标文件进入评分范围。</w:t>
      </w:r>
    </w:p>
    <w:p w14:paraId="7E20D9FE">
      <w:pPr>
        <w:keepNext w:val="0"/>
        <w:keepLines w:val="0"/>
        <w:pageBreakBefore w:val="0"/>
        <w:widowControl/>
        <w:kinsoku/>
        <w:wordWrap/>
        <w:overflowPunct/>
        <w:topLinePunct/>
        <w:autoSpaceDE w:val="0"/>
        <w:autoSpaceDN w:val="0"/>
        <w:bidi w:val="0"/>
        <w:adjustRightInd w:val="0"/>
        <w:snapToGrid w:val="0"/>
        <w:spacing w:before="154"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评标基准价：进入评分范围的投标评标价的算术平均值为评标基准价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其中，投标评标价在5个至7个时，去除一个最高价和一个最低价；投标评标价在8个及以上时，去除一个最高、次高价和一个最低、次低价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1FB03C9F">
      <w:pPr>
        <w:kinsoku/>
        <w:topLinePunct/>
        <w:spacing w:line="360" w:lineRule="auto"/>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根据投标文件的投标评标价与评标基准价对比，计算投标人的商务报价的得分值。即：</w:t>
      </w:r>
    </w:p>
    <w:p w14:paraId="7A5CDEDD">
      <w:pPr>
        <w:kinsoku/>
        <w:topLinePunct/>
        <w:spacing w:before="156" w:line="360" w:lineRule="auto"/>
        <w:ind w:left="481"/>
        <w:jc w:val="both"/>
        <w:rPr>
          <w:rFonts w:hint="eastAsia" w:ascii="宋体" w:hAnsi="宋体" w:eastAsia="宋体" w:cs="宋体"/>
          <w:color w:val="auto"/>
          <w:sz w:val="24"/>
          <w:szCs w:val="24"/>
          <w:highlight w:val="none"/>
        </w:rPr>
      </w:pPr>
      <w:r>
        <w:rPr>
          <w:rFonts w:hint="eastAsia" w:ascii="宋体" w:hAnsi="宋体" w:eastAsia="宋体" w:cs="宋体"/>
          <w:color w:val="auto"/>
          <w:position w:val="15"/>
          <w:sz w:val="24"/>
          <w:szCs w:val="24"/>
          <w:highlight w:val="none"/>
        </w:rPr>
        <w:t>a.投标评标价等于评标基准价时，得满分</w:t>
      </w:r>
      <w:r>
        <w:rPr>
          <w:rFonts w:hint="eastAsia" w:ascii="宋体" w:hAnsi="宋体" w:eastAsia="宋体" w:cs="宋体"/>
          <w:color w:val="auto"/>
          <w:position w:val="15"/>
          <w:sz w:val="24"/>
          <w:szCs w:val="24"/>
          <w:highlight w:val="none"/>
          <w:lang w:val="en-US" w:eastAsia="zh-CN"/>
        </w:rPr>
        <w:t>37分（</w:t>
      </w:r>
      <w:r>
        <w:rPr>
          <w:rFonts w:hint="eastAsia" w:ascii="宋体" w:hAnsi="宋体" w:eastAsia="宋体" w:cs="宋体"/>
          <w:strike/>
          <w:color w:val="auto"/>
          <w:position w:val="15"/>
          <w:sz w:val="24"/>
          <w:szCs w:val="24"/>
          <w:highlight w:val="none"/>
          <w:lang w:eastAsia="zh-CN"/>
        </w:rPr>
        <w:t>0～</w:t>
      </w:r>
      <w:r>
        <w:rPr>
          <w:rFonts w:hint="eastAsia" w:ascii="宋体" w:hAnsi="宋体" w:eastAsia="宋体" w:cs="宋体"/>
          <w:strike/>
          <w:color w:val="auto"/>
          <w:position w:val="15"/>
          <w:sz w:val="24"/>
          <w:szCs w:val="24"/>
          <w:highlight w:val="none"/>
        </w:rPr>
        <w:t>37分</w:t>
      </w:r>
      <w:r>
        <w:rPr>
          <w:rFonts w:hint="eastAsia" w:ascii="宋体" w:hAnsi="宋体" w:eastAsia="宋体" w:cs="宋体"/>
          <w:strike/>
          <w:color w:val="auto"/>
          <w:position w:val="15"/>
          <w:sz w:val="24"/>
          <w:szCs w:val="24"/>
          <w:highlight w:val="none"/>
          <w:lang w:eastAsia="zh-CN"/>
        </w:rPr>
        <w:t>）</w:t>
      </w:r>
      <w:r>
        <w:rPr>
          <w:rFonts w:hint="eastAsia" w:ascii="宋体" w:hAnsi="宋体" w:eastAsia="宋体" w:cs="宋体"/>
          <w:color w:val="auto"/>
          <w:position w:val="15"/>
          <w:sz w:val="24"/>
          <w:szCs w:val="24"/>
          <w:highlight w:val="none"/>
        </w:rPr>
        <w:t>；</w:t>
      </w:r>
    </w:p>
    <w:p w14:paraId="4CB52D9C">
      <w:pPr>
        <w:kinsoku/>
        <w:topLinePunct/>
        <w:spacing w:line="360" w:lineRule="auto"/>
        <w:ind w:left="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b.投标评标价每低于评标基准价1个百分点，扣0.5分；</w:t>
      </w:r>
    </w:p>
    <w:p w14:paraId="79AF5AEA">
      <w:pPr>
        <w:kinsoku/>
        <w:topLinePunct/>
        <w:spacing w:before="155" w:line="360" w:lineRule="auto"/>
        <w:ind w:left="4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c.投标评标价每高于评标基准价1个百分点，扣1分。</w:t>
      </w:r>
    </w:p>
    <w:p w14:paraId="5C583239">
      <w:pPr>
        <w:kinsoku/>
        <w:topLinePunct/>
        <w:spacing w:before="158" w:line="360" w:lineRule="auto"/>
        <w:ind w:left="11" w:right="119"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以上报价得分不足一个百分点时，使用直线插入法计算，保留小数2位。投标文件的商务标评分不足10分的，计为10分。</w:t>
      </w:r>
    </w:p>
    <w:p w14:paraId="4B1B2CD7">
      <w:pPr>
        <w:kinsoku/>
        <w:topLinePunct/>
        <w:spacing w:line="360" w:lineRule="auto"/>
        <w:ind w:left="505"/>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□二次平均法（方法二）</w:t>
      </w:r>
    </w:p>
    <w:p w14:paraId="3D3FC9D0">
      <w:pPr>
        <w:kinsoku/>
        <w:topLinePunct/>
        <w:spacing w:before="157" w:line="360" w:lineRule="auto"/>
        <w:ind w:left="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1</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评分范围：通过符合性审查的所有投标文件进入评分范围。</w:t>
      </w:r>
    </w:p>
    <w:p w14:paraId="6B01DB0B">
      <w:pPr>
        <w:kinsoku/>
        <w:topLinePunct/>
        <w:spacing w:line="360" w:lineRule="auto"/>
        <w:ind w:firstLine="480" w:firstLineChars="20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2</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报价平均值：进入评分范围的投标评标价的算术平均值为报价平均值</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其中，投标评标价在5个至7个时，去除一个最高价和一个最低价；投标评标价在8个及以上时，去除一个最高、次高价和一个最低、次低价</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w:t>
      </w:r>
    </w:p>
    <w:p w14:paraId="7B45C4F0">
      <w:pPr>
        <w:kinsoku/>
        <w:topLinePunct/>
        <w:spacing w:line="360" w:lineRule="auto"/>
        <w:ind w:firstLine="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3</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评标基准价：报价平均值与进入评分范围的投标评标价中的次低投标评标价</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不足4个的与最低投标评标价</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的算术平均值为评标基准价。</w:t>
      </w:r>
    </w:p>
    <w:p w14:paraId="3C5E8B7B">
      <w:pPr>
        <w:kinsoku/>
        <w:topLinePunct/>
        <w:spacing w:line="360" w:lineRule="auto"/>
        <w:ind w:firstLine="473"/>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4</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根据投标文件的投标评标价与评标基准价对比，计算投标人的商务报价的得分值。即：</w:t>
      </w:r>
    </w:p>
    <w:p w14:paraId="4C73D79D">
      <w:pPr>
        <w:kinsoku/>
        <w:topLinePunct/>
        <w:spacing w:line="360" w:lineRule="auto"/>
        <w:ind w:left="481"/>
        <w:jc w:val="both"/>
        <w:rPr>
          <w:rFonts w:hint="eastAsia" w:ascii="宋体" w:hAnsi="宋体" w:eastAsia="宋体" w:cs="宋体"/>
          <w:strike/>
          <w:color w:val="auto"/>
          <w:sz w:val="24"/>
          <w:szCs w:val="24"/>
          <w:highlight w:val="none"/>
        </w:rPr>
      </w:pPr>
      <w:r>
        <w:rPr>
          <w:rFonts w:hint="eastAsia" w:ascii="宋体" w:hAnsi="宋体" w:eastAsia="宋体" w:cs="宋体"/>
          <w:strike/>
          <w:color w:val="auto"/>
          <w:position w:val="15"/>
          <w:sz w:val="24"/>
          <w:szCs w:val="24"/>
          <w:highlight w:val="none"/>
        </w:rPr>
        <w:t>a.投标评标价等于评标基准价时，得满分</w:t>
      </w:r>
      <w:r>
        <w:rPr>
          <w:rFonts w:hint="eastAsia" w:ascii="宋体" w:hAnsi="宋体" w:eastAsia="宋体" w:cs="宋体"/>
          <w:strike/>
          <w:color w:val="auto"/>
          <w:position w:val="15"/>
          <w:sz w:val="24"/>
          <w:szCs w:val="24"/>
          <w:highlight w:val="none"/>
          <w:lang w:eastAsia="zh-CN"/>
        </w:rPr>
        <w:t>（</w:t>
      </w:r>
      <w:r>
        <w:rPr>
          <w:rFonts w:hint="eastAsia" w:ascii="宋体" w:hAnsi="宋体" w:eastAsia="宋体" w:cs="宋体"/>
          <w:strike/>
          <w:color w:val="auto"/>
          <w:position w:val="15"/>
          <w:sz w:val="24"/>
          <w:szCs w:val="24"/>
          <w:highlight w:val="none"/>
        </w:rPr>
        <w:t>37分</w:t>
      </w:r>
      <w:r>
        <w:rPr>
          <w:rFonts w:hint="eastAsia" w:ascii="宋体" w:hAnsi="宋体" w:eastAsia="宋体" w:cs="宋体"/>
          <w:strike/>
          <w:color w:val="auto"/>
          <w:position w:val="15"/>
          <w:sz w:val="24"/>
          <w:szCs w:val="24"/>
          <w:highlight w:val="none"/>
          <w:lang w:eastAsia="zh-CN"/>
        </w:rPr>
        <w:t>）</w:t>
      </w:r>
      <w:r>
        <w:rPr>
          <w:rFonts w:hint="eastAsia" w:ascii="宋体" w:hAnsi="宋体" w:eastAsia="宋体" w:cs="宋体"/>
          <w:strike/>
          <w:color w:val="auto"/>
          <w:position w:val="15"/>
          <w:sz w:val="24"/>
          <w:szCs w:val="24"/>
          <w:highlight w:val="none"/>
        </w:rPr>
        <w:t>；</w:t>
      </w:r>
    </w:p>
    <w:p w14:paraId="543AF412">
      <w:pPr>
        <w:kinsoku/>
        <w:topLinePunct/>
        <w:spacing w:line="360" w:lineRule="auto"/>
        <w:ind w:left="477"/>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b.投标评标价每低于评标基准价1个百分点，扣0.5分；</w:t>
      </w:r>
    </w:p>
    <w:p w14:paraId="6E2C2A4B">
      <w:pPr>
        <w:kinsoku/>
        <w:topLinePunct/>
        <w:spacing w:before="155" w:line="360" w:lineRule="auto"/>
        <w:ind w:left="485"/>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c.投标评标价每高于评标基准价1个百分点，扣1分。</w:t>
      </w:r>
    </w:p>
    <w:p w14:paraId="7C1E3ED6">
      <w:pPr>
        <w:kinsoku/>
        <w:topLinePunct/>
        <w:spacing w:before="158" w:line="360" w:lineRule="auto"/>
        <w:ind w:left="11" w:right="119" w:firstLine="480" w:firstLineChars="20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以上报价得分不足一个百分点时，使用直线插入法计算，保留小数2位。投标文件的商务标评分不足10分的，计为10分。</w:t>
      </w:r>
    </w:p>
    <w:p w14:paraId="188DFDC2">
      <w:pPr>
        <w:kinsoku/>
        <w:topLinePunct/>
        <w:spacing w:line="360" w:lineRule="auto"/>
        <w:ind w:left="505"/>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□平均价下浮法（方法三）</w:t>
      </w:r>
    </w:p>
    <w:p w14:paraId="110AE3F3">
      <w:pPr>
        <w:kinsoku/>
        <w:topLinePunct/>
        <w:spacing w:line="360" w:lineRule="auto"/>
        <w:ind w:firstLine="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1</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评分范围：通过符合性审查的所有投标文件进入评分范围。</w:t>
      </w:r>
    </w:p>
    <w:p w14:paraId="77088708">
      <w:pPr>
        <w:kinsoku/>
        <w:topLinePunct/>
        <w:spacing w:line="360" w:lineRule="auto"/>
        <w:ind w:firstLine="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2</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报价平均值：进入评分范围的所有投标人的评标价的算术平均值为报价平均值</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其中，投标评标价在5个至7个时，去除一个最高价和一个最低价；投标评标价在8个及以上时，去除一个最高、次高价和一个最低、次低价</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w:t>
      </w:r>
    </w:p>
    <w:p w14:paraId="320BDB93">
      <w:pPr>
        <w:kinsoku/>
        <w:topLinePunct/>
        <w:spacing w:line="360" w:lineRule="auto"/>
        <w:ind w:firstLine="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3</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评标基准值：</w:t>
      </w:r>
    </w:p>
    <w:p w14:paraId="5B441C30">
      <w:pPr>
        <w:kinsoku/>
        <w:topLinePunct/>
        <w:spacing w:line="360" w:lineRule="auto"/>
        <w:ind w:firstLine="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a.由招标人代表在开标室从</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w:t>
      </w:r>
      <w:r>
        <w:rPr>
          <w:rFonts w:hint="eastAsia" w:ascii="宋体" w:hAnsi="宋体" w:eastAsia="宋体" w:cs="宋体"/>
          <w:strike/>
          <w:color w:val="auto"/>
          <w:sz w:val="24"/>
          <w:szCs w:val="24"/>
          <w:highlight w:val="none"/>
          <w:u w:val="single"/>
        </w:rPr>
        <w:t xml:space="preserve">     </w:t>
      </w:r>
      <w:r>
        <w:rPr>
          <w:rFonts w:hint="eastAsia" w:ascii="宋体" w:hAnsi="宋体" w:eastAsia="宋体" w:cs="宋体"/>
          <w:strike/>
          <w:color w:val="auto"/>
          <w:sz w:val="24"/>
          <w:szCs w:val="24"/>
          <w:highlight w:val="none"/>
        </w:rPr>
        <w:t>%中随机抽取一个百分数，作为下浮值；</w:t>
      </w:r>
      <w:r>
        <w:rPr>
          <w:rStyle w:val="28"/>
          <w:rFonts w:hint="eastAsia" w:ascii="宋体" w:hAnsi="宋体" w:eastAsia="宋体" w:cs="宋体"/>
          <w:strike/>
          <w:color w:val="auto"/>
          <w:sz w:val="24"/>
          <w:szCs w:val="24"/>
          <w:highlight w:val="none"/>
        </w:rPr>
        <w:t>（招标人可在0%-10%范围内设定不少于5个数值，间距不少于3%，步长不低于0.5%）</w:t>
      </w:r>
    </w:p>
    <w:p w14:paraId="563300C9">
      <w:pPr>
        <w:kinsoku/>
        <w:topLinePunct/>
        <w:spacing w:line="360" w:lineRule="auto"/>
        <w:ind w:firstLine="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b.评标委员会按以下公式计算出评标基准价：</w:t>
      </w:r>
    </w:p>
    <w:p w14:paraId="5085A66A">
      <w:pPr>
        <w:kinsoku/>
        <w:topLinePunct/>
        <w:spacing w:before="128" w:line="360" w:lineRule="auto"/>
        <w:ind w:left="480"/>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评标基准价=报价平均值×</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1-下浮值</w:t>
      </w:r>
      <w:r>
        <w:rPr>
          <w:rFonts w:hint="eastAsia" w:ascii="宋体" w:hAnsi="宋体" w:eastAsia="宋体" w:cs="宋体"/>
          <w:strike/>
          <w:color w:val="auto"/>
          <w:sz w:val="24"/>
          <w:szCs w:val="24"/>
          <w:highlight w:val="none"/>
          <w:lang w:eastAsia="zh-CN"/>
        </w:rPr>
        <w:t>）</w:t>
      </w:r>
    </w:p>
    <w:p w14:paraId="79AA63F5">
      <w:pPr>
        <w:kinsoku/>
        <w:topLinePunct/>
        <w:spacing w:before="157" w:line="360" w:lineRule="auto"/>
        <w:ind w:left="492"/>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4</w:t>
      </w:r>
      <w:r>
        <w:rPr>
          <w:rFonts w:hint="eastAsia" w:ascii="宋体" w:hAnsi="宋体" w:eastAsia="宋体" w:cs="宋体"/>
          <w:strike/>
          <w:color w:val="auto"/>
          <w:sz w:val="24"/>
          <w:szCs w:val="24"/>
          <w:highlight w:val="none"/>
          <w:lang w:eastAsia="zh-CN"/>
        </w:rPr>
        <w:t>）</w:t>
      </w:r>
      <w:r>
        <w:rPr>
          <w:rFonts w:hint="eastAsia" w:ascii="宋体" w:hAnsi="宋体" w:eastAsia="宋体" w:cs="宋体"/>
          <w:strike/>
          <w:color w:val="auto"/>
          <w:sz w:val="24"/>
          <w:szCs w:val="24"/>
          <w:highlight w:val="none"/>
        </w:rPr>
        <w:t>根据投标文件的投标评标价与评标基准价对比，计算投标人的商务报价的得分值。</w:t>
      </w:r>
    </w:p>
    <w:p w14:paraId="3C2DE8B7">
      <w:pPr>
        <w:kinsoku/>
        <w:topLinePunct/>
        <w:spacing w:before="132" w:line="360" w:lineRule="auto"/>
        <w:ind w:left="19"/>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即：</w:t>
      </w:r>
    </w:p>
    <w:p w14:paraId="248D1F79">
      <w:pPr>
        <w:kinsoku/>
        <w:topLinePunct/>
        <w:spacing w:before="156" w:line="360" w:lineRule="auto"/>
        <w:ind w:left="482"/>
        <w:jc w:val="both"/>
        <w:rPr>
          <w:rFonts w:hint="eastAsia" w:ascii="宋体" w:hAnsi="宋体" w:eastAsia="宋体" w:cs="宋体"/>
          <w:strike/>
          <w:color w:val="auto"/>
          <w:sz w:val="24"/>
          <w:szCs w:val="24"/>
          <w:highlight w:val="none"/>
        </w:rPr>
      </w:pPr>
      <w:r>
        <w:rPr>
          <w:rFonts w:hint="eastAsia" w:ascii="宋体" w:hAnsi="宋体" w:eastAsia="宋体" w:cs="宋体"/>
          <w:strike/>
          <w:color w:val="auto"/>
          <w:position w:val="15"/>
          <w:sz w:val="24"/>
          <w:szCs w:val="24"/>
          <w:highlight w:val="none"/>
        </w:rPr>
        <w:t>a.投标评标价等于评标基准价时，得满分</w:t>
      </w:r>
      <w:r>
        <w:rPr>
          <w:rFonts w:hint="eastAsia" w:ascii="宋体" w:hAnsi="宋体" w:eastAsia="宋体" w:cs="宋体"/>
          <w:strike/>
          <w:color w:val="auto"/>
          <w:position w:val="15"/>
          <w:sz w:val="24"/>
          <w:szCs w:val="24"/>
          <w:highlight w:val="none"/>
          <w:lang w:eastAsia="zh-CN"/>
        </w:rPr>
        <w:t>（</w:t>
      </w:r>
      <w:r>
        <w:rPr>
          <w:rFonts w:hint="eastAsia" w:ascii="宋体" w:hAnsi="宋体" w:eastAsia="宋体" w:cs="宋体"/>
          <w:strike/>
          <w:color w:val="auto"/>
          <w:position w:val="15"/>
          <w:sz w:val="24"/>
          <w:szCs w:val="24"/>
          <w:highlight w:val="none"/>
        </w:rPr>
        <w:t>37分</w:t>
      </w:r>
      <w:r>
        <w:rPr>
          <w:rFonts w:hint="eastAsia" w:ascii="宋体" w:hAnsi="宋体" w:eastAsia="宋体" w:cs="宋体"/>
          <w:strike/>
          <w:color w:val="auto"/>
          <w:position w:val="15"/>
          <w:sz w:val="24"/>
          <w:szCs w:val="24"/>
          <w:highlight w:val="none"/>
          <w:lang w:eastAsia="zh-CN"/>
        </w:rPr>
        <w:t>）</w:t>
      </w:r>
      <w:r>
        <w:rPr>
          <w:rFonts w:hint="eastAsia" w:ascii="宋体" w:hAnsi="宋体" w:eastAsia="宋体" w:cs="宋体"/>
          <w:strike/>
          <w:color w:val="auto"/>
          <w:position w:val="15"/>
          <w:sz w:val="24"/>
          <w:szCs w:val="24"/>
          <w:highlight w:val="none"/>
        </w:rPr>
        <w:t>；</w:t>
      </w:r>
    </w:p>
    <w:p w14:paraId="6114A75A">
      <w:pPr>
        <w:kinsoku/>
        <w:topLinePunct/>
        <w:spacing w:line="360" w:lineRule="auto"/>
        <w:ind w:left="478"/>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b.投标评标价每低于评标基准价1个百分点，扣0.5分；</w:t>
      </w:r>
    </w:p>
    <w:p w14:paraId="49F726AB">
      <w:pPr>
        <w:kinsoku/>
        <w:topLinePunct/>
        <w:spacing w:before="155" w:line="360" w:lineRule="auto"/>
        <w:ind w:left="486"/>
        <w:jc w:val="both"/>
        <w:rPr>
          <w:rFonts w:hint="eastAsia" w:ascii="宋体" w:hAnsi="宋体" w:eastAsia="宋体" w:cs="宋体"/>
          <w:strike/>
          <w:color w:val="auto"/>
          <w:sz w:val="24"/>
          <w:szCs w:val="24"/>
          <w:highlight w:val="none"/>
        </w:rPr>
      </w:pPr>
      <w:r>
        <w:rPr>
          <w:rFonts w:hint="eastAsia" w:ascii="宋体" w:hAnsi="宋体" w:eastAsia="宋体" w:cs="宋体"/>
          <w:strike/>
          <w:color w:val="auto"/>
          <w:sz w:val="24"/>
          <w:szCs w:val="24"/>
          <w:highlight w:val="none"/>
        </w:rPr>
        <w:t>c.投标评标价每高于评标基准价1个百分点，扣1分。</w:t>
      </w:r>
    </w:p>
    <w:p w14:paraId="1CD77CBF">
      <w:pPr>
        <w:kinsoku/>
        <w:topLinePunct/>
        <w:spacing w:before="158" w:line="360" w:lineRule="auto"/>
        <w:ind w:left="11" w:right="79" w:firstLine="480" w:firstLineChars="200"/>
        <w:jc w:val="both"/>
        <w:rPr>
          <w:rFonts w:hint="eastAsia" w:ascii="宋体" w:hAnsi="宋体" w:eastAsia="宋体" w:cs="宋体"/>
          <w:color w:val="auto"/>
          <w:sz w:val="24"/>
          <w:szCs w:val="24"/>
          <w:highlight w:val="none"/>
        </w:rPr>
      </w:pPr>
      <w:r>
        <w:rPr>
          <w:rFonts w:hint="eastAsia" w:ascii="宋体" w:hAnsi="宋体" w:eastAsia="宋体" w:cs="宋体"/>
          <w:strike/>
          <w:color w:val="auto"/>
          <w:sz w:val="24"/>
          <w:szCs w:val="24"/>
          <w:highlight w:val="none"/>
        </w:rPr>
        <w:t>以上报价得分不足一个百分点时，使用直线插入法计算，保留小数2位。投标文件的商务标评分不足10分的，计为10分。</w:t>
      </w:r>
    </w:p>
    <w:p w14:paraId="62352EA9">
      <w:pPr>
        <w:kinsoku/>
        <w:topLinePunct/>
        <w:spacing w:line="360" w:lineRule="auto"/>
        <w:ind w:left="4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投标文件的综合评分：投标文件的资信业绩评分、技术评分、商务评分的总和。</w:t>
      </w:r>
    </w:p>
    <w:p w14:paraId="54CEEFF8">
      <w:pPr>
        <w:kinsoku/>
        <w:topLinePunct/>
        <w:spacing w:before="157" w:line="360" w:lineRule="auto"/>
        <w:ind w:left="4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对投标人进行排序，推荐中标候选人</w:t>
      </w:r>
    </w:p>
    <w:p w14:paraId="6CEF3E16">
      <w:pPr>
        <w:kinsoku/>
        <w:topLinePunct/>
        <w:spacing w:before="154" w:line="360" w:lineRule="auto"/>
        <w:ind w:right="65" w:firstLine="49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记名投票表决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方式排序。</w:t>
      </w:r>
    </w:p>
    <w:p w14:paraId="0707A860">
      <w:pPr>
        <w:kinsoku/>
        <w:topLinePunct/>
        <w:spacing w:before="1" w:line="360" w:lineRule="auto"/>
        <w:ind w:left="48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2.评标委员会根据投标人须知前附表7.1规定，确定中标人或推荐中标候选人。</w:t>
      </w:r>
    </w:p>
    <w:p w14:paraId="6D482F39">
      <w:pPr>
        <w:kinsoku/>
        <w:topLinePunct/>
        <w:spacing w:before="154" w:line="360" w:lineRule="auto"/>
        <w:ind w:left="485"/>
        <w:jc w:val="both"/>
        <w:outlineLvl w:val="1"/>
        <w:rPr>
          <w:rFonts w:hint="eastAsia" w:ascii="宋体" w:hAnsi="宋体" w:eastAsia="宋体" w:cs="宋体"/>
          <w:color w:val="auto"/>
          <w:sz w:val="24"/>
          <w:szCs w:val="24"/>
          <w:highlight w:val="none"/>
        </w:rPr>
      </w:pPr>
      <w:bookmarkStart w:id="501" w:name="_Toc28878"/>
      <w:bookmarkStart w:id="502" w:name="_Toc26299"/>
      <w:bookmarkStart w:id="503" w:name="_Toc23596"/>
      <w:bookmarkStart w:id="504" w:name="_Toc10604"/>
      <w:bookmarkStart w:id="505" w:name="_Toc31078"/>
      <w:bookmarkStart w:id="506" w:name="_Toc11910"/>
      <w:bookmarkStart w:id="507" w:name="_Toc10132"/>
      <w:bookmarkStart w:id="508" w:name="_Toc6265"/>
      <w:bookmarkStart w:id="509" w:name="_Toc8292"/>
      <w:bookmarkStart w:id="510" w:name="_Toc24287"/>
      <w:bookmarkStart w:id="511" w:name="_Toc29817"/>
      <w:bookmarkStart w:id="512" w:name="_Toc1841"/>
      <w:bookmarkStart w:id="513" w:name="_Toc29316"/>
      <w:bookmarkStart w:id="514" w:name="_Toc18580"/>
      <w:bookmarkStart w:id="515" w:name="_Toc23809"/>
      <w:bookmarkStart w:id="516" w:name="_Toc10215"/>
      <w:bookmarkStart w:id="517" w:name="_Toc7855"/>
      <w:bookmarkStart w:id="518" w:name="_Toc14456"/>
      <w:bookmarkStart w:id="519" w:name="_Toc7870"/>
      <w:bookmarkStart w:id="520" w:name="_Toc11379"/>
      <w:bookmarkStart w:id="521" w:name="_Toc12006"/>
      <w:bookmarkStart w:id="522" w:name="_Toc26319"/>
      <w:bookmarkStart w:id="523" w:name="_Toc28479"/>
      <w:r>
        <w:rPr>
          <w:rFonts w:hint="eastAsia" w:ascii="宋体" w:hAnsi="宋体" w:eastAsia="宋体" w:cs="宋体"/>
          <w:color w:val="auto"/>
          <w:sz w:val="24"/>
          <w:szCs w:val="24"/>
          <w:highlight w:val="none"/>
        </w:rPr>
        <w:t>五、完成评标报告</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p>
    <w:p w14:paraId="530CA434">
      <w:pPr>
        <w:kinsoku/>
        <w:topLinePunct/>
        <w:spacing w:before="154" w:line="360" w:lineRule="auto"/>
        <w:ind w:right="65" w:firstLine="49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63075B76">
      <w:pPr>
        <w:kinsoku/>
        <w:topLinePunct/>
        <w:spacing w:before="1" w:line="360" w:lineRule="auto"/>
        <w:ind w:left="4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评标报告应包括以下内容：</w:t>
      </w:r>
    </w:p>
    <w:p w14:paraId="0FADA539">
      <w:pPr>
        <w:kinsoku/>
        <w:topLinePunct/>
        <w:spacing w:before="157" w:line="360" w:lineRule="auto"/>
        <w:ind w:left="499"/>
        <w:jc w:val="both"/>
        <w:rPr>
          <w:rFonts w:hint="eastAsia" w:ascii="宋体" w:hAnsi="宋体" w:eastAsia="宋体" w:cs="宋体"/>
          <w:color w:val="auto"/>
          <w:sz w:val="24"/>
          <w:szCs w:val="24"/>
          <w:highlight w:val="none"/>
        </w:rPr>
      </w:pPr>
      <w:r>
        <w:rPr>
          <w:rFonts w:hint="eastAsia" w:ascii="宋体" w:hAnsi="宋体" w:eastAsia="宋体" w:cs="宋体"/>
          <w:color w:val="auto"/>
          <w:position w:val="15"/>
          <w:sz w:val="24"/>
          <w:szCs w:val="24"/>
          <w:highlight w:val="none"/>
        </w:rPr>
        <w:t>1.开标记录；</w:t>
      </w:r>
    </w:p>
    <w:p w14:paraId="23CE279D">
      <w:pPr>
        <w:kinsoku/>
        <w:topLinePunct/>
        <w:spacing w:line="360" w:lineRule="auto"/>
        <w:ind w:left="484"/>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2.评标内容、过程和结果；</w:t>
      </w:r>
    </w:p>
    <w:p w14:paraId="47EA3A18">
      <w:pPr>
        <w:kinsoku/>
        <w:topLinePunct/>
        <w:spacing w:before="128" w:line="360" w:lineRule="auto"/>
        <w:ind w:left="48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3.询标澄清纪要；</w:t>
      </w:r>
    </w:p>
    <w:p w14:paraId="79FFDDCB">
      <w:pPr>
        <w:kinsoku/>
        <w:topLinePunct/>
        <w:spacing w:before="130" w:line="360" w:lineRule="auto"/>
        <w:ind w:left="48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4.否决投标情况说明及依据；</w:t>
      </w:r>
    </w:p>
    <w:p w14:paraId="5312FEDE">
      <w:pPr>
        <w:kinsoku/>
        <w:topLinePunct/>
        <w:spacing w:before="130" w:line="360" w:lineRule="auto"/>
        <w:ind w:left="48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5.推荐中标候选人；</w:t>
      </w:r>
    </w:p>
    <w:p w14:paraId="74EE9029">
      <w:pPr>
        <w:kinsoku/>
        <w:topLinePunct/>
        <w:spacing w:before="130" w:line="360" w:lineRule="auto"/>
        <w:ind w:left="10" w:firstLine="47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6.中标候选人投标资格条件业绩和评分业绩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招标文件对投标资格或评分有业绩要求的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68CEDAC8">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firstLine="480" w:firstLineChars="200"/>
        <w:jc w:val="both"/>
        <w:textAlignment w:val="baseline"/>
        <w:outlineLvl w:val="9"/>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7.其他建议。</w:t>
      </w:r>
      <w:bookmarkStart w:id="524" w:name="_bookmark12"/>
      <w:bookmarkEnd w:id="524"/>
      <w:bookmarkStart w:id="525" w:name="_Toc24642"/>
      <w:bookmarkStart w:id="526" w:name="_Toc27346"/>
      <w:bookmarkStart w:id="527" w:name="_Toc17645"/>
      <w:bookmarkStart w:id="528" w:name="_Toc24650"/>
      <w:bookmarkStart w:id="529" w:name="_Toc2953"/>
      <w:bookmarkStart w:id="530" w:name="_Toc12343"/>
      <w:bookmarkStart w:id="531" w:name="_Toc779"/>
      <w:bookmarkStart w:id="532" w:name="_Toc30799"/>
      <w:bookmarkStart w:id="533" w:name="_Toc13734"/>
      <w:bookmarkStart w:id="534" w:name="_Toc4314"/>
      <w:bookmarkStart w:id="535" w:name="_Toc17168"/>
      <w:bookmarkStart w:id="536" w:name="_Toc3933"/>
      <w:bookmarkStart w:id="537" w:name="_Toc11781"/>
      <w:bookmarkStart w:id="538" w:name="_Toc3849"/>
    </w:p>
    <w:p w14:paraId="02C36D26">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both"/>
        <w:textAlignment w:val="baseline"/>
        <w:outlineLvl w:val="9"/>
        <w:rPr>
          <w:rFonts w:hint="eastAsia" w:ascii="宋体" w:hAnsi="宋体" w:eastAsia="宋体" w:cs="宋体"/>
          <w:color w:val="auto"/>
          <w:position w:val="1"/>
          <w:sz w:val="24"/>
          <w:szCs w:val="24"/>
          <w:highlight w:val="none"/>
        </w:rPr>
      </w:pPr>
    </w:p>
    <w:p w14:paraId="447A2A80">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ascii="宋体" w:hAnsi="宋体" w:eastAsia="宋体" w:cs="宋体"/>
          <w:b/>
          <w:bCs/>
          <w:color w:val="auto"/>
          <w:sz w:val="36"/>
          <w:szCs w:val="36"/>
          <w:highlight w:val="none"/>
        </w:rPr>
      </w:pPr>
      <w:bookmarkStart w:id="539" w:name="_Toc17383"/>
      <w:bookmarkStart w:id="540" w:name="_Toc15436"/>
      <w:bookmarkStart w:id="541" w:name="_Toc10212"/>
      <w:bookmarkStart w:id="542" w:name="_Toc24558"/>
      <w:bookmarkStart w:id="543" w:name="_Toc17804"/>
      <w:bookmarkStart w:id="544" w:name="_Toc15294"/>
      <w:bookmarkStart w:id="545" w:name="_Toc22336"/>
      <w:bookmarkStart w:id="546" w:name="_Toc14026"/>
      <w:bookmarkStart w:id="547" w:name="_Toc28357"/>
      <w:r>
        <w:rPr>
          <w:rFonts w:ascii="宋体" w:hAnsi="宋体" w:eastAsia="宋体" w:cs="宋体"/>
          <w:b/>
          <w:bCs/>
          <w:color w:val="auto"/>
          <w:sz w:val="36"/>
          <w:szCs w:val="36"/>
          <w:highlight w:val="none"/>
        </w:rPr>
        <w:t>第四章</w:t>
      </w:r>
      <w:r>
        <w:rPr>
          <w:rFonts w:hint="eastAsia" w:ascii="宋体" w:hAnsi="宋体" w:eastAsia="宋体" w:cs="宋体"/>
          <w:b/>
          <w:bCs/>
          <w:color w:val="auto"/>
          <w:sz w:val="36"/>
          <w:szCs w:val="36"/>
          <w:highlight w:val="none"/>
          <w:lang w:val="en-US" w:eastAsia="zh-CN"/>
        </w:rPr>
        <w:t xml:space="preserve">  </w:t>
      </w:r>
      <w:r>
        <w:rPr>
          <w:rFonts w:ascii="宋体" w:hAnsi="宋体" w:eastAsia="宋体" w:cs="宋体"/>
          <w:b/>
          <w:bCs/>
          <w:color w:val="auto"/>
          <w:sz w:val="36"/>
          <w:szCs w:val="36"/>
          <w:highlight w:val="none"/>
        </w:rPr>
        <w:t>合同条款及格式</w:t>
      </w:r>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4117B9FE">
      <w:pPr>
        <w:kinsoku/>
        <w:topLinePunct/>
        <w:spacing w:line="360" w:lineRule="auto"/>
        <w:ind w:firstLine="482" w:firstLineChars="200"/>
        <w:jc w:val="center"/>
        <w:outlineLvl w:val="1"/>
        <w:rPr>
          <w:rFonts w:hint="eastAsia" w:ascii="宋体" w:hAnsi="宋体" w:eastAsia="宋体" w:cs="宋体"/>
          <w:b/>
          <w:bCs/>
          <w:color w:val="auto"/>
          <w:sz w:val="24"/>
          <w:szCs w:val="24"/>
          <w:highlight w:val="none"/>
          <w:lang w:val="en-US" w:eastAsia="zh-CN" w:bidi="ar"/>
        </w:rPr>
      </w:pPr>
      <w:bookmarkStart w:id="548" w:name="_Toc90"/>
      <w:bookmarkStart w:id="549" w:name="_Toc9872"/>
      <w:bookmarkStart w:id="550" w:name="_Toc31822"/>
      <w:bookmarkStart w:id="551" w:name="_Toc25249"/>
      <w:bookmarkStart w:id="552" w:name="_Toc9899"/>
      <w:bookmarkStart w:id="553" w:name="_Toc3885"/>
      <w:bookmarkStart w:id="554" w:name="_Toc27996"/>
      <w:bookmarkStart w:id="555" w:name="_Toc29625"/>
      <w:bookmarkStart w:id="556" w:name="_Toc14804"/>
      <w:bookmarkStart w:id="557" w:name="_Toc22389"/>
      <w:bookmarkStart w:id="558" w:name="_Toc14665"/>
      <w:bookmarkStart w:id="559" w:name="_Toc7936"/>
      <w:bookmarkStart w:id="560" w:name="_Toc30623"/>
      <w:bookmarkStart w:id="561" w:name="_Toc31651"/>
      <w:bookmarkStart w:id="562" w:name="_Toc2101"/>
      <w:bookmarkStart w:id="563" w:name="_Toc31676"/>
      <w:bookmarkStart w:id="564" w:name="_Toc4474"/>
      <w:bookmarkStart w:id="565" w:name="_Toc4443"/>
      <w:bookmarkStart w:id="566" w:name="_Toc5460"/>
      <w:bookmarkStart w:id="567" w:name="_Toc19577"/>
      <w:bookmarkStart w:id="568" w:name="_Toc16847"/>
      <w:bookmarkStart w:id="569" w:name="_Toc12374"/>
      <w:bookmarkStart w:id="570" w:name="_Toc21945"/>
      <w:r>
        <w:rPr>
          <w:rFonts w:hint="eastAsia" w:ascii="宋体" w:hAnsi="宋体" w:eastAsia="宋体" w:cs="宋体"/>
          <w:b/>
          <w:bCs/>
          <w:color w:val="auto"/>
          <w:sz w:val="24"/>
          <w:szCs w:val="24"/>
          <w:highlight w:val="none"/>
          <w:lang w:val="en-US" w:eastAsia="zh-CN" w:bidi="ar"/>
        </w:rPr>
        <w:t>第一部分  合同书</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61392E56">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浙江镜岭水库有限公司（以下简称“买方”）为实施浙江镜岭水库工程输水工程，已接受（以下简称“卖方”）对采购标的投标。现经双方协商一致，签订本合同。</w:t>
      </w:r>
    </w:p>
    <w:p w14:paraId="0E8F6151">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1．本协议书与下列文件一起构成合同文件：</w:t>
      </w:r>
    </w:p>
    <w:p w14:paraId="6E326AD2">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（1）中标通知书。</w:t>
      </w:r>
    </w:p>
    <w:p w14:paraId="1DB55EC4">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（2）投标函及投标函附录。</w:t>
      </w:r>
    </w:p>
    <w:p w14:paraId="79A1BFD8">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（3）专用合同条款。</w:t>
      </w:r>
    </w:p>
    <w:p w14:paraId="3A4DF40C">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（4）通用合同条款。</w:t>
      </w:r>
    </w:p>
    <w:p w14:paraId="110EB6C9">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（5）技术标准和要求（合同技术条款）。</w:t>
      </w:r>
    </w:p>
    <w:p w14:paraId="5258442B">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（6）图纸。</w:t>
      </w:r>
    </w:p>
    <w:p w14:paraId="2C45D0F6">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（7）已标价工程量清单。</w:t>
      </w:r>
    </w:p>
    <w:p w14:paraId="3CB4F057">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（8）其它合同文件。</w:t>
      </w:r>
    </w:p>
    <w:p w14:paraId="51A876B9">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2．上述文件互相补充和解释，如有不明确或不一致之处，以合同第二部分通用合同条款约定次序在先者为准。</w:t>
      </w:r>
    </w:p>
    <w:p w14:paraId="19301AB4">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3．签约合同价：人民币（大写           元整）（¥           元）。</w:t>
      </w:r>
    </w:p>
    <w:p w14:paraId="42687E4F">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4．卖方项目负责人：          </w:t>
      </w:r>
    </w:p>
    <w:p w14:paraId="052E4EF0">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5．本合同文本一式壹拾陆份，其中正本贰份，合同双方各执壹份，副本壹拾肆份，合同双方各执柒份。</w:t>
      </w:r>
    </w:p>
    <w:p w14:paraId="35A73F05">
      <w:pPr>
        <w:kinsoku/>
        <w:overflowPunct w:val="0"/>
        <w:autoSpaceDE/>
        <w:autoSpaceDN/>
        <w:spacing w:line="360" w:lineRule="auto"/>
        <w:ind w:firstLine="480" w:firstLineChars="20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6．合同未尽事宜，双方可另行协商，签订补充协议。补充协议是本合同的组成部分。</w:t>
      </w:r>
    </w:p>
    <w:tbl>
      <w:tblPr>
        <w:tblStyle w:val="22"/>
        <w:tblW w:w="9724" w:type="dxa"/>
        <w:tblInd w:w="-219" w:type="dxa"/>
        <w:tblLayout w:type="fixed"/>
        <w:tblCellMar>
          <w:top w:w="0" w:type="dxa"/>
          <w:left w:w="108" w:type="dxa"/>
          <w:bottom w:w="0" w:type="dxa"/>
          <w:right w:w="108" w:type="dxa"/>
        </w:tblCellMar>
      </w:tblPr>
      <w:tblGrid>
        <w:gridCol w:w="4853"/>
        <w:gridCol w:w="4871"/>
      </w:tblGrid>
      <w:tr w14:paraId="7BC90DCC">
        <w:tblPrEx>
          <w:tblCellMar>
            <w:top w:w="0" w:type="dxa"/>
            <w:left w:w="108" w:type="dxa"/>
            <w:bottom w:w="0" w:type="dxa"/>
            <w:right w:w="108" w:type="dxa"/>
          </w:tblCellMar>
        </w:tblPrEx>
        <w:trPr>
          <w:trHeight w:val="1539" w:hRule="atLeast"/>
        </w:trPr>
        <w:tc>
          <w:tcPr>
            <w:tcW w:w="4853" w:type="dxa"/>
            <w:noWrap w:val="0"/>
            <w:vAlign w:val="top"/>
          </w:tcPr>
          <w:p w14:paraId="76FD2A1C">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买方：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eastAsia="zh-CN"/>
              </w:rPr>
              <w:t xml:space="preserve">   （盖章）</w:t>
            </w:r>
          </w:p>
          <w:p w14:paraId="0C9C111B">
            <w:pPr>
              <w:overflowPunct w:val="0"/>
              <w:spacing w:line="360" w:lineRule="auto"/>
              <w:ind w:firstLine="0" w:firstLineChars="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eastAsia="zh-CN"/>
              </w:rPr>
              <w:t xml:space="preserve">法定代表人  </w:t>
            </w:r>
            <w:r>
              <w:rPr>
                <w:rFonts w:hint="eastAsia" w:ascii="宋体" w:hAnsi="宋体" w:eastAsia="宋体" w:cs="宋体"/>
                <w:color w:val="auto"/>
                <w:kern w:val="2"/>
                <w:sz w:val="24"/>
                <w:szCs w:val="24"/>
                <w:highlight w:val="none"/>
                <w:lang w:val="en-US" w:eastAsia="zh-CN"/>
              </w:rPr>
              <w:t xml:space="preserve">                    </w:t>
            </w:r>
          </w:p>
          <w:p w14:paraId="2410AD94">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或其委托代理人：                </w:t>
            </w:r>
          </w:p>
          <w:p w14:paraId="5FCEC2F0">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（签字）</w:t>
            </w:r>
          </w:p>
          <w:p w14:paraId="77E4A6E6">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组织机构代码：91330624MAC170956W</w:t>
            </w:r>
          </w:p>
          <w:p w14:paraId="5FB5CC93">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地  址：浙江省绍兴市新昌县镜岭</w:t>
            </w:r>
          </w:p>
          <w:p w14:paraId="7405011F">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镇黄岙村下黄婆自然村318号</w:t>
            </w:r>
          </w:p>
          <w:p w14:paraId="23FE9FB7">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邮政编码：312000</w:t>
            </w:r>
          </w:p>
          <w:p w14:paraId="006D072C">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电  话：0575-88264806</w:t>
            </w:r>
          </w:p>
          <w:p w14:paraId="44986CA3">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传  真：88264820</w:t>
            </w:r>
          </w:p>
          <w:p w14:paraId="4417EE88">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开户银行：绍兴银行营业部</w:t>
            </w:r>
          </w:p>
          <w:p w14:paraId="4D125B9F">
            <w:pPr>
              <w:overflowPunct w:val="0"/>
              <w:spacing w:line="360" w:lineRule="auto"/>
              <w:ind w:firstLine="0" w:firstLineChars="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账  号：2108221442000011</w:t>
            </w:r>
          </w:p>
          <w:p w14:paraId="038DA950">
            <w:pPr>
              <w:overflowPunct w:val="0"/>
              <w:spacing w:line="360" w:lineRule="auto"/>
              <w:ind w:firstLine="0" w:firstLineChars="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2026</w:t>
            </w:r>
            <w:r>
              <w:rPr>
                <w:rFonts w:hint="eastAsia" w:ascii="宋体" w:hAnsi="宋体" w:eastAsia="宋体" w:cs="宋体"/>
                <w:color w:val="auto"/>
                <w:kern w:val="2"/>
                <w:sz w:val="24"/>
                <w:szCs w:val="24"/>
                <w:highlight w:val="none"/>
              </w:rPr>
              <w:t>年     月     日</w:t>
            </w:r>
          </w:p>
        </w:tc>
        <w:tc>
          <w:tcPr>
            <w:tcW w:w="4871" w:type="dxa"/>
            <w:noWrap w:val="0"/>
            <w:vAlign w:val="top"/>
          </w:tcPr>
          <w:p w14:paraId="21CB2671">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卖方：                （盖章）</w:t>
            </w:r>
          </w:p>
          <w:p w14:paraId="137CAB39">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法定代表人</w:t>
            </w:r>
          </w:p>
          <w:p w14:paraId="0A90472E">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或其委托代理人：               </w:t>
            </w:r>
          </w:p>
          <w:p w14:paraId="6148BAC8">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（签字）</w:t>
            </w:r>
          </w:p>
          <w:p w14:paraId="71C1A739">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组织机构代码：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eastAsia="zh-CN"/>
              </w:rPr>
              <w:t xml:space="preserve"> </w:t>
            </w:r>
          </w:p>
          <w:p w14:paraId="1E8E27A2">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地  址：                       </w:t>
            </w:r>
          </w:p>
          <w:p w14:paraId="37477E89">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邮政编码：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eastAsia="zh-CN"/>
              </w:rPr>
              <w:t xml:space="preserve"> </w:t>
            </w:r>
          </w:p>
          <w:p w14:paraId="45F1DBFD">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电  话：                  </w:t>
            </w:r>
          </w:p>
          <w:p w14:paraId="21EB7115">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传  真：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eastAsia="zh-CN"/>
              </w:rPr>
              <w:t xml:space="preserve"> </w:t>
            </w:r>
          </w:p>
          <w:p w14:paraId="45156A2E">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开户银行：                </w:t>
            </w:r>
          </w:p>
          <w:p w14:paraId="66314298">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 xml:space="preserve">账  号：               </w:t>
            </w:r>
            <w:r>
              <w:rPr>
                <w:rFonts w:hint="eastAsia" w:ascii="宋体" w:hAnsi="宋体" w:eastAsia="宋体" w:cs="宋体"/>
                <w:color w:val="auto"/>
                <w:kern w:val="2"/>
                <w:sz w:val="24"/>
                <w:szCs w:val="24"/>
                <w:highlight w:val="none"/>
                <w:lang w:val="en-US" w:eastAsia="zh-CN"/>
              </w:rPr>
              <w:t xml:space="preserve">  </w:t>
            </w:r>
            <w:r>
              <w:rPr>
                <w:rFonts w:hint="eastAsia" w:ascii="宋体" w:hAnsi="宋体" w:eastAsia="宋体" w:cs="宋体"/>
                <w:color w:val="auto"/>
                <w:kern w:val="2"/>
                <w:sz w:val="24"/>
                <w:szCs w:val="24"/>
                <w:highlight w:val="none"/>
                <w:lang w:eastAsia="zh-CN"/>
              </w:rPr>
              <w:t xml:space="preserve"> </w:t>
            </w:r>
          </w:p>
          <w:p w14:paraId="430F9716">
            <w:pPr>
              <w:overflowPunct w:val="0"/>
              <w:spacing w:line="360" w:lineRule="auto"/>
              <w:ind w:firstLine="0" w:firstLineChars="0"/>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lang w:eastAsia="zh-CN"/>
              </w:rPr>
              <w:t>2026年     月     日</w:t>
            </w:r>
          </w:p>
        </w:tc>
      </w:tr>
    </w:tbl>
    <w:p w14:paraId="23371FBC">
      <w:pPr>
        <w:kinsoku/>
        <w:topLinePunct/>
        <w:spacing w:line="360" w:lineRule="auto"/>
        <w:ind w:firstLine="482" w:firstLineChars="200"/>
        <w:jc w:val="center"/>
        <w:outlineLvl w:val="9"/>
        <w:rPr>
          <w:rFonts w:hint="eastAsia" w:ascii="宋体" w:hAnsi="宋体" w:eastAsia="宋体" w:cs="宋体"/>
          <w:b/>
          <w:bCs/>
          <w:color w:val="auto"/>
          <w:sz w:val="24"/>
          <w:szCs w:val="24"/>
          <w:highlight w:val="none"/>
          <w:lang w:bidi="ar"/>
        </w:rPr>
      </w:pPr>
    </w:p>
    <w:p w14:paraId="7F8F7A50">
      <w:pPr>
        <w:kinsoku/>
        <w:topLinePunct/>
        <w:spacing w:line="360" w:lineRule="auto"/>
        <w:jc w:val="both"/>
        <w:outlineLvl w:val="9"/>
        <w:rPr>
          <w:rFonts w:hint="eastAsia" w:ascii="宋体" w:hAnsi="宋体" w:eastAsia="宋体" w:cs="宋体"/>
          <w:b/>
          <w:bCs/>
          <w:color w:val="auto"/>
          <w:sz w:val="24"/>
          <w:szCs w:val="24"/>
          <w:highlight w:val="none"/>
          <w:lang w:bidi="ar"/>
        </w:rPr>
      </w:pPr>
    </w:p>
    <w:p w14:paraId="21B88A20">
      <w:pPr>
        <w:kinsoku/>
        <w:topLinePunct/>
        <w:spacing w:line="360" w:lineRule="auto"/>
        <w:jc w:val="both"/>
        <w:outlineLvl w:val="9"/>
        <w:rPr>
          <w:rFonts w:hint="eastAsia" w:ascii="宋体" w:hAnsi="宋体" w:eastAsia="宋体" w:cs="宋体"/>
          <w:b/>
          <w:bCs/>
          <w:color w:val="auto"/>
          <w:sz w:val="24"/>
          <w:szCs w:val="24"/>
          <w:highlight w:val="none"/>
          <w:lang w:bidi="ar"/>
        </w:rPr>
      </w:pPr>
    </w:p>
    <w:p w14:paraId="725C80B7">
      <w:pPr>
        <w:kinsoku/>
        <w:topLinePunct/>
        <w:spacing w:line="360" w:lineRule="auto"/>
        <w:jc w:val="both"/>
        <w:outlineLvl w:val="9"/>
        <w:rPr>
          <w:rFonts w:hint="eastAsia" w:ascii="宋体" w:hAnsi="宋体" w:eastAsia="宋体" w:cs="宋体"/>
          <w:b/>
          <w:bCs/>
          <w:color w:val="auto"/>
          <w:sz w:val="24"/>
          <w:szCs w:val="24"/>
          <w:highlight w:val="none"/>
          <w:lang w:bidi="ar"/>
        </w:rPr>
      </w:pPr>
    </w:p>
    <w:p w14:paraId="5B14495D">
      <w:pPr>
        <w:kinsoku/>
        <w:topLinePunct/>
        <w:spacing w:line="360" w:lineRule="auto"/>
        <w:jc w:val="both"/>
        <w:outlineLvl w:val="9"/>
        <w:rPr>
          <w:rFonts w:hint="eastAsia" w:ascii="宋体" w:hAnsi="宋体" w:eastAsia="宋体" w:cs="宋体"/>
          <w:b/>
          <w:bCs/>
          <w:color w:val="auto"/>
          <w:sz w:val="24"/>
          <w:szCs w:val="24"/>
          <w:highlight w:val="none"/>
          <w:lang w:bidi="ar"/>
        </w:rPr>
      </w:pPr>
    </w:p>
    <w:p w14:paraId="12AC5511">
      <w:pPr>
        <w:kinsoku/>
        <w:topLinePunct/>
        <w:spacing w:line="360" w:lineRule="auto"/>
        <w:jc w:val="both"/>
        <w:outlineLvl w:val="9"/>
        <w:rPr>
          <w:rFonts w:hint="eastAsia" w:ascii="宋体" w:hAnsi="宋体" w:eastAsia="宋体" w:cs="宋体"/>
          <w:b/>
          <w:bCs/>
          <w:color w:val="auto"/>
          <w:sz w:val="24"/>
          <w:szCs w:val="24"/>
          <w:highlight w:val="none"/>
          <w:lang w:bidi="ar"/>
        </w:rPr>
      </w:pPr>
    </w:p>
    <w:p w14:paraId="1022D981">
      <w:pPr>
        <w:kinsoku/>
        <w:topLinePunct/>
        <w:spacing w:line="360" w:lineRule="auto"/>
        <w:jc w:val="both"/>
        <w:outlineLvl w:val="9"/>
        <w:rPr>
          <w:rFonts w:hint="eastAsia" w:ascii="宋体" w:hAnsi="宋体" w:eastAsia="宋体" w:cs="宋体"/>
          <w:b/>
          <w:bCs/>
          <w:color w:val="auto"/>
          <w:sz w:val="24"/>
          <w:szCs w:val="24"/>
          <w:highlight w:val="none"/>
          <w:lang w:bidi="ar"/>
        </w:rPr>
      </w:pPr>
    </w:p>
    <w:p w14:paraId="185921B1">
      <w:pPr>
        <w:kinsoku/>
        <w:topLinePunct/>
        <w:spacing w:line="360" w:lineRule="auto"/>
        <w:jc w:val="both"/>
        <w:outlineLvl w:val="9"/>
        <w:rPr>
          <w:rFonts w:hint="eastAsia" w:ascii="宋体" w:hAnsi="宋体" w:eastAsia="宋体" w:cs="宋体"/>
          <w:b/>
          <w:bCs/>
          <w:color w:val="auto"/>
          <w:sz w:val="24"/>
          <w:szCs w:val="24"/>
          <w:highlight w:val="none"/>
          <w:lang w:bidi="ar"/>
        </w:rPr>
      </w:pPr>
    </w:p>
    <w:p w14:paraId="66F28CE3">
      <w:pPr>
        <w:kinsoku/>
        <w:topLinePunct/>
        <w:spacing w:line="360" w:lineRule="auto"/>
        <w:jc w:val="both"/>
        <w:outlineLvl w:val="9"/>
        <w:rPr>
          <w:rFonts w:hint="eastAsia" w:ascii="宋体" w:hAnsi="宋体" w:eastAsia="宋体" w:cs="宋体"/>
          <w:b/>
          <w:bCs/>
          <w:color w:val="auto"/>
          <w:sz w:val="24"/>
          <w:szCs w:val="24"/>
          <w:highlight w:val="none"/>
          <w:lang w:bidi="ar"/>
        </w:rPr>
      </w:pPr>
    </w:p>
    <w:p w14:paraId="413771DA">
      <w:pPr>
        <w:kinsoku/>
        <w:topLinePunct/>
        <w:spacing w:line="360" w:lineRule="auto"/>
        <w:jc w:val="both"/>
        <w:outlineLvl w:val="9"/>
        <w:rPr>
          <w:rFonts w:hint="eastAsia" w:ascii="宋体" w:hAnsi="宋体" w:eastAsia="宋体" w:cs="宋体"/>
          <w:b/>
          <w:bCs/>
          <w:color w:val="auto"/>
          <w:sz w:val="24"/>
          <w:szCs w:val="24"/>
          <w:highlight w:val="none"/>
          <w:lang w:bidi="ar"/>
        </w:rPr>
      </w:pPr>
    </w:p>
    <w:p w14:paraId="5A172A87">
      <w:pPr>
        <w:kinsoku/>
        <w:topLinePunct/>
        <w:spacing w:line="360" w:lineRule="auto"/>
        <w:jc w:val="both"/>
        <w:outlineLvl w:val="9"/>
        <w:rPr>
          <w:rFonts w:hint="eastAsia" w:ascii="宋体" w:hAnsi="宋体" w:eastAsia="宋体" w:cs="宋体"/>
          <w:b/>
          <w:bCs/>
          <w:color w:val="auto"/>
          <w:sz w:val="24"/>
          <w:szCs w:val="24"/>
          <w:highlight w:val="none"/>
          <w:lang w:bidi="ar"/>
        </w:rPr>
      </w:pPr>
    </w:p>
    <w:p w14:paraId="65C761B5">
      <w:pPr>
        <w:kinsoku/>
        <w:topLinePunct/>
        <w:spacing w:line="360" w:lineRule="auto"/>
        <w:jc w:val="both"/>
        <w:outlineLvl w:val="9"/>
        <w:rPr>
          <w:rFonts w:hint="eastAsia" w:ascii="宋体" w:hAnsi="宋体" w:eastAsia="宋体" w:cs="宋体"/>
          <w:b/>
          <w:bCs/>
          <w:color w:val="auto"/>
          <w:sz w:val="24"/>
          <w:szCs w:val="24"/>
          <w:highlight w:val="none"/>
          <w:lang w:bidi="ar"/>
        </w:rPr>
      </w:pPr>
    </w:p>
    <w:p w14:paraId="7DEED285">
      <w:pPr>
        <w:kinsoku/>
        <w:topLinePunct/>
        <w:spacing w:line="360" w:lineRule="auto"/>
        <w:jc w:val="both"/>
        <w:outlineLvl w:val="9"/>
        <w:rPr>
          <w:rFonts w:hint="eastAsia" w:ascii="宋体" w:hAnsi="宋体" w:eastAsia="宋体" w:cs="宋体"/>
          <w:b/>
          <w:bCs/>
          <w:color w:val="auto"/>
          <w:sz w:val="24"/>
          <w:szCs w:val="24"/>
          <w:highlight w:val="none"/>
          <w:lang w:bidi="ar"/>
        </w:rPr>
      </w:pPr>
    </w:p>
    <w:p w14:paraId="2F3F3A6C">
      <w:pPr>
        <w:kinsoku/>
        <w:topLinePunct/>
        <w:spacing w:line="360" w:lineRule="auto"/>
        <w:jc w:val="both"/>
        <w:outlineLvl w:val="9"/>
        <w:rPr>
          <w:rFonts w:hint="eastAsia" w:ascii="宋体" w:hAnsi="宋体" w:eastAsia="宋体" w:cs="宋体"/>
          <w:b/>
          <w:bCs/>
          <w:color w:val="auto"/>
          <w:sz w:val="24"/>
          <w:szCs w:val="24"/>
          <w:highlight w:val="none"/>
          <w:lang w:bidi="ar"/>
        </w:rPr>
      </w:pPr>
    </w:p>
    <w:p w14:paraId="0F7644D3">
      <w:pPr>
        <w:kinsoku/>
        <w:topLinePunct/>
        <w:spacing w:line="360" w:lineRule="auto"/>
        <w:jc w:val="both"/>
        <w:outlineLvl w:val="9"/>
        <w:rPr>
          <w:rFonts w:hint="eastAsia" w:ascii="宋体" w:hAnsi="宋体" w:eastAsia="宋体" w:cs="宋体"/>
          <w:b/>
          <w:bCs/>
          <w:color w:val="auto"/>
          <w:sz w:val="24"/>
          <w:szCs w:val="24"/>
          <w:highlight w:val="none"/>
          <w:lang w:bidi="ar"/>
        </w:rPr>
      </w:pPr>
    </w:p>
    <w:p w14:paraId="48011CA3">
      <w:pPr>
        <w:kinsoku/>
        <w:topLinePunct/>
        <w:spacing w:line="360" w:lineRule="auto"/>
        <w:jc w:val="both"/>
        <w:outlineLvl w:val="9"/>
        <w:rPr>
          <w:rFonts w:hint="eastAsia" w:ascii="宋体" w:hAnsi="宋体" w:eastAsia="宋体" w:cs="宋体"/>
          <w:b/>
          <w:bCs/>
          <w:color w:val="auto"/>
          <w:sz w:val="24"/>
          <w:szCs w:val="24"/>
          <w:highlight w:val="none"/>
          <w:lang w:bidi="ar"/>
        </w:rPr>
      </w:pPr>
    </w:p>
    <w:p w14:paraId="1EDCBDFD">
      <w:pPr>
        <w:kinsoku/>
        <w:topLinePunct/>
        <w:spacing w:line="360" w:lineRule="auto"/>
        <w:jc w:val="both"/>
        <w:outlineLvl w:val="9"/>
        <w:rPr>
          <w:rFonts w:hint="eastAsia" w:ascii="宋体" w:hAnsi="宋体" w:eastAsia="宋体" w:cs="宋体"/>
          <w:b/>
          <w:bCs/>
          <w:color w:val="auto"/>
          <w:sz w:val="24"/>
          <w:szCs w:val="24"/>
          <w:highlight w:val="none"/>
          <w:lang w:bidi="ar"/>
        </w:rPr>
      </w:pPr>
    </w:p>
    <w:p w14:paraId="7A72E4DA">
      <w:pPr>
        <w:kinsoku/>
        <w:topLinePunct/>
        <w:spacing w:line="360" w:lineRule="auto"/>
        <w:jc w:val="both"/>
        <w:outlineLvl w:val="9"/>
        <w:rPr>
          <w:rFonts w:hint="eastAsia" w:ascii="宋体" w:hAnsi="宋体" w:eastAsia="宋体" w:cs="宋体"/>
          <w:b/>
          <w:bCs/>
          <w:color w:val="auto"/>
          <w:sz w:val="24"/>
          <w:szCs w:val="24"/>
          <w:highlight w:val="none"/>
          <w:lang w:bidi="ar"/>
        </w:rPr>
      </w:pPr>
    </w:p>
    <w:p w14:paraId="76A07353">
      <w:pPr>
        <w:kinsoku/>
        <w:topLinePunct/>
        <w:spacing w:line="360" w:lineRule="auto"/>
        <w:jc w:val="both"/>
        <w:outlineLvl w:val="9"/>
        <w:rPr>
          <w:rFonts w:hint="eastAsia" w:ascii="宋体" w:hAnsi="宋体" w:eastAsia="宋体" w:cs="宋体"/>
          <w:b/>
          <w:bCs/>
          <w:color w:val="auto"/>
          <w:sz w:val="24"/>
          <w:szCs w:val="24"/>
          <w:highlight w:val="none"/>
          <w:lang w:bidi="ar"/>
        </w:rPr>
      </w:pPr>
    </w:p>
    <w:p w14:paraId="4FC9F2A3">
      <w:pPr>
        <w:kinsoku/>
        <w:topLinePunct/>
        <w:spacing w:line="360" w:lineRule="auto"/>
        <w:jc w:val="both"/>
        <w:outlineLvl w:val="9"/>
        <w:rPr>
          <w:rFonts w:hint="eastAsia" w:ascii="宋体" w:hAnsi="宋体" w:eastAsia="宋体" w:cs="宋体"/>
          <w:b/>
          <w:bCs/>
          <w:color w:val="auto"/>
          <w:sz w:val="24"/>
          <w:szCs w:val="24"/>
          <w:highlight w:val="none"/>
          <w:lang w:bidi="ar"/>
        </w:rPr>
      </w:pPr>
    </w:p>
    <w:p w14:paraId="24FB4B43">
      <w:pPr>
        <w:kinsoku/>
        <w:topLinePunct/>
        <w:spacing w:line="360" w:lineRule="auto"/>
        <w:jc w:val="both"/>
        <w:outlineLvl w:val="9"/>
        <w:rPr>
          <w:rFonts w:hint="eastAsia" w:ascii="宋体" w:hAnsi="宋体" w:eastAsia="宋体" w:cs="宋体"/>
          <w:b/>
          <w:bCs/>
          <w:color w:val="auto"/>
          <w:sz w:val="24"/>
          <w:szCs w:val="24"/>
          <w:highlight w:val="none"/>
          <w:lang w:bidi="ar"/>
        </w:rPr>
      </w:pPr>
    </w:p>
    <w:p w14:paraId="53D4E53B">
      <w:pPr>
        <w:kinsoku/>
        <w:topLinePunct/>
        <w:spacing w:line="360" w:lineRule="auto"/>
        <w:jc w:val="both"/>
        <w:outlineLvl w:val="9"/>
        <w:rPr>
          <w:rFonts w:hint="eastAsia" w:ascii="宋体" w:hAnsi="宋体" w:eastAsia="宋体" w:cs="宋体"/>
          <w:b/>
          <w:bCs/>
          <w:color w:val="auto"/>
          <w:sz w:val="24"/>
          <w:szCs w:val="24"/>
          <w:highlight w:val="none"/>
          <w:lang w:bidi="ar"/>
        </w:rPr>
      </w:pPr>
    </w:p>
    <w:p w14:paraId="512FBE37">
      <w:pPr>
        <w:kinsoku/>
        <w:topLinePunct/>
        <w:spacing w:line="360" w:lineRule="auto"/>
        <w:jc w:val="both"/>
        <w:outlineLvl w:val="9"/>
        <w:rPr>
          <w:rFonts w:hint="eastAsia" w:ascii="宋体" w:hAnsi="宋体" w:eastAsia="宋体" w:cs="宋体"/>
          <w:b/>
          <w:bCs/>
          <w:color w:val="auto"/>
          <w:sz w:val="24"/>
          <w:szCs w:val="24"/>
          <w:highlight w:val="none"/>
          <w:lang w:bidi="ar"/>
        </w:rPr>
      </w:pPr>
    </w:p>
    <w:p w14:paraId="2C2A4D76">
      <w:pPr>
        <w:kinsoku/>
        <w:topLinePunct/>
        <w:spacing w:line="360" w:lineRule="auto"/>
        <w:ind w:firstLine="482" w:firstLineChars="200"/>
        <w:jc w:val="center"/>
        <w:outlineLvl w:val="9"/>
        <w:rPr>
          <w:rFonts w:hint="eastAsia" w:ascii="宋体" w:hAnsi="宋体" w:eastAsia="宋体" w:cs="宋体"/>
          <w:b/>
          <w:bCs/>
          <w:color w:val="auto"/>
          <w:sz w:val="24"/>
          <w:szCs w:val="24"/>
          <w:highlight w:val="none"/>
          <w:lang w:bidi="ar"/>
        </w:rPr>
      </w:pPr>
    </w:p>
    <w:p w14:paraId="02493DC3">
      <w:pPr>
        <w:kinsoku/>
        <w:topLinePunct/>
        <w:spacing w:line="360" w:lineRule="auto"/>
        <w:ind w:firstLine="482" w:firstLineChars="200"/>
        <w:jc w:val="center"/>
        <w:outlineLvl w:val="1"/>
        <w:rPr>
          <w:rFonts w:hint="eastAsia" w:ascii="宋体" w:hAnsi="宋体" w:eastAsia="宋体" w:cs="宋体"/>
          <w:b/>
          <w:bCs/>
          <w:color w:val="auto"/>
          <w:sz w:val="24"/>
          <w:szCs w:val="24"/>
          <w:highlight w:val="none"/>
          <w:lang w:bidi="ar"/>
        </w:rPr>
      </w:pPr>
      <w:bookmarkStart w:id="571" w:name="_Toc2846"/>
      <w:bookmarkStart w:id="572" w:name="_Toc19018"/>
      <w:bookmarkStart w:id="573" w:name="_Toc15523"/>
      <w:bookmarkStart w:id="574" w:name="_Toc2346"/>
      <w:bookmarkStart w:id="575" w:name="_Toc32087"/>
      <w:bookmarkStart w:id="576" w:name="_Toc15575"/>
      <w:bookmarkStart w:id="577" w:name="_Toc8560"/>
      <w:bookmarkStart w:id="578" w:name="_Toc19270"/>
      <w:bookmarkStart w:id="579" w:name="_Toc19375"/>
      <w:bookmarkStart w:id="580" w:name="_Toc19009"/>
      <w:bookmarkStart w:id="581" w:name="_Toc4318"/>
      <w:bookmarkStart w:id="582" w:name="_Toc31921"/>
      <w:bookmarkStart w:id="583" w:name="_Toc5318"/>
      <w:bookmarkStart w:id="584" w:name="_Toc11029"/>
      <w:bookmarkStart w:id="585" w:name="_Toc20445"/>
      <w:bookmarkStart w:id="586" w:name="_Toc32031"/>
      <w:bookmarkStart w:id="587" w:name="_Toc15969"/>
      <w:bookmarkStart w:id="588" w:name="_Toc13880"/>
      <w:bookmarkStart w:id="589" w:name="_Toc25859"/>
      <w:bookmarkStart w:id="590" w:name="_Toc25684"/>
      <w:bookmarkStart w:id="591" w:name="_Toc14808"/>
      <w:bookmarkStart w:id="592" w:name="_Toc1068"/>
      <w:r>
        <w:rPr>
          <w:rFonts w:hint="eastAsia" w:ascii="宋体" w:hAnsi="宋体" w:eastAsia="宋体" w:cs="宋体"/>
          <w:b/>
          <w:bCs/>
          <w:color w:val="auto"/>
          <w:sz w:val="24"/>
          <w:szCs w:val="24"/>
          <w:highlight w:val="none"/>
          <w:lang w:bidi="ar"/>
        </w:rPr>
        <w:t>第</w:t>
      </w:r>
      <w:r>
        <w:rPr>
          <w:rFonts w:hint="eastAsia" w:ascii="宋体" w:hAnsi="宋体" w:eastAsia="宋体" w:cs="宋体"/>
          <w:b/>
          <w:bCs/>
          <w:color w:val="auto"/>
          <w:sz w:val="24"/>
          <w:szCs w:val="24"/>
          <w:highlight w:val="none"/>
          <w:lang w:val="en-US" w:eastAsia="zh-CN" w:bidi="ar"/>
        </w:rPr>
        <w:t xml:space="preserve">二部分  </w:t>
      </w:r>
      <w:r>
        <w:rPr>
          <w:rFonts w:hint="eastAsia" w:ascii="宋体" w:hAnsi="宋体" w:eastAsia="宋体" w:cs="宋体"/>
          <w:b/>
          <w:bCs/>
          <w:color w:val="auto"/>
          <w:sz w:val="24"/>
          <w:szCs w:val="24"/>
          <w:highlight w:val="none"/>
          <w:lang w:bidi="ar"/>
        </w:rPr>
        <w:t>通用合同条款</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14:paraId="30D9371D">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w:t>
      </w: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bidi="ar"/>
        </w:rPr>
        <w:t>一般约定</w:t>
      </w:r>
    </w:p>
    <w:p w14:paraId="4BFB96F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词语定义</w:t>
      </w:r>
    </w:p>
    <w:p w14:paraId="7E1D6A6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除专用合同条款另有约定外，合同中的下列词语应具有本款所赋予的含义。</w:t>
      </w:r>
    </w:p>
    <w:p w14:paraId="45A0BF0C">
      <w:pPr>
        <w:kinsoku/>
        <w:topLinePunct/>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1.1.1</w:t>
      </w: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b/>
          <w:bCs/>
          <w:color w:val="auto"/>
          <w:sz w:val="24"/>
          <w:szCs w:val="24"/>
          <w:highlight w:val="none"/>
          <w:lang w:bidi="ar"/>
        </w:rPr>
        <w:t>合同</w:t>
      </w:r>
    </w:p>
    <w:p w14:paraId="78B0157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合同文件（或称合同）：指合同协议书、中标通知书、投标函、商务和技术偏差表、专用合同条款、通用合同条款、供货要求、分项报价表、中标设备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技术性能指标的详细描述、技术服务和质保期服务计划，以及其他构成合同组成部分的文件。</w:t>
      </w:r>
    </w:p>
    <w:p w14:paraId="6703718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1.1.1.2</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合同协议书：指买方和卖方共同签署的合同协议书。</w:t>
      </w:r>
    </w:p>
    <w:p w14:paraId="73A18B9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中标通知书：指买方通知卖方中标的函件。</w:t>
      </w:r>
    </w:p>
    <w:p w14:paraId="7C6F825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1.1.1.4</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投标函：指由卖方填写并签署的，名为“投标函”的函件。</w:t>
      </w:r>
    </w:p>
    <w:p w14:paraId="3CCE8B4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1.1.1.5</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商务和技术偏差表：指卖方投标文件中的商务和技术偏差表。</w:t>
      </w:r>
    </w:p>
    <w:p w14:paraId="376E8A4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1.1.1.6</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供货要求：指合同文件中名为“供货要求”的文件。</w:t>
      </w:r>
    </w:p>
    <w:p w14:paraId="1240B3B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1.1.1.7</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中标设备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技术性能指标的详细描述：指卖方投标文件中的投标设备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技术性能指标的详细描述。</w:t>
      </w:r>
    </w:p>
    <w:p w14:paraId="528D9BA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1.1.1.8</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技术服务和质保期服务计划：指卖方投标文件中的技术服务和质保期服务计划。</w:t>
      </w:r>
    </w:p>
    <w:p w14:paraId="028BC26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1.1.1.9</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分项报价表：指卖方投标文件中的分项报价表。</w:t>
      </w:r>
    </w:p>
    <w:p w14:paraId="686C9E9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1.1.1.10其他合同文件：指经合同双方当事人确认构成合同文件的其他文件。</w:t>
      </w:r>
    </w:p>
    <w:p w14:paraId="6B6FE66F">
      <w:pPr>
        <w:kinsoku/>
        <w:topLinePunct/>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1.1.2合同当事人</w:t>
      </w:r>
    </w:p>
    <w:p w14:paraId="260C84F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1.1.2.1合同当事人：指买方和（或）卖方。</w:t>
      </w:r>
    </w:p>
    <w:p w14:paraId="61A3174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1.1.2.2买方：指与卖方签订合同协议书，购买合同设备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和技术服务和质保期服务的当事人，及其合法继承人。</w:t>
      </w:r>
    </w:p>
    <w:p w14:paraId="208BAF1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1.1.2.3卖方：指与买方签订合同协议书，提供合同设备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和技术服务和质保期服务的当事人，及其合法继承人。</w:t>
      </w:r>
    </w:p>
    <w:p w14:paraId="4B7AB274">
      <w:pPr>
        <w:kinsoku/>
        <w:topLinePunct/>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1.1.3合同价格</w:t>
      </w:r>
    </w:p>
    <w:p w14:paraId="70BA6A9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1.1.3.1签约合同价：是签订合同时合同协议书中写明的合同总金额。</w:t>
      </w:r>
    </w:p>
    <w:p w14:paraId="36ED45E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1.1.3.2合同价格：指卖方按合同约定履行了全部合同义务后，买方应付给卖方的金额。</w:t>
      </w:r>
    </w:p>
    <w:p w14:paraId="0DEC05A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：指卖方按合同约定应向买方提供的设备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、装置、备品、备件、易损易耗件、配套使用的软件或其他辅助电子应用程序及技术资料，或其中任何一部分。</w:t>
      </w:r>
    </w:p>
    <w:p w14:paraId="2F2F6A3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1.1.5技术资料：指各种纸质及电子载体的与合同设备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的设计、检验、安装、调试、考核、操作、维修以及保养等有关的技术指标、规格、图纸和说明文件。</w:t>
      </w:r>
    </w:p>
    <w:p w14:paraId="0F82133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1.1.6安装：指对合同设备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进行的组装、连接以及根据需要将合同设备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固定在施工场地内一定的位置上，使其就位并与相关设备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、工程实现连接。</w:t>
      </w:r>
    </w:p>
    <w:p w14:paraId="1C49006D">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1.1.7调试：指在合同设备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安装完成后，对合同设备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所进行的调校和测试。</w:t>
      </w:r>
    </w:p>
    <w:p w14:paraId="01A6509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1.1.8考核：指在合同设备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调试完成后，对合同设备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进行的用于确定其是否达到合同约定的技术性能考核指标的考核。</w:t>
      </w:r>
    </w:p>
    <w:p w14:paraId="3BD2D3F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1.1.9验收：指合同设备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通过考核达到合同约定的技术性能考核指标后，买方作出接受合同设备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的确认。</w:t>
      </w:r>
    </w:p>
    <w:p w14:paraId="59DFF4D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1.1.10技术服务：指卖方按合同约定，在合同设备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验收前，向买方提供的安装、调试服务，或者在由买方负责的安装、调试、考核中对买方进行的技术指导、协助、监督和培训等。</w:t>
      </w:r>
    </w:p>
    <w:p w14:paraId="734D757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1.1.11质量保证期：指合同设备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验收后，卖方按合同约定保证合同设备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适当、稳定运行，并负责消除合同设备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故障的期限。</w:t>
      </w:r>
    </w:p>
    <w:p w14:paraId="44EBC6B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1.1.12质保期服务：指在质量保证期内，卖方向买方提供的合同设备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维护服务、咨询服务、技术指导、协助以及对出现故障的合同设备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进行修理或更换的服务。</w:t>
      </w:r>
    </w:p>
    <w:p w14:paraId="604E2E92">
      <w:pPr>
        <w:kinsoku/>
        <w:topLinePunct/>
        <w:spacing w:line="360" w:lineRule="auto"/>
        <w:ind w:firstLine="482" w:firstLineChars="200"/>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1.1.13工程</w:t>
      </w:r>
    </w:p>
    <w:p w14:paraId="02EC115C">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1.1.13.1工程：指在专用合同条款中指明的，安装运行合同设备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的工程。</w:t>
      </w:r>
    </w:p>
    <w:p w14:paraId="66525C4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1.1.13.2施工场地（或称工地、施工现场）：指专用合同条款中指明的工程所在场所。</w:t>
      </w:r>
    </w:p>
    <w:p w14:paraId="119061C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1.1.14天（或称日）：除特别指明外，指日历天。合同中按天计算时间的，开始当天不计入，从次日开始计算。合同约定的期间的最后一天是星期日或者其他法定休假日的，以休假日的次日为期间的最后一天。</w:t>
      </w:r>
    </w:p>
    <w:p w14:paraId="4598CA2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1.1.15月：按照公历月计算。合同中按月计算时间的，开始当天不计入，从次日开始计算。合同约定的期间的最后一天是星期日或者其他法定休假日的，以休假日的次日为期间的最后一天。</w:t>
      </w:r>
    </w:p>
    <w:p w14:paraId="51C12E2D">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1.1.16书面形式：指合同文件、信件和数据电文（包括电报、电传、传真、电子数据交换和电子邮件）等可以有形地表现所载内容的形式。</w:t>
      </w:r>
    </w:p>
    <w:p w14:paraId="762B8EC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1.2语言文字</w:t>
      </w:r>
    </w:p>
    <w:p w14:paraId="6717196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合同使用的语言文字为中文。专用术语使用外文的，应附有中文注释。</w:t>
      </w:r>
    </w:p>
    <w:p w14:paraId="5635D4F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1.3合同文件的优先顺序</w:t>
      </w:r>
    </w:p>
    <w:p w14:paraId="7F845D8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组成合同的各项文件应互相解释，互为说明。除专用合同条款另有约定外，解释合同文件的优先顺序如下：</w:t>
      </w:r>
    </w:p>
    <w:p w14:paraId="173C05E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（1）合同协议书；</w:t>
      </w:r>
    </w:p>
    <w:p w14:paraId="1BA93DEC">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（2）中标通知书；</w:t>
      </w:r>
    </w:p>
    <w:p w14:paraId="0C55BE8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（3）投标函；</w:t>
      </w:r>
    </w:p>
    <w:p w14:paraId="24C3FDF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（4）商务和技术偏差表；</w:t>
      </w:r>
    </w:p>
    <w:p w14:paraId="469E470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（5）专用合同条款；</w:t>
      </w:r>
    </w:p>
    <w:p w14:paraId="4DD288F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（6）通用合同条款；</w:t>
      </w:r>
    </w:p>
    <w:p w14:paraId="2BE368F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（7）供货要求；</w:t>
      </w:r>
    </w:p>
    <w:p w14:paraId="2A18F44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（8）分项报价表；</w:t>
      </w:r>
    </w:p>
    <w:p w14:paraId="414033E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（9）中标设备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技术性能指标的详细描述；</w:t>
      </w:r>
    </w:p>
    <w:p w14:paraId="04D7C9C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（10）技术服务和质保期服务计划；</w:t>
      </w:r>
    </w:p>
    <w:p w14:paraId="7F6AD2C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（11）其他合同文件。</w:t>
      </w:r>
    </w:p>
    <w:p w14:paraId="2274E18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1.4合同的生效及变更</w:t>
      </w:r>
    </w:p>
    <w:p w14:paraId="4356825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1.4.1除专用合同条款另有约定外，买方和卖方的法定代表人（单位负责人）或其授权代表在合同协议书上签字并加盖单位章后，合同生效。</w:t>
      </w:r>
    </w:p>
    <w:p w14:paraId="6BF14A4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1.4.2除专用合同条款另有约定外，在合同履行过程中，如需对合同进行变更，双方应签订书面协议，并经双方法定代表人（单位负责人）或其授权代表签字并加盖单位章后生效。</w:t>
      </w:r>
    </w:p>
    <w:p w14:paraId="3B9CC91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1.5联络</w:t>
      </w:r>
    </w:p>
    <w:p w14:paraId="41DBFAE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7CFAB56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1.5.2合同履行中或与合同有关的任何联络，送达到第1.5.1项指定的联系人即视为送达。</w:t>
      </w:r>
    </w:p>
    <w:p w14:paraId="2419CEF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1.5.3买方可以安排监理等相关人员作为买方人员，与卖方进行联络或参加合同设备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的监造（如有）、交货前检验（如有）、开箱检验、安装、调试、考核、验收等，但应按照第1.5.1项的约定事先书面通知卖方。</w:t>
      </w:r>
    </w:p>
    <w:p w14:paraId="6A7918A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1.6联合体</w:t>
      </w:r>
    </w:p>
    <w:p w14:paraId="206E16C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1.6.1卖方为联合体的，联合体各方应当共同与买方签订合同，并向买方为履行合同承担连带责任。</w:t>
      </w:r>
    </w:p>
    <w:p w14:paraId="39B32B0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1.6.2在合同履行过程中，未经买方同意，不得修改联合体协议。联合体协议中关于联合体成员间权利义务的划分，并不影响或减损联合体各方应就履行合同向买方承担的连带责任。</w:t>
      </w:r>
    </w:p>
    <w:p w14:paraId="0C1D9F9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1B63116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1.7转让</w:t>
      </w:r>
    </w:p>
    <w:p w14:paraId="47FE0E5C">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未经对方当事人书面同意，合同任何一方均不得转让其在合同项下的权利和（或）义务。</w:t>
      </w:r>
    </w:p>
    <w:p w14:paraId="7C372987">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2.合同范围</w:t>
      </w:r>
    </w:p>
    <w:p w14:paraId="0B45FEF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卖方应根据供货要求、中标设备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技术性能指标的详细描述、技术服务和质保期服务计划等合同文件的约定向买方提供合同设备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、技术服务和质保期服务。</w:t>
      </w:r>
    </w:p>
    <w:p w14:paraId="3323E55D">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3.合同价格与支付</w:t>
      </w:r>
    </w:p>
    <w:p w14:paraId="6746B7F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3.1合同价格</w:t>
      </w:r>
    </w:p>
    <w:p w14:paraId="1519440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3.1.1合同协议书中载明的签约合同价包括卖方为完成合同全部义务应承担的一切成本、费用和支出以及卖方的合理利润。</w:t>
      </w:r>
    </w:p>
    <w:p w14:paraId="0104386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3.1.2除专用合同条款另有约定外，签约合同价为固定价格。</w:t>
      </w:r>
    </w:p>
    <w:p w14:paraId="3DBCB4F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3.2合同价款的支付</w:t>
      </w:r>
    </w:p>
    <w:p w14:paraId="44DE5BE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除专用合同条款另有约定外，买方应通过以下方式和比例向卖方支付合同价款：</w:t>
      </w:r>
    </w:p>
    <w:p w14:paraId="5ADE3B5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3.2.1预付款</w:t>
      </w:r>
    </w:p>
    <w:p w14:paraId="6E98E89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69BA038D">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3.2.2交货款</w:t>
      </w:r>
    </w:p>
    <w:p w14:paraId="542CAE2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卖方按合同约定交付全部合同设备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后，买方在收到卖方提交的下列全部单据并经审核无误后28日内，向卖方支付合同价格的60%：</w:t>
      </w:r>
    </w:p>
    <w:p w14:paraId="3FA7F1AC">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（1）卖方出具的交货清单正本一份；</w:t>
      </w:r>
    </w:p>
    <w:p w14:paraId="5544409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（2）买方签署的收货清单正本一份；</w:t>
      </w:r>
    </w:p>
    <w:p w14:paraId="28CD77C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（3）制造商出具的出厂质量合格证正本一份；</w:t>
      </w:r>
    </w:p>
    <w:p w14:paraId="1133C08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（4）合同价格100%金额的增值税发票正本一份。</w:t>
      </w:r>
    </w:p>
    <w:p w14:paraId="77D7289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3.2.3验收款</w:t>
      </w:r>
    </w:p>
    <w:p w14:paraId="3ACE820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买方在收到卖方提交的买卖双方签署的合同设备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验收证书或已生效的验收款支付函正本一份并经审核无误后28日内，向卖方支付合同价格的25%。</w:t>
      </w:r>
    </w:p>
    <w:p w14:paraId="5368CAC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3.2.4结清款</w:t>
      </w:r>
    </w:p>
    <w:p w14:paraId="695B08C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买方在收到卖方提交的买方签署的质量保证期届满证书或已生效的结清款支付函正本一份并经审核无误后28日内，向卖方支付合同价格的5%。</w:t>
      </w:r>
    </w:p>
    <w:p w14:paraId="658419C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如果依照合同第9.1项，卖方应向买方支付费用的，买方有权从结清款中直接扣除该笔费用。</w:t>
      </w:r>
    </w:p>
    <w:p w14:paraId="5E73521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除专用合同条款另有约定外，在买方向卖方支付验收款的同时或其后的任何时间内，卖方可在向买方提交买方可接受的金额为合同价格5%的合同结清款保函的前提下，要求买方支付合同结清款，买方</w:t>
      </w:r>
      <w:r>
        <w:rPr>
          <w:rFonts w:hint="eastAsia" w:ascii="宋体" w:hAnsi="宋体" w:eastAsia="宋体" w:cs="宋体"/>
          <w:color w:val="auto"/>
          <w:sz w:val="24"/>
          <w:szCs w:val="24"/>
          <w:highlight w:val="none"/>
          <w:lang w:eastAsia="zh-CN" w:bidi="ar"/>
        </w:rPr>
        <w:t>应接受</w:t>
      </w:r>
      <w:r>
        <w:rPr>
          <w:rFonts w:hint="eastAsia" w:ascii="宋体" w:hAnsi="宋体" w:eastAsia="宋体" w:cs="宋体"/>
          <w:color w:val="auto"/>
          <w:sz w:val="24"/>
          <w:szCs w:val="24"/>
          <w:highlight w:val="none"/>
          <w:lang w:bidi="ar"/>
        </w:rPr>
        <w:t>。</w:t>
      </w:r>
    </w:p>
    <w:p w14:paraId="7FD0078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3.3买方扣款的权利</w:t>
      </w:r>
    </w:p>
    <w:p w14:paraId="1FA2AED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当卖方应向买方支付合同项下的违约金或赔偿金时，买方有权从上述任何一笔应付款中予以直接扣除和（或）兑付履约保证金。</w:t>
      </w:r>
    </w:p>
    <w:p w14:paraId="1DFC55B9">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4.监造及交货前检验</w:t>
      </w:r>
    </w:p>
    <w:p w14:paraId="6B3D8BDC">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4.1监造</w:t>
      </w:r>
    </w:p>
    <w:p w14:paraId="7BE3B4D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专用合同条款约定买方对合同设备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进行监造的，双方应按本款及专用合同条款约定履行。</w:t>
      </w:r>
    </w:p>
    <w:p w14:paraId="447E649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4.1.1在合同设备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的制造过程中，买方可派出监造人员，对合同设备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的生产制造进行监造，</w:t>
      </w:r>
    </w:p>
    <w:p w14:paraId="30238C1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监督合同设备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制造、检验等情况。监造的范围、方式等应符合专用合同条款和（或）供货要求等合同文件的约定。</w:t>
      </w:r>
    </w:p>
    <w:p w14:paraId="4BD85D7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43DB35F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4.1.3卖方制订生产制造合同设备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的进度计划时，应将买方监造纳入计划安排，并提前通知买方；买方进行监造不应影响合同设备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的正常生产。除专用合同条款和（或）供货要求等合同文件另有约定外，卖方应提前7日将需要买方监造人员现场监造事项通知买方；如买方监造人员未按通知出席，不影响合同设备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及其关键部件的制造或检验，但买方监造人员有权事后了解、查阅、复制相关制造或检验记录。</w:t>
      </w:r>
    </w:p>
    <w:p w14:paraId="3A54590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4.1.4买方监造人员在监造中如发现合同设备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及其关键部件不符合合同约定的标准，则有权提出意见和建议。卖方应采取必要措施消除合同设备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的不符，由此增加的费用和（或）造成的延误由卖方负责。</w:t>
      </w:r>
    </w:p>
    <w:p w14:paraId="2C1C377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4.1.5买方监造人员对合同设备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的监造，不视为对合同设备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质量的确认，不影响卖方交货后买方依照合同约定对合同设备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提出质量异议和（或）退货的权利，也不免除卖方依照合同约定对合同设备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所应承担的任何义务或责任。</w:t>
      </w:r>
    </w:p>
    <w:p w14:paraId="118FC7E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4.2交货前检验</w:t>
      </w:r>
    </w:p>
    <w:p w14:paraId="07A444C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专用合同条款约定买方参与交货前检验的，双方应按本款及专用合同条款约定履行。</w:t>
      </w:r>
    </w:p>
    <w:p w14:paraId="702244A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4.2.1合同设备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交货前，卖方应会同买方代表根据合同约定对合同设备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2DBDC2E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4.2.2除专用合同条款和（或）供货要求等合同文件另有约定外，卖方应提前7日将需要买方代表检验事项通知买方；如买方代表未按通知出席，不影响合同设备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的检验。若卖方未依照合同约定提前通知买方而自行检验，则买方有权要求卖方暂停发货并重新进行检验，由此增加的费用和（或）造成的延误由卖方负责。</w:t>
      </w:r>
    </w:p>
    <w:p w14:paraId="2D318A5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4.2.3买方代表在检验中如发现合同设备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不符合合同约定的标准，则有权提出异议。卖方应采取必要措施消除合同设备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的不符，由此增加的费用和（或）造成的延误由卖方负责。</w:t>
      </w:r>
    </w:p>
    <w:p w14:paraId="65831FF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4.2.4买方代表参与交货前检验及签署交货前检验记录的行为，不视为对合同设备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质量的确认，不影响卖方交货后买方依照合同约定对合同设备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提出质量异议和（或）退货的权利，也不免除卖方依照合同约定对合同设备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所应承担的任何义务或责任。</w:t>
      </w:r>
    </w:p>
    <w:p w14:paraId="7042A993">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5.包装、标记、运输和交付</w:t>
      </w:r>
    </w:p>
    <w:p w14:paraId="4757D68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5.1包装</w:t>
      </w:r>
    </w:p>
    <w:p w14:paraId="0D07C25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5.1.1卖方应对合同设备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进行妥善包装，以满足合同设备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运至施工场地及在施工场地保管的需要。包装应采取防潮、防晒、防锈、防腐蚀、防震动及防止其它损坏的必要保护措施，从而保护合同设备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能够经受多次搬运、装卸、长途运输并适宜保管。</w:t>
      </w:r>
    </w:p>
    <w:p w14:paraId="0A6EB35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5.1.2每个独立包装箱内应附装箱清单、质量合格证、装配图、说明书、操作指南等资料。</w:t>
      </w:r>
    </w:p>
    <w:p w14:paraId="1249FA1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5.1.3除专用合同条款另有约定外，买方无需将包装物退还给卖方。</w:t>
      </w:r>
    </w:p>
    <w:p w14:paraId="04AA644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5.2标记</w:t>
      </w:r>
    </w:p>
    <w:p w14:paraId="2F34739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5.2.1除专用合同条款另有约定外，卖方应在每一包装箱相邻的四个侧面以不可擦除的、明显的方式标记必要的装运信息和标记，以满足合同设备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运输和保管的需要。</w:t>
      </w:r>
    </w:p>
    <w:p w14:paraId="4F3AA88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5.2.2根据合同设备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的特点和运输、保管的不同要求，卖方应在包装箱上清楚地标注“小心轻放</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此端朝上，请勿倒置</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保持干燥”等字样和其他适当标记。对于专用合同条款约定的超大超重件，卖方应在包装箱两侧标注“重心”和“起吊点”以便装卸和搬运。如果发运合同设备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中含有易燃易爆物品、腐蚀物品、放射性物质等危险品，则应在包装箱上标明危险品标志。</w:t>
      </w:r>
    </w:p>
    <w:p w14:paraId="0FFEF7C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5.3运输</w:t>
      </w:r>
    </w:p>
    <w:p w14:paraId="7FE9D75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5.3.1卖方应自行选择适宜的运输工具及线路安排合同设备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运输。</w:t>
      </w:r>
    </w:p>
    <w:p w14:paraId="3A940BB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5.3.2除专用合同条款另有约定外，每件能够独立运行的设备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应整套装运。该设备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安装、调试、考核和运行所使用的备品、备件、易损易耗件等应随相关的主机一齐装运。</w:t>
      </w:r>
    </w:p>
    <w:p w14:paraId="4CBD407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5.3.3除专用合同条款另有约定外，卖方应在合同设备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预计启运7日前，将合同设备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名称、数量、箱数、总毛重、总体积（用m</w:t>
      </w:r>
      <w:r>
        <w:rPr>
          <w:rFonts w:hint="eastAsia" w:ascii="宋体" w:hAnsi="宋体" w:eastAsia="宋体" w:cs="宋体"/>
          <w:color w:val="auto"/>
          <w:sz w:val="24"/>
          <w:szCs w:val="24"/>
          <w:highlight w:val="none"/>
          <w:vertAlign w:val="superscript"/>
          <w:lang w:bidi="ar"/>
        </w:rPr>
        <w:t>3</w:t>
      </w:r>
      <w:r>
        <w:rPr>
          <w:rFonts w:hint="eastAsia" w:ascii="宋体" w:hAnsi="宋体" w:eastAsia="宋体" w:cs="宋体"/>
          <w:color w:val="auto"/>
          <w:sz w:val="24"/>
          <w:szCs w:val="24"/>
          <w:highlight w:val="none"/>
          <w:lang w:bidi="ar"/>
        </w:rPr>
        <w:t>表示）、每箱尺寸（长×宽×高）、装运合同设备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总金额、运输方式、预计交付日期和合同设备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在运输、装卸、保管中的注意事项等预通知买方，并在合同设备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启运后24小时之内正式通知买方。</w:t>
      </w:r>
    </w:p>
    <w:p w14:paraId="1AC98857">
      <w:pPr>
        <w:kinsoku/>
        <w:topLinePunct/>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5.3.4卖方在根据第5.3.3项进行通知时，如果发运合同设备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中包括专用合同条款约定的超大超重包装，则卖方应将超大和（或）超重的每个包装箱的重量和尺寸通知买方；如果发运合同设备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中包括易燃易爆物品、腐蚀物品、放射性物质等危险品，则危险品的品名、性质、在运输、装卸、保管方面的特殊要求、注意事项和处理意外情况的方法等，也应一并通知买方。</w:t>
      </w:r>
    </w:p>
    <w:p w14:paraId="6B24D02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5.4交付</w:t>
      </w:r>
    </w:p>
    <w:p w14:paraId="0B716DA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5.4.1除专用合同条款另有约定外，卖方应根据合同约定的交付时间和批次在施工场地车面上将合同设备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交付给买方。买方对卖方交付的包装的合同设备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的外观及件数进行清点核验后应签发收货清单，并自负风险和费用进行卸货。买方签发收货清单不代表对合同设备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的接受，双方还应按合同约定进行后续的检验和验收。</w:t>
      </w:r>
    </w:p>
    <w:p w14:paraId="6076655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5.4.2合同设备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的所有权和风险自交付时起由卖方转移至买方，合同设备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交付给买方之前包括运输在内的所有风险均由卖方承担。</w:t>
      </w:r>
    </w:p>
    <w:p w14:paraId="2846C3A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4D32C1C5">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6.开箱检验、安装、调试、考核、验收</w:t>
      </w:r>
    </w:p>
    <w:p w14:paraId="217EBF2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6.1开箱检验</w:t>
      </w:r>
    </w:p>
    <w:p w14:paraId="184CF74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6.1.1合同设备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交付后应进行开箱检验，即合同设备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数量及外观检验。开箱检验在专用合同条款约定的下列任一种时间进行：</w:t>
      </w:r>
    </w:p>
    <w:p w14:paraId="3FBBDA5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交付时；</w:t>
      </w:r>
    </w:p>
    <w:p w14:paraId="55E0F20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交付后的一定期限内。如开箱检验不在合同设备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交付时进行，买方应在开箱检验3日前将开箱检验的时间和地点通知卖方。</w:t>
      </w:r>
    </w:p>
    <w:p w14:paraId="1FAB67B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6.1.2除专用合同条款另有约定外，合同设备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的开箱检验应在施工场地进行。</w:t>
      </w:r>
    </w:p>
    <w:p w14:paraId="61B46F5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6.1.3开箱检验由买卖双方共同进行，卖方应自负费用派遣代表到场参加开箱检验。</w:t>
      </w:r>
    </w:p>
    <w:p w14:paraId="5D94267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6.1.4在开箱检验中，买方和卖方应共同签署数量、外观检验报告，报告应列明检验结果，包括检验合格或发现的任何短缺、损坏或其它与合同约定不符的情形。</w:t>
      </w:r>
    </w:p>
    <w:p w14:paraId="1241979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1A72645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6.1.6如开箱检验不在合同设备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交付时进行，则合同设备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交付以后到开箱检验之前，应由买方负责按交货时外包装原样对合同设备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进行妥善保管。除专用合同条款另有约定外，在开箱检验时如果合同设备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外包装与交货时一致，则开箱检验中发现的合同设备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的短缺、损坏或其它与合同约定不符的情形，由卖方负责，卖方应补齐、更换及采取其他补救措施。如果在开箱检验时合同设备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外包装不是交货时的包装或虽是交货时的包装但与交货时不一致且出现很可能导致合同设备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短缺或损坏的包装破损，则开箱检验中发现合同设备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短缺、损坏或其它与合同约定不符的情形的风险，由买方承担，但买方能够证明是由于卖方原因或合同设备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交付前非买方原因导致的除外。</w:t>
      </w:r>
    </w:p>
    <w:p w14:paraId="32DEE33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6.1.7如双方在专用合同条款和（或）供货要求等合同文件中约定由第三方检测机构对合同设备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进行开箱检验或在开箱检验过程中另行约定由第三方检验的，则第三方检测机构的检验结果对双方均具有约束力。</w:t>
      </w:r>
    </w:p>
    <w:p w14:paraId="11AB916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6.1.8开箱检验的检验结果不能对抗在合同设备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的安装、调试、考核、验收中及质量保证期内发现的合同设备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质量问题，也不能免除或影响卖方依照合同约定对买方负有的包括合同设备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质量在内的任何义务或责任。</w:t>
      </w:r>
    </w:p>
    <w:p w14:paraId="5AF205D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6.2安装、调试</w:t>
      </w:r>
    </w:p>
    <w:p w14:paraId="0983208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6.2.1开箱检验完成后，双方应对合同设备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进行安装、调试，以使其具备考核的状态。安装、调试应按照专用合同条款约定的下列任一种方式进行：</w:t>
      </w:r>
    </w:p>
    <w:p w14:paraId="370D3D5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（1）卖方按照合同约定完成合同设备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的安装、调试工作；</w:t>
      </w:r>
    </w:p>
    <w:p w14:paraId="4710CF8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（2）买方或买方安排第三方负责合同设备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的安装、调试工作，卖方提供技术服务。除专用合同条款另有约定外，在安装、调试过程中，如由于买方或买方安排的第三方未按照卖方现场服务人员的指导导致安装、调试不成功和（或）出现合同设备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损坏，买方应自行承担责任。如在买方或买方安排的第三方按照卖方现场服务人员的指导进行安装、调试的情况下出现安装、调试不成功和（或）造成合同设备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损坏的情况，卖方应承担责任。</w:t>
      </w:r>
    </w:p>
    <w:p w14:paraId="79ECE0C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6.2.2除专用合同条款另有约定外，安装、调试中合同设备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运行需要的用水、用电、其他动力和原材料（如需要）等均由买方承担。</w:t>
      </w:r>
    </w:p>
    <w:p w14:paraId="2EEA36F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6.2.3双方应对合同设备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的安装、调试情况共同及时进行记录。</w:t>
      </w:r>
    </w:p>
    <w:p w14:paraId="1D4D6FB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6.3考核</w:t>
      </w:r>
    </w:p>
    <w:p w14:paraId="49FB740D">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6.3.1安装、调试完成后，双方应对合同设备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进行考核，以确定合同设备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是否达到合同约定的技术性能考核指标。除专用合同条款另有约定外，考核中合同设备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运行需要的用水、用电、其他动力和原材料（如需要）等均由买方承担。</w:t>
      </w:r>
    </w:p>
    <w:p w14:paraId="1A89701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6.3.2如由于卖方原因合同设备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在考核中未能达到合同约定的技术性能考核指标，则卖方应在双方同意的期限内采取措施消除合同设备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中存在的缺陷，并在缺陷消除以后，尽快进行再次考核。</w:t>
      </w:r>
    </w:p>
    <w:p w14:paraId="6114606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的最低技术性能考核指标，且合同设备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达到了最低技术性能考核指标的，视为合同设备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已达到技术性能考核指标，买方无权解除合同，且应接受合同设备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，但卖方应按专用合同条款的约定进行减价或向买方支付补偿金。</w:t>
      </w:r>
    </w:p>
    <w:p w14:paraId="502BFB0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6.3.4如由于买方原因合同设备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在考核中未能达到合同约定的技术性能考核指标，则卖方应协助买方安排再次考核。由于买方原因未能达到技术性能考核指标时，为买方进行考核的机会不超过三次。</w:t>
      </w:r>
    </w:p>
    <w:p w14:paraId="0B1DC11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6.3.5考核期间，双方应及时共同记录合同设备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的用水、用电、其他动力和原材料（如有）的使用及设备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考核情况。对于未达到技术性能考核指标的，应如实记录设备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表现、可能原因及处理情况等。</w:t>
      </w:r>
    </w:p>
    <w:p w14:paraId="174C97F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6.4验收</w:t>
      </w:r>
    </w:p>
    <w:p w14:paraId="4234730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6.4.1如合同设备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在考核中达到或视为达到技术性能考核指标，则买卖双方应在考核完成后7日内或专用合同条款另行约定的时间内签署合同设备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验收证书一式二份，双方各持一份。验收日期应为合同设备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达到或视为达到技术性能考核指标的日期。</w:t>
      </w:r>
    </w:p>
    <w:p w14:paraId="7FD0989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6.4.2如由于买方原因合同设备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达到技术性能考核指标。买方应承担卖方因此产生的全部费用。在上述12个月的期限内，如合同设备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经过考核达到或视为达到技术性能考核指标，则买卖双方应按照第6.4.1项的约定签署合同设备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验收证书。</w:t>
      </w:r>
    </w:p>
    <w:p w14:paraId="2A16083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6.4.3除专用合同条款另有约定外，如由于买方原因在最后一批合同设备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达到技术性能考核指标，且买方无需因此向卖方支付费用。在上述6个月的期限内，如合同设备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经过考核达到或视为达到技术性能考核指标，则买卖双方应按照第6.4.1项的约定签署合同设备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验收证书。</w:t>
      </w:r>
    </w:p>
    <w:p w14:paraId="23CDA76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6.4.4在第6.4.2项和第6.4.3项情形下，卖方也可单方签署验收款支付函提交买方，如果买方在收到卖方签署的验收款支付函后14日内未向卖方提出书面异议，则验收款支付函自签署之日起生效。</w:t>
      </w:r>
    </w:p>
    <w:p w14:paraId="30DB210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6.4.5合同设备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验收证书的签署不能免除卖方在质量保证期内对合同设备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应承担的保证责任。</w:t>
      </w:r>
    </w:p>
    <w:p w14:paraId="06DDFE41">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7.技术服务</w:t>
      </w:r>
    </w:p>
    <w:p w14:paraId="6A77C37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7.1卖方应派遣技术熟练、称职的技术人员到施工场地为买方提供技术服务。卖方的技术服务应符合合同的约定。</w:t>
      </w:r>
    </w:p>
    <w:p w14:paraId="4564EDB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7.2买方应免费为卖方技术人员提供工作条件及便利，包括但不限于必要的办公场所、技术资料及出入许可等。除专用合同条款另有约定外，卖方技术人员的交通、食宿费用由卖方承担。</w:t>
      </w:r>
    </w:p>
    <w:p w14:paraId="3BF455B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7.3卖方技术人员应遵守买方施工现场的各项规章制度和安全操作规程，并服从买方的现场管理。</w:t>
      </w:r>
    </w:p>
    <w:p w14:paraId="205E78E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7.4如果任何技术人员不合格，买方有权要求卖方撤换，因撤换而产生的费用应由卖方承担。在不影响技术服务并且征得买方同意的条件下，卖方也可自负费用更换其技术人员。</w:t>
      </w:r>
    </w:p>
    <w:p w14:paraId="32CA62F8">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8.质量保证期</w:t>
      </w:r>
    </w:p>
    <w:p w14:paraId="2A5DA27D">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8.1除专用合同条款和（或）供货要求等合同文件另有约定外，合同设备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整体质量保证期为验收之日起12个月。如对合同设备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中关键部件的质量保证期有特殊要求的，买卖双方可在专用合同条款中约定。在合同第6.4.2项情形下，无论合同设备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何时验收，其质量保证期最长为签署验收款支付函后12个月。在合同第6.4.3项情形下，无论合同设备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何时验收，其质量保证期最长为签署验收款支付函后6个月。</w:t>
      </w:r>
    </w:p>
    <w:p w14:paraId="3301C26C">
      <w:pPr>
        <w:kinsoku/>
        <w:topLinePunct/>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8.2在质量保证期内如果合同设备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出现故障，卖方应自负费用提供质保期服务，对相关合同设备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进行修理或更换以消除故障。更换的合同设备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和（或）关键部件的质量保证期应重新计算。但如果合同设备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的故障是由于买方原因造成的，则对合同设备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进行修理和更换的费用应由买方承担。</w:t>
      </w:r>
    </w:p>
    <w:p w14:paraId="0B455C6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8.3质量保证期届满后，买方应在7日内或专用合同条款另行约定的时间内向卖方出具合同设备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的质量保证期届满证书。</w:t>
      </w:r>
    </w:p>
    <w:p w14:paraId="7B00F67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8.4在合同第6.4.2项情形下，如在验收款支付函签署后12个月内由于买方原因合同设备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仍未能达到技术性能考核指标，则买卖双方应在该12个月届满后7日内或专用合同条款另行约定的时间内签署结清款支付函。</w:t>
      </w:r>
    </w:p>
    <w:p w14:paraId="6CCF6EE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8.5在合同第6.4.3项情形下，如在验收款支付函签署后6个月内由于买方原因合同设备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仍未进行考核或仍未达到技术性能考核指标，则买卖双方应在该6个月届满后7日内或专用合同条款另行约定的时间内签署结清款支付函。</w:t>
      </w:r>
    </w:p>
    <w:p w14:paraId="4CEFCDC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8.6在第8.4款和第8.5款情形下，卖方也可单方签署结清款支付函提交买方，如果买方在收到卖方签署的结清款支付函后14日内未向卖方提出书面异议，则结清款支付函自签署之日起生效。</w:t>
      </w:r>
    </w:p>
    <w:p w14:paraId="14410C13">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9.质保期服务</w:t>
      </w:r>
    </w:p>
    <w:p w14:paraId="5AA2B24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9.1卖方应为质保期服务配备充足的技术人员、工具和备件并保证提供的联系方式畅通。除专用合同条款和（或）供货要求等合同文件另有约定外，卖方应在收到买方通知后24小时内做出响应，如需卖方到合同设备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现场，卖方应在收到买方通知后48小时内到达，并在到达后7日内解决合同设备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的故障（重大故障除外）。如果卖方未在上述时间内作出响应，则买方有权自行或委托他人解决相关问题或查找和解决合同设备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的故障，卖方应承担由此发生的全部费用。</w:t>
      </w:r>
    </w:p>
    <w:p w14:paraId="3BF547B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9.2如卖方技术人员需到合同设备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1F48413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9.3如果任何技术人员不合格，买方有权要求卖方撤换，因撤换而产生的费用应由卖方承担。在不影响质保期服务并且征得买方同意的条件下，卖方也可自负费用更换其技术人员。</w:t>
      </w:r>
    </w:p>
    <w:p w14:paraId="7A0F736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9.4除专用合同条款另有约定外，卖方应就在施工现场进行质保期服务的情况进行记录，记载合同设备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故障发生的时间、原因及解决情况等，由买方签字确认，并在质量保证期结束后提交给买方。</w:t>
      </w:r>
    </w:p>
    <w:p w14:paraId="0073368B">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10.履约保证金</w:t>
      </w:r>
    </w:p>
    <w:p w14:paraId="7E73DAA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除专用合同条款另有约定外，履约保证金自合同生效之日起生效，在合同设备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验收证书或验收款支付函签署之日起28日后失效。如果卖方不履行合同约定的义务或其履行不符合合同的约定，买方有权扣划相应金额的履约保证金。</w:t>
      </w:r>
    </w:p>
    <w:p w14:paraId="2ECE41CE">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11.保证</w:t>
      </w:r>
    </w:p>
    <w:p w14:paraId="32031A3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11.1卖方保证其具有完全的能力履行本合同项下的全部义务。</w:t>
      </w:r>
    </w:p>
    <w:p w14:paraId="733AE0F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11.2卖方保证其所提供的合同设备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及对合同的履行符合所有应适用的法律、行政法规、地方性法规、自治条例和单行条例、规章及其他规范性文件的强制性规定。</w:t>
      </w:r>
    </w:p>
    <w:p w14:paraId="5FBF8C9D">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11.3卖方保证其对合同设备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的销售不损害任何第三方的合法权益和社会公众利益。任何第三方不会因卖方原因而基于所有权、抵押权、留置权或其他任何权利或事由对合同设备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主张权利。</w:t>
      </w:r>
    </w:p>
    <w:p w14:paraId="6A0E488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11.4卖方保证合同设备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符合合同约定的规格、标准、技术性能考核指标等，能够安全和稳定地运行，且合同设备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（包括全部部件）全新、完整、未使用过，除非专用合同条款和（或）供货要求等合同文件另有约定。</w:t>
      </w:r>
    </w:p>
    <w:p w14:paraId="7162149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11.5卖方保证，卖方所提供的技术资料完整、清晰、准确，符合合同约定并且能够满足合同设备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的安装、调试、考核、操作以及维修和保养的需要。</w:t>
      </w:r>
    </w:p>
    <w:p w14:paraId="146FF88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11.6卖方保证合同范围内提供的备品备件能够满足合同设备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在质量保证期结束前正常运行及维修的需要，如在质量保证期结束前因卖方原因出现备品备件短缺影响合同设备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正常运行的，卖方应免费提供。</w:t>
      </w:r>
    </w:p>
    <w:p w14:paraId="4B41748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11.7除专用合同条款和（或）供货要求等合同文件另有约定外，如果在合同设备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设计使用寿命期内发生合同项下备品备件停止生产的情况，卖方应事先将拟停止生产的计划通知买方，使买方有足够的时间考虑备品备件的需求量。根据买方要求，卖方应：</w:t>
      </w:r>
    </w:p>
    <w:p w14:paraId="3691B648">
      <w:pPr>
        <w:numPr>
          <w:ilvl w:val="0"/>
          <w:numId w:val="2"/>
        </w:numPr>
        <w:kinsoku/>
        <w:topLinePunct/>
        <w:spacing w:line="360" w:lineRule="auto"/>
        <w:ind w:firstLine="480" w:firstLineChars="200"/>
        <w:jc w:val="both"/>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以不高于同期市场价格或其向任何第三方销售同类产品的价格提供合同设备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正常运行所需的全部备品备件。</w:t>
      </w:r>
    </w:p>
    <w:p w14:paraId="0590E948">
      <w:pPr>
        <w:numPr>
          <w:ilvl w:val="0"/>
          <w:numId w:val="0"/>
        </w:num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（2）免费提供可供买方或第三方制造停产备品备件所需的全部技术资料，以便买方持续获得上述备品备件以满足合同设备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在寿命期内正常运行的需要。卖方保证买方或买方委托的第三方制造及买方使用这些备品备件不侵犯任何人的知识产权。</w:t>
      </w:r>
    </w:p>
    <w:p w14:paraId="423820E1">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11.8卖方保证，在合同设备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设计使用寿命期内，如果卖方发现合同设备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由于设计、制造、标识等原因存在足以危及人身、财产安全的缺陷，卖方将及时通知买方并及时采取修正或者补充标识、修理、更换等措施消除缺陷。</w:t>
      </w:r>
    </w:p>
    <w:p w14:paraId="18178C90">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12.知识产权</w:t>
      </w:r>
    </w:p>
    <w:p w14:paraId="1F69D25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12.1买方在履行合同过程中提供给卖方的全部图纸、文件和其他含有数据和信息的资料，其知识产权属于买方。</w:t>
      </w:r>
    </w:p>
    <w:p w14:paraId="1DBB06B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12.2除专用合同条款另有约定外，买方不因签署和履行合同而享有卖方在履行合同过程中提供给买方的图纸、文件、配套软件、电子辅助程序和其他含有数据和信息的资料的知识产权。</w:t>
      </w:r>
    </w:p>
    <w:p w14:paraId="2D0AB8A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12.3如合同设备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涉及知识产权，则卖方保证买方在使用合同设备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过程中免于受到第三方提出的有关知识产权侵权的主张、索赔或诉讼的伤害。</w:t>
      </w:r>
    </w:p>
    <w:p w14:paraId="0C41A73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4825927A">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13.保密</w:t>
      </w:r>
    </w:p>
    <w:p w14:paraId="001B473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合同双方应对因履行合同而取得的另一方当事人的信息、资料等予以保密。未经另一方当事人书面同意，任何一方均不得为与履行合同无关的目的使用或向第三方披露另一方当事人提供的信息、资料。</w:t>
      </w:r>
    </w:p>
    <w:p w14:paraId="2C12C14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合同当事人的保密义务不适用于下列信息：</w:t>
      </w:r>
    </w:p>
    <w:p w14:paraId="582772E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（1）非因接受信息一方的过失现在或以后进入公共领域的信息；</w:t>
      </w:r>
    </w:p>
    <w:p w14:paraId="488D84B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（2）接受信息一方当事人合法地从第三方获得并且据其善意了解第三方也不对此承担保密义务的信息；</w:t>
      </w:r>
    </w:p>
    <w:p w14:paraId="09CB51AF">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（3）法律或法律的执行要求披露的信息。</w:t>
      </w:r>
    </w:p>
    <w:p w14:paraId="5BE864F4">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14.违约责任</w:t>
      </w:r>
    </w:p>
    <w:p w14:paraId="10F4E5D0">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14.1合同一方不履行合同义务、履行合同义务不符合约定或者违反合同项下所作保证的，应向对方承担继续履行、采取修理、更换、退货等补救措施或者赔偿损失等违约责任。</w:t>
      </w:r>
    </w:p>
    <w:p w14:paraId="72A4A7F4">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14.2卖方未能按时交付合同设备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包括仅迟延交付技术资料但足以导致合同设备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安装、调试、考核、验收工作推迟的的，应向买方支付迟延交付违约金。除专用合同条款另有约定外，迟延交付违约金的计算方法如下：</w:t>
      </w:r>
    </w:p>
    <w:p w14:paraId="0D692D9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（1）从迟交的第一周到第四周，每周迟延交付违约金为迟交合同设备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价格的0.5%；</w:t>
      </w:r>
    </w:p>
    <w:p w14:paraId="60BBD20B">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（2）从迟交的第五周到第八周，每周迟延交付违约金为迟交合同设备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价格的1%；</w:t>
      </w:r>
    </w:p>
    <w:p w14:paraId="50D1AFE2">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（3）从迟交第九周起，每周迟延交付违约金为迟交合同设备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价格的1.5%。在计算迟延交付违约金时，迟交不足一周的按一周计算。迟延交付违约金的总额不得超过合同价格的10%。迟延交付违约金的支付不能免除卖方继续交付相关合同设备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的义务，但如迟延交付必然导致合同设备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安装、调试、考核、验收工作推迟的，相关工作应相应顺延。</w:t>
      </w:r>
    </w:p>
    <w:p w14:paraId="3791E16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14.3买方未能按合同约定支付合同价款的，应向卖方支付延迟付款违约金。除专用合同条款另有约定外，迟延付款违约金的计算方法如下：</w:t>
      </w:r>
    </w:p>
    <w:p w14:paraId="62B7F7E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（1）从迟付的第一周到第四周，每周迟延付款违约金为迟延付款金额的0.5%；</w:t>
      </w:r>
    </w:p>
    <w:p w14:paraId="7BB25CC6">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（2）从迟付的第五周到第八周，每周迟延付款违约金为迟延付款金额的1%；</w:t>
      </w:r>
    </w:p>
    <w:p w14:paraId="122462F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（3）从迟付第九周起，每周迟延付款违约金为迟延付款金额的1.5%。在计算迟延付款违约金时，迟付不足一周的按一周计算。迟延付款违约金的总额不得超过合同价格的10%。</w:t>
      </w:r>
    </w:p>
    <w:p w14:paraId="70F39D91">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15.合同的解除</w:t>
      </w:r>
    </w:p>
    <w:p w14:paraId="5751393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除专用合同条款另有约定外，有下述情形之一，当事人可发出书面通知全部或部分地解除合同，合同自通知到达对方时全部或部分地解除：</w:t>
      </w:r>
    </w:p>
    <w:p w14:paraId="77628685">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（1）卖方迟延交付合同设备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超过3个月；</w:t>
      </w:r>
    </w:p>
    <w:p w14:paraId="4B779B6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4CCCFC3E">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（3）买方迟延付款超过3个月；</w:t>
      </w:r>
    </w:p>
    <w:p w14:paraId="5B2F806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6411497C">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（5）合同一方当事人出现破产、清算、资不抵债、成为失信被执行人等可能丧失履约能力的情形，且未能提供令对方满意的履约保证金。</w:t>
      </w:r>
    </w:p>
    <w:p w14:paraId="400BC8BD">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16.不可抗力</w:t>
      </w:r>
    </w:p>
    <w:p w14:paraId="0D5BE75A">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57660819">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16.2受不可抗力事件影响的一方当事人对于不可抗力事件导致的任何合同义务的迟延履行或不能履行不承担违约责任。但该方当事人应尽快将不可抗力事件结束或消除的情况通知另一方当事人。</w:t>
      </w:r>
    </w:p>
    <w:p w14:paraId="4F910828">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089E8792">
      <w:pPr>
        <w:kinsoku/>
        <w:topLinePunct/>
        <w:spacing w:line="360" w:lineRule="auto"/>
        <w:ind w:firstLine="482" w:firstLineChars="200"/>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17.争议的解决</w:t>
      </w:r>
    </w:p>
    <w:p w14:paraId="351E438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因本合同引起的或与本合同有关的任何争议</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双方可通过友好协商解决。友好协商解决不成的，可在专用合同条款中约定下列一种方式解决：</w:t>
      </w:r>
    </w:p>
    <w:p w14:paraId="0019F053">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（1）向约定的仲裁委员会申请仲裁；</w:t>
      </w:r>
    </w:p>
    <w:p w14:paraId="163975D7">
      <w:pPr>
        <w:kinsoku/>
        <w:topLinePunct/>
        <w:spacing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（2）向有管辖权的人民法院提起诉讼。</w:t>
      </w:r>
    </w:p>
    <w:p w14:paraId="15085A73">
      <w:pPr>
        <w:kinsoku/>
        <w:topLinePunct/>
        <w:spacing w:line="360" w:lineRule="auto"/>
        <w:ind w:firstLine="482" w:firstLineChars="200"/>
        <w:jc w:val="center"/>
        <w:outlineLvl w:val="9"/>
        <w:rPr>
          <w:rFonts w:hint="eastAsia" w:ascii="宋体" w:hAnsi="宋体" w:eastAsia="宋体" w:cs="宋体"/>
          <w:b/>
          <w:bCs/>
          <w:color w:val="auto"/>
          <w:sz w:val="24"/>
          <w:szCs w:val="24"/>
          <w:highlight w:val="none"/>
          <w:lang w:bidi="ar"/>
        </w:rPr>
      </w:pPr>
      <w:bookmarkStart w:id="593" w:name="_Toc21366"/>
      <w:bookmarkStart w:id="594" w:name="_Toc17200"/>
    </w:p>
    <w:p w14:paraId="66D16615">
      <w:pPr>
        <w:kinsoku/>
        <w:topLinePunct/>
        <w:spacing w:line="360" w:lineRule="auto"/>
        <w:ind w:firstLine="482" w:firstLineChars="200"/>
        <w:jc w:val="center"/>
        <w:outlineLvl w:val="9"/>
        <w:rPr>
          <w:rFonts w:hint="eastAsia" w:ascii="宋体" w:hAnsi="宋体" w:eastAsia="宋体" w:cs="宋体"/>
          <w:b/>
          <w:bCs/>
          <w:color w:val="auto"/>
          <w:sz w:val="24"/>
          <w:szCs w:val="24"/>
          <w:highlight w:val="none"/>
          <w:lang w:bidi="ar"/>
        </w:rPr>
      </w:pPr>
    </w:p>
    <w:p w14:paraId="0389EAD4">
      <w:pPr>
        <w:kinsoku/>
        <w:topLinePunct/>
        <w:spacing w:line="360" w:lineRule="auto"/>
        <w:ind w:firstLine="482" w:firstLineChars="200"/>
        <w:jc w:val="center"/>
        <w:outlineLvl w:val="9"/>
        <w:rPr>
          <w:rFonts w:hint="eastAsia" w:ascii="宋体" w:hAnsi="宋体" w:eastAsia="宋体" w:cs="宋体"/>
          <w:b/>
          <w:bCs/>
          <w:color w:val="auto"/>
          <w:sz w:val="24"/>
          <w:szCs w:val="24"/>
          <w:highlight w:val="none"/>
          <w:lang w:bidi="ar"/>
        </w:rPr>
      </w:pPr>
    </w:p>
    <w:p w14:paraId="4CF1214A">
      <w:pPr>
        <w:kinsoku/>
        <w:topLinePunct/>
        <w:spacing w:line="360" w:lineRule="auto"/>
        <w:ind w:firstLine="482" w:firstLineChars="200"/>
        <w:jc w:val="center"/>
        <w:outlineLvl w:val="1"/>
        <w:rPr>
          <w:rFonts w:hint="eastAsia" w:ascii="宋体" w:hAnsi="宋体" w:eastAsia="宋体" w:cs="宋体"/>
          <w:b/>
          <w:bCs/>
          <w:color w:val="auto"/>
          <w:sz w:val="24"/>
          <w:szCs w:val="24"/>
          <w:highlight w:val="none"/>
          <w:lang w:bidi="ar"/>
        </w:rPr>
      </w:pPr>
      <w:bookmarkStart w:id="595" w:name="_Toc18549"/>
      <w:bookmarkStart w:id="596" w:name="_Toc21127"/>
      <w:bookmarkStart w:id="597" w:name="_Toc31131"/>
      <w:bookmarkStart w:id="598" w:name="_Toc7273"/>
      <w:bookmarkStart w:id="599" w:name="_Toc22292"/>
      <w:bookmarkStart w:id="600" w:name="_Toc3860"/>
      <w:bookmarkStart w:id="601" w:name="_Toc9202"/>
      <w:bookmarkStart w:id="602" w:name="_Toc23399"/>
      <w:bookmarkStart w:id="603" w:name="_Toc29378"/>
      <w:bookmarkStart w:id="604" w:name="_Toc24223"/>
      <w:bookmarkStart w:id="605" w:name="_Toc5183"/>
      <w:bookmarkStart w:id="606" w:name="_Toc9935"/>
      <w:bookmarkStart w:id="607" w:name="_Toc11954"/>
      <w:bookmarkStart w:id="608" w:name="_Toc18884"/>
      <w:bookmarkStart w:id="609" w:name="_Toc21680"/>
      <w:bookmarkStart w:id="610" w:name="_Toc23411"/>
      <w:bookmarkStart w:id="611" w:name="_Toc32737"/>
      <w:bookmarkStart w:id="612" w:name="_Toc5114"/>
      <w:bookmarkStart w:id="613" w:name="_Toc5817"/>
      <w:bookmarkStart w:id="614" w:name="_Toc6642"/>
      <w:bookmarkStart w:id="615" w:name="_Toc24882"/>
      <w:r>
        <w:rPr>
          <w:rFonts w:hint="eastAsia" w:ascii="宋体" w:hAnsi="宋体" w:eastAsia="宋体" w:cs="宋体"/>
          <w:b/>
          <w:bCs/>
          <w:color w:val="auto"/>
          <w:sz w:val="24"/>
          <w:szCs w:val="24"/>
          <w:highlight w:val="none"/>
          <w:lang w:bidi="ar"/>
        </w:rPr>
        <w:t>第</w:t>
      </w:r>
      <w:r>
        <w:rPr>
          <w:rFonts w:hint="eastAsia" w:ascii="宋体" w:hAnsi="宋体" w:eastAsia="宋体" w:cs="宋体"/>
          <w:b/>
          <w:bCs/>
          <w:color w:val="auto"/>
          <w:sz w:val="24"/>
          <w:szCs w:val="24"/>
          <w:highlight w:val="none"/>
          <w:lang w:val="en-US" w:eastAsia="zh-CN" w:bidi="ar"/>
        </w:rPr>
        <w:t xml:space="preserve">三部分  </w:t>
      </w:r>
      <w:r>
        <w:rPr>
          <w:rFonts w:hint="eastAsia" w:ascii="宋体" w:hAnsi="宋体" w:eastAsia="宋体" w:cs="宋体"/>
          <w:b/>
          <w:bCs/>
          <w:color w:val="auto"/>
          <w:sz w:val="24"/>
          <w:szCs w:val="24"/>
          <w:highlight w:val="none"/>
          <w:lang w:bidi="ar"/>
        </w:rPr>
        <w:t>专用合同条款</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7D0ACEA4">
      <w:pPr>
        <w:kinsoku/>
        <w:topLinePunct/>
        <w:spacing w:beforeLines="0" w:afterLines="0" w:line="360" w:lineRule="auto"/>
        <w:ind w:firstLine="482" w:firstLineChars="200"/>
        <w:jc w:val="both"/>
        <w:outlineLvl w:val="2"/>
        <w:rPr>
          <w:rFonts w:hint="eastAsia" w:ascii="宋体" w:hAnsi="宋体" w:eastAsia="宋体" w:cs="宋体"/>
          <w:b/>
          <w:bCs/>
          <w:color w:val="auto"/>
          <w:kern w:val="0"/>
          <w:sz w:val="24"/>
          <w:szCs w:val="24"/>
          <w:highlight w:val="none"/>
          <w:lang w:bidi="ar"/>
        </w:rPr>
      </w:pPr>
      <w:bookmarkStart w:id="616" w:name="_Toc28550479"/>
      <w:bookmarkStart w:id="617" w:name="_Toc530566087"/>
      <w:bookmarkStart w:id="618" w:name="_Toc28550481"/>
      <w:bookmarkStart w:id="619" w:name="_Toc530566089"/>
      <w:r>
        <w:rPr>
          <w:rFonts w:hint="eastAsia" w:ascii="宋体" w:hAnsi="宋体" w:eastAsia="宋体" w:cs="宋体"/>
          <w:b/>
          <w:bCs/>
          <w:color w:val="auto"/>
          <w:kern w:val="0"/>
          <w:sz w:val="24"/>
          <w:szCs w:val="24"/>
          <w:highlight w:val="none"/>
          <w:lang w:bidi="ar"/>
        </w:rPr>
        <w:t>1  一般约定</w:t>
      </w:r>
      <w:bookmarkEnd w:id="616"/>
      <w:bookmarkEnd w:id="617"/>
    </w:p>
    <w:p w14:paraId="0DFB3D1E">
      <w:pPr>
        <w:kinsoku/>
        <w:topLinePunct/>
        <w:spacing w:beforeLines="0" w:afterLines="0" w:line="360" w:lineRule="auto"/>
        <w:ind w:firstLine="480" w:firstLineChars="200"/>
        <w:rPr>
          <w:rFonts w:hint="eastAsia" w:ascii="宋体" w:hAnsi="宋体" w:eastAsia="宋体" w:cs="宋体"/>
          <w:color w:val="auto"/>
          <w:kern w:val="2"/>
          <w:sz w:val="24"/>
          <w:szCs w:val="24"/>
          <w:highlight w:val="none"/>
        </w:rPr>
      </w:pPr>
      <w:bookmarkStart w:id="620" w:name="_Toc530566088"/>
      <w:bookmarkStart w:id="621" w:name="_Toc28550480"/>
      <w:r>
        <w:rPr>
          <w:rFonts w:hint="eastAsia" w:ascii="宋体" w:hAnsi="宋体" w:eastAsia="宋体" w:cs="宋体"/>
          <w:color w:val="auto"/>
          <w:kern w:val="2"/>
          <w:sz w:val="24"/>
          <w:szCs w:val="24"/>
          <w:highlight w:val="none"/>
        </w:rPr>
        <w:t>1.1 词语定义</w:t>
      </w:r>
      <w:bookmarkEnd w:id="620"/>
      <w:bookmarkEnd w:id="621"/>
    </w:p>
    <w:p w14:paraId="7ED9EEF6">
      <w:pPr>
        <w:kinsoku/>
        <w:topLinePunct/>
        <w:spacing w:beforeLines="0" w:afterLines="0" w:line="360" w:lineRule="auto"/>
        <w:ind w:firstLine="480" w:firstLineChars="200"/>
        <w:rPr>
          <w:rFonts w:hint="eastAsia" w:ascii="宋体" w:hAnsi="宋体" w:eastAsia="宋体" w:cs="宋体"/>
          <w:strike/>
          <w:color w:val="auto"/>
          <w:kern w:val="2"/>
          <w:sz w:val="24"/>
          <w:szCs w:val="24"/>
          <w:highlight w:val="none"/>
        </w:rPr>
      </w:pPr>
      <w:r>
        <w:rPr>
          <w:rFonts w:hint="eastAsia" w:ascii="宋体" w:hAnsi="宋体" w:eastAsia="宋体" w:cs="宋体"/>
          <w:color w:val="auto"/>
          <w:kern w:val="2"/>
          <w:sz w:val="24"/>
          <w:szCs w:val="24"/>
          <w:highlight w:val="none"/>
        </w:rPr>
        <w:t>1.1.2.（修改）本款修改为：</w:t>
      </w:r>
    </w:p>
    <w:p w14:paraId="1172B0DD">
      <w:pPr>
        <w:pageBreakBefore w:val="0"/>
        <w:kinsoku/>
        <w:topLinePunct/>
        <w:bidi w:val="0"/>
        <w:snapToGrid w:val="0"/>
        <w:spacing w:beforeLines="0" w:afterLines="0" w:line="360" w:lineRule="auto"/>
        <w:ind w:firstLine="480" w:firstLineChars="200"/>
        <w:jc w:val="left"/>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spacing w:val="0"/>
          <w:kern w:val="2"/>
          <w:sz w:val="24"/>
          <w:szCs w:val="24"/>
          <w:highlight w:val="none"/>
        </w:rPr>
        <w:t>1.1.2.2</w:t>
      </w:r>
      <w:r>
        <w:rPr>
          <w:rFonts w:hint="eastAsia" w:ascii="宋体" w:hAnsi="宋体" w:eastAsia="宋体" w:cs="宋体"/>
          <w:snapToGrid w:val="0"/>
          <w:color w:val="auto"/>
          <w:spacing w:val="0"/>
          <w:kern w:val="2"/>
          <w:sz w:val="24"/>
          <w:szCs w:val="24"/>
          <w:highlight w:val="none"/>
          <w:lang w:val="en-US" w:eastAsia="zh-CN"/>
        </w:rPr>
        <w:t xml:space="preserve"> 买方</w:t>
      </w:r>
      <w:r>
        <w:rPr>
          <w:rFonts w:hint="eastAsia" w:ascii="宋体" w:hAnsi="宋体" w:eastAsia="宋体" w:cs="宋体"/>
          <w:snapToGrid w:val="0"/>
          <w:color w:val="auto"/>
          <w:spacing w:val="0"/>
          <w:kern w:val="2"/>
          <w:sz w:val="24"/>
          <w:szCs w:val="24"/>
          <w:highlight w:val="none"/>
        </w:rPr>
        <w:t>：</w:t>
      </w:r>
      <w:r>
        <w:rPr>
          <w:rFonts w:hint="eastAsia" w:ascii="宋体" w:hAnsi="宋体" w:eastAsia="宋体" w:cs="宋体"/>
          <w:snapToGrid w:val="0"/>
          <w:color w:val="auto"/>
          <w:spacing w:val="0"/>
          <w:kern w:val="2"/>
          <w:sz w:val="24"/>
          <w:szCs w:val="24"/>
          <w:highlight w:val="none"/>
          <w:u w:val="none"/>
        </w:rPr>
        <w:t>浙江镜岭水库有限公司</w:t>
      </w:r>
      <w:r>
        <w:rPr>
          <w:rFonts w:hint="eastAsia" w:ascii="宋体" w:hAnsi="宋体" w:eastAsia="宋体" w:cs="宋体"/>
          <w:snapToGrid w:val="0"/>
          <w:color w:val="auto"/>
          <w:spacing w:val="0"/>
          <w:kern w:val="2"/>
          <w:sz w:val="24"/>
          <w:szCs w:val="24"/>
          <w:highlight w:val="none"/>
        </w:rPr>
        <w:t>。</w:t>
      </w:r>
    </w:p>
    <w:p w14:paraId="4360D580">
      <w:pPr>
        <w:pageBreakBefore w:val="0"/>
        <w:kinsoku/>
        <w:topLinePunct/>
        <w:bidi w:val="0"/>
        <w:snapToGrid w:val="0"/>
        <w:spacing w:beforeLines="0" w:afterLines="0" w:line="360" w:lineRule="auto"/>
        <w:ind w:firstLine="480" w:firstLineChars="200"/>
        <w:jc w:val="left"/>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1.1.2.3</w:t>
      </w:r>
      <w:r>
        <w:rPr>
          <w:rFonts w:hint="eastAsia" w:ascii="宋体" w:hAnsi="宋体" w:eastAsia="宋体" w:cs="宋体"/>
          <w:snapToGrid w:val="0"/>
          <w:color w:val="auto"/>
          <w:spacing w:val="0"/>
          <w:kern w:val="2"/>
          <w:sz w:val="24"/>
          <w:szCs w:val="24"/>
          <w:highlight w:val="none"/>
          <w:lang w:val="en-US" w:eastAsia="zh-CN"/>
        </w:rPr>
        <w:t xml:space="preserve"> 卖方</w:t>
      </w:r>
      <w:r>
        <w:rPr>
          <w:rFonts w:hint="eastAsia" w:ascii="宋体" w:hAnsi="宋体" w:eastAsia="宋体" w:cs="宋体"/>
          <w:snapToGrid w:val="0"/>
          <w:color w:val="auto"/>
          <w:spacing w:val="0"/>
          <w:kern w:val="2"/>
          <w:sz w:val="24"/>
          <w:szCs w:val="24"/>
          <w:highlight w:val="none"/>
        </w:rPr>
        <w:t>：</w:t>
      </w:r>
      <w:r>
        <w:rPr>
          <w:rFonts w:hint="eastAsia" w:ascii="宋体" w:hAnsi="宋体" w:eastAsia="宋体" w:cs="宋体"/>
          <w:snapToGrid w:val="0"/>
          <w:color w:val="auto"/>
          <w:spacing w:val="0"/>
          <w:kern w:val="2"/>
          <w:sz w:val="24"/>
          <w:szCs w:val="24"/>
          <w:highlight w:val="none"/>
          <w:u w:val="none"/>
        </w:rPr>
        <w:t>（签约后填入）</w:t>
      </w:r>
      <w:r>
        <w:rPr>
          <w:rFonts w:hint="eastAsia" w:ascii="宋体" w:hAnsi="宋体" w:eastAsia="宋体" w:cs="宋体"/>
          <w:snapToGrid w:val="0"/>
          <w:color w:val="auto"/>
          <w:spacing w:val="0"/>
          <w:kern w:val="2"/>
          <w:sz w:val="24"/>
          <w:szCs w:val="24"/>
          <w:highlight w:val="none"/>
        </w:rPr>
        <w:t>。</w:t>
      </w:r>
    </w:p>
    <w:p w14:paraId="7D01DB89">
      <w:pPr>
        <w:pStyle w:val="21"/>
        <w:kinsoku/>
        <w:topLinePunct/>
        <w:spacing w:line="360" w:lineRule="auto"/>
        <w:ind w:firstLine="480" w:firstLineChars="200"/>
        <w:rPr>
          <w:rFonts w:hint="eastAsia" w:ascii="宋体" w:hAnsi="宋体" w:eastAsia="宋体" w:cs="宋体"/>
          <w:color w:val="auto"/>
          <w:spacing w:val="0"/>
          <w:kern w:val="2"/>
          <w:sz w:val="24"/>
          <w:szCs w:val="24"/>
          <w:highlight w:val="none"/>
          <w:lang w:val="en-US" w:eastAsia="zh-CN"/>
        </w:rPr>
      </w:pPr>
      <w:r>
        <w:rPr>
          <w:rFonts w:hint="eastAsia" w:ascii="宋体" w:hAnsi="宋体" w:eastAsia="宋体" w:cs="宋体"/>
          <w:snapToGrid w:val="0"/>
          <w:color w:val="auto"/>
          <w:spacing w:val="0"/>
          <w:kern w:val="2"/>
          <w:sz w:val="24"/>
          <w:szCs w:val="24"/>
          <w:highlight w:val="none"/>
          <w:lang w:val="en-US" w:eastAsia="zh-CN"/>
        </w:rPr>
        <w:t xml:space="preserve">1.1.2.4 </w:t>
      </w:r>
      <w:r>
        <w:rPr>
          <w:rFonts w:hint="eastAsia" w:ascii="宋体" w:hAnsi="宋体" w:eastAsia="宋体" w:cs="宋体"/>
          <w:color w:val="auto"/>
          <w:spacing w:val="0"/>
          <w:kern w:val="2"/>
          <w:sz w:val="24"/>
          <w:szCs w:val="24"/>
          <w:highlight w:val="none"/>
        </w:rPr>
        <w:t>（补充）交货地点：绍兴地区，具体地点由买方指定</w:t>
      </w:r>
      <w:r>
        <w:rPr>
          <w:rFonts w:hint="eastAsia" w:ascii="宋体" w:hAnsi="宋体" w:eastAsia="宋体" w:cs="宋体"/>
          <w:color w:val="auto"/>
          <w:spacing w:val="0"/>
          <w:kern w:val="2"/>
          <w:sz w:val="24"/>
          <w:szCs w:val="24"/>
          <w:highlight w:val="none"/>
          <w:lang w:eastAsia="zh-CN"/>
        </w:rPr>
        <w:t>。</w:t>
      </w:r>
    </w:p>
    <w:p w14:paraId="5997808A">
      <w:pPr>
        <w:pStyle w:val="21"/>
        <w:kinsoku/>
        <w:topLinePunct/>
        <w:spacing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lang w:val="en-US" w:eastAsia="zh-CN"/>
        </w:rPr>
        <w:t>1.1.2.5 （补充）</w:t>
      </w:r>
      <w:r>
        <w:rPr>
          <w:rFonts w:hint="eastAsia" w:ascii="宋体" w:hAnsi="宋体" w:eastAsia="宋体" w:cs="宋体"/>
          <w:snapToGrid w:val="0"/>
          <w:color w:val="auto"/>
          <w:spacing w:val="0"/>
          <w:kern w:val="2"/>
          <w:sz w:val="24"/>
          <w:szCs w:val="24"/>
          <w:highlight w:val="none"/>
        </w:rPr>
        <w:t>监</w:t>
      </w:r>
      <w:r>
        <w:rPr>
          <w:rFonts w:hint="eastAsia" w:ascii="宋体" w:hAnsi="宋体" w:eastAsia="宋体" w:cs="宋体"/>
          <w:snapToGrid w:val="0"/>
          <w:color w:val="auto"/>
          <w:spacing w:val="0"/>
          <w:kern w:val="2"/>
          <w:sz w:val="24"/>
          <w:szCs w:val="24"/>
          <w:highlight w:val="none"/>
          <w:lang w:val="en-US" w:eastAsia="zh-CN"/>
        </w:rPr>
        <w:t>造</w:t>
      </w:r>
      <w:r>
        <w:rPr>
          <w:rFonts w:hint="eastAsia" w:ascii="宋体" w:hAnsi="宋体" w:eastAsia="宋体" w:cs="宋体"/>
          <w:snapToGrid w:val="0"/>
          <w:color w:val="auto"/>
          <w:spacing w:val="0"/>
          <w:kern w:val="2"/>
          <w:sz w:val="24"/>
          <w:szCs w:val="24"/>
          <w:highlight w:val="none"/>
        </w:rPr>
        <w:t>：</w:t>
      </w:r>
      <w:r>
        <w:rPr>
          <w:rFonts w:hint="eastAsia" w:ascii="宋体" w:hAnsi="宋体" w:eastAsia="宋体" w:cs="宋体"/>
          <w:color w:val="auto"/>
          <w:spacing w:val="0"/>
          <w:kern w:val="2"/>
          <w:sz w:val="24"/>
          <w:szCs w:val="24"/>
          <w:highlight w:val="none"/>
        </w:rPr>
        <w:t>是指在合同设备设计与制造过程中买方派出人员到卖方制造厂或指定地点，或卖方派出人员到部件制造厂或分包厂或指定地点，对原材料、部件采购与检验、制造、产品质量、检测与检验、组装试验、包装和发运等过程按合同规定的条件实施监督或要求的过程或行为</w:t>
      </w:r>
      <w:r>
        <w:rPr>
          <w:rFonts w:hint="eastAsia" w:ascii="宋体" w:hAnsi="宋体" w:eastAsia="宋体" w:cs="宋体"/>
          <w:snapToGrid w:val="0"/>
          <w:color w:val="auto"/>
          <w:spacing w:val="0"/>
          <w:kern w:val="2"/>
          <w:sz w:val="24"/>
          <w:szCs w:val="24"/>
          <w:highlight w:val="none"/>
        </w:rPr>
        <w:t>。</w:t>
      </w:r>
    </w:p>
    <w:p w14:paraId="539A56D3">
      <w:pPr>
        <w:kinsoku/>
        <w:topLinePunct/>
        <w:spacing w:beforeLines="0" w:afterLines="0" w:line="360" w:lineRule="auto"/>
        <w:ind w:firstLine="480" w:firstLineChars="200"/>
        <w:rPr>
          <w:rFonts w:hint="eastAsia" w:ascii="宋体" w:hAnsi="宋体" w:eastAsia="宋体" w:cs="宋体"/>
          <w:snapToGrid w:val="0"/>
          <w:color w:val="auto"/>
          <w:spacing w:val="0"/>
          <w:kern w:val="2"/>
          <w:sz w:val="24"/>
          <w:szCs w:val="24"/>
          <w:highlight w:val="none"/>
        </w:rPr>
      </w:pPr>
      <w:r>
        <w:rPr>
          <w:rFonts w:hint="eastAsia" w:ascii="宋体" w:hAnsi="宋体" w:eastAsia="宋体" w:cs="宋体"/>
          <w:snapToGrid w:val="0"/>
          <w:color w:val="auto"/>
          <w:spacing w:val="0"/>
          <w:kern w:val="2"/>
          <w:sz w:val="24"/>
          <w:szCs w:val="24"/>
          <w:highlight w:val="none"/>
        </w:rPr>
        <w:t>1.1.2.</w:t>
      </w:r>
      <w:r>
        <w:rPr>
          <w:rFonts w:hint="eastAsia" w:ascii="宋体" w:hAnsi="宋体" w:eastAsia="宋体" w:cs="宋体"/>
          <w:snapToGrid w:val="0"/>
          <w:color w:val="auto"/>
          <w:spacing w:val="0"/>
          <w:kern w:val="2"/>
          <w:sz w:val="24"/>
          <w:szCs w:val="24"/>
          <w:highlight w:val="none"/>
          <w:lang w:val="en-US" w:eastAsia="zh-CN"/>
        </w:rPr>
        <w:t>6 （补充）</w:t>
      </w:r>
      <w:r>
        <w:rPr>
          <w:rFonts w:hint="eastAsia" w:ascii="宋体" w:hAnsi="宋体" w:eastAsia="宋体" w:cs="宋体"/>
          <w:snapToGrid w:val="0"/>
          <w:color w:val="auto"/>
          <w:spacing w:val="0"/>
          <w:kern w:val="2"/>
          <w:sz w:val="24"/>
          <w:szCs w:val="24"/>
          <w:highlight w:val="none"/>
        </w:rPr>
        <w:t>监</w:t>
      </w:r>
      <w:r>
        <w:rPr>
          <w:rFonts w:hint="eastAsia" w:ascii="宋体" w:hAnsi="宋体" w:eastAsia="宋体" w:cs="宋体"/>
          <w:snapToGrid w:val="0"/>
          <w:color w:val="auto"/>
          <w:spacing w:val="0"/>
          <w:kern w:val="2"/>
          <w:sz w:val="24"/>
          <w:szCs w:val="24"/>
          <w:highlight w:val="none"/>
          <w:lang w:val="en-US" w:eastAsia="zh-CN"/>
        </w:rPr>
        <w:t>造</w:t>
      </w:r>
      <w:r>
        <w:rPr>
          <w:rFonts w:hint="eastAsia" w:ascii="宋体" w:hAnsi="宋体" w:eastAsia="宋体" w:cs="宋体"/>
          <w:snapToGrid w:val="0"/>
          <w:color w:val="auto"/>
          <w:spacing w:val="0"/>
          <w:kern w:val="2"/>
          <w:sz w:val="24"/>
          <w:szCs w:val="24"/>
          <w:highlight w:val="none"/>
        </w:rPr>
        <w:t>人：</w:t>
      </w:r>
      <w:r>
        <w:rPr>
          <w:rFonts w:hint="eastAsia" w:ascii="宋体" w:hAnsi="宋体" w:eastAsia="宋体" w:cs="宋体"/>
          <w:snapToGrid w:val="0"/>
          <w:color w:val="auto"/>
          <w:spacing w:val="0"/>
          <w:kern w:val="2"/>
          <w:sz w:val="24"/>
          <w:szCs w:val="24"/>
          <w:highlight w:val="none"/>
          <w:u w:val="none"/>
        </w:rPr>
        <w:t>长江勘测规划设计研究有限责任公司</w:t>
      </w:r>
      <w:r>
        <w:rPr>
          <w:rFonts w:hint="eastAsia" w:ascii="宋体" w:hAnsi="宋体" w:eastAsia="宋体" w:cs="宋体"/>
          <w:snapToGrid w:val="0"/>
          <w:color w:val="auto"/>
          <w:spacing w:val="0"/>
          <w:kern w:val="2"/>
          <w:sz w:val="24"/>
          <w:szCs w:val="24"/>
          <w:highlight w:val="none"/>
        </w:rPr>
        <w:t>。</w:t>
      </w:r>
    </w:p>
    <w:p w14:paraId="7091CC27">
      <w:pPr>
        <w:kinsoku/>
        <w:topLinePunct/>
        <w:spacing w:beforeLines="0" w:afterLines="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lang w:val="en-US" w:eastAsia="zh-CN"/>
        </w:rPr>
        <w:t>监造人</w:t>
      </w:r>
      <w:r>
        <w:rPr>
          <w:rFonts w:hint="eastAsia" w:ascii="宋体" w:hAnsi="宋体" w:eastAsia="宋体" w:cs="宋体"/>
          <w:snapToGrid w:val="0"/>
          <w:color w:val="auto"/>
          <w:kern w:val="2"/>
          <w:sz w:val="24"/>
          <w:szCs w:val="24"/>
          <w:highlight w:val="none"/>
        </w:rPr>
        <w:t>主要工作内容为（含但不限于）：</w:t>
      </w:r>
    </w:p>
    <w:p w14:paraId="66344EEE">
      <w:pPr>
        <w:pStyle w:val="13"/>
        <w:topLinePunct/>
        <w:spacing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⑴检查设备制造单位的质量管理体系，并审查设备制造单位报送的设备制造生产计划和工艺方案。</w:t>
      </w:r>
    </w:p>
    <w:p w14:paraId="49A17DA6">
      <w:pPr>
        <w:pStyle w:val="13"/>
        <w:topLinePunct/>
        <w:spacing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⑵审查设备制造的检验计划和检验要求，并确认各阶段的检验时间、内容、方法、标准，以及检测手段、检测设备和仪器，及时通知委托人参加各阶段的验收工作。</w:t>
      </w:r>
    </w:p>
    <w:p w14:paraId="2D841FD9">
      <w:pPr>
        <w:pStyle w:val="13"/>
        <w:topLinePunct/>
        <w:spacing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⑶审查设备制造的原材料、外购配套件、元器件、标准件，以及坯料的质量证明文件及检验报告，并审查设备制造单位提交的报验资料。</w:t>
      </w:r>
    </w:p>
    <w:p w14:paraId="6031271E">
      <w:pPr>
        <w:pStyle w:val="13"/>
        <w:topLinePunct/>
        <w:spacing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⑷不定期的对设备制造过程进行监督和检查，对主要及关键零部件的制造工序进行抽检。</w:t>
      </w:r>
    </w:p>
    <w:p w14:paraId="140E70C2">
      <w:pPr>
        <w:pStyle w:val="13"/>
        <w:topLinePunct/>
        <w:spacing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⑸及时对检验结果进行审核，认为不符合质量要求时，要求设备制造单位进行整改、返修或返工。当发生质量失控或重大质量事故时，由总监理工程师签发暂停令，提出处理意见，并及时报告建设单位</w:t>
      </w:r>
      <w:r>
        <w:rPr>
          <w:rFonts w:hint="eastAsia" w:ascii="宋体" w:hAnsi="宋体" w:eastAsia="宋体" w:cs="宋体"/>
          <w:snapToGrid w:val="0"/>
          <w:color w:val="auto"/>
          <w:kern w:val="2"/>
          <w:sz w:val="24"/>
          <w:szCs w:val="24"/>
          <w:highlight w:val="none"/>
          <w:lang w:eastAsia="zh-CN"/>
        </w:rPr>
        <w:t>。</w:t>
      </w:r>
    </w:p>
    <w:p w14:paraId="424FDECD">
      <w:pPr>
        <w:kinsoku/>
        <w:topLinePunct/>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1.4 合同的生效及变更</w:t>
      </w:r>
    </w:p>
    <w:p w14:paraId="390779D0">
      <w:pPr>
        <w:kinsoku/>
        <w:topLinePunct/>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bidi="ar-SA"/>
        </w:rPr>
        <w:t>1.4.3 （补充）双方约定如下变更情况：</w:t>
      </w:r>
    </w:p>
    <w:p w14:paraId="394F100E">
      <w:pPr>
        <w:numPr>
          <w:ilvl w:val="0"/>
          <w:numId w:val="3"/>
        </w:numPr>
        <w:kinsoku/>
        <w:topLinePunct/>
        <w:spacing w:beforeLines="0" w:afterLines="0" w:line="360" w:lineRule="auto"/>
        <w:ind w:left="480"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买方有权增加合同内清单内设备数量，卖方应接受，增加的设备按原合同单价进行结算。增加设备的交货日期，由双方协商确定。</w:t>
      </w:r>
    </w:p>
    <w:p w14:paraId="7FAAB340">
      <w:pPr>
        <w:numPr>
          <w:ilvl w:val="0"/>
          <w:numId w:val="3"/>
        </w:numPr>
        <w:kinsoku/>
        <w:topLinePunct/>
        <w:spacing w:beforeLines="0" w:afterLines="0" w:line="360" w:lineRule="auto"/>
        <w:ind w:left="480"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买方有权增加合同清单范围外的设备，卖方应接受，价格参照投标报价中类似项目单价，或通过市场调研询价，由双方协商确定。增加设备的交货日期，由双方协商确定。</w:t>
      </w:r>
    </w:p>
    <w:p w14:paraId="284D741D">
      <w:pPr>
        <w:numPr>
          <w:ilvl w:val="0"/>
          <w:numId w:val="3"/>
        </w:numPr>
        <w:kinsoku/>
        <w:topLinePunct/>
        <w:spacing w:beforeLines="0" w:afterLines="0" w:line="360" w:lineRule="auto"/>
        <w:ind w:left="480"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买方有权减少合同清单内设备数量，卖方应接受，减少的设备按原合同单价调减合同金额。</w:t>
      </w:r>
    </w:p>
    <w:p w14:paraId="4B07337F">
      <w:pPr>
        <w:kinsoku/>
        <w:topLinePunct/>
        <w:spacing w:beforeLines="0" w:afterLines="0"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1.5 联 络</w:t>
      </w:r>
      <w:bookmarkEnd w:id="618"/>
      <w:bookmarkEnd w:id="619"/>
    </w:p>
    <w:p w14:paraId="621F51A7">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622" w:name="_Toc34313592"/>
      <w:bookmarkStart w:id="623" w:name="_Toc128197480"/>
      <w:bookmarkStart w:id="624" w:name="_Toc128474439"/>
      <w:bookmarkStart w:id="625" w:name="_Toc128394631"/>
      <w:bookmarkStart w:id="626" w:name="_Toc478371406"/>
      <w:bookmarkStart w:id="627" w:name="_Toc128471026"/>
      <w:bookmarkStart w:id="628" w:name="_Toc478221274"/>
      <w:bookmarkStart w:id="629" w:name="_Toc128197041"/>
      <w:bookmarkStart w:id="630" w:name="_Toc35433188"/>
      <w:bookmarkStart w:id="631" w:name="_Toc34316719"/>
      <w:bookmarkStart w:id="632" w:name="_Toc128197677"/>
      <w:bookmarkStart w:id="633" w:name="_Toc128395595"/>
      <w:bookmarkStart w:id="634" w:name="_Toc128197223"/>
      <w:bookmarkStart w:id="635" w:name="_Toc128197946"/>
      <w:bookmarkStart w:id="636" w:name="_Toc189383443"/>
      <w:bookmarkStart w:id="637" w:name="_Toc37558651"/>
      <w:bookmarkStart w:id="638" w:name="_Toc128394874"/>
      <w:bookmarkStart w:id="639" w:name="_Toc129188225"/>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（补充）设计与联络会议</w:t>
      </w:r>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p w14:paraId="6874A63B">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640" w:name="_Toc128474442"/>
      <w:bookmarkStart w:id="641" w:name="_Toc35433191"/>
      <w:bookmarkStart w:id="642" w:name="_Toc405642282"/>
      <w:bookmarkStart w:id="643" w:name="_Toc478221276"/>
      <w:bookmarkStart w:id="644" w:name="_Toc34313595"/>
      <w:bookmarkStart w:id="645" w:name="_Toc128197226"/>
      <w:bookmarkStart w:id="646" w:name="_Toc128394877"/>
      <w:bookmarkStart w:id="647" w:name="_Toc128197483"/>
      <w:bookmarkStart w:id="648" w:name="_Toc129188228"/>
      <w:bookmarkStart w:id="649" w:name="_Toc189383445"/>
      <w:bookmarkStart w:id="650" w:name="_Toc394397562"/>
      <w:bookmarkStart w:id="651" w:name="_Toc28550483"/>
      <w:bookmarkStart w:id="652" w:name="_Toc128394634"/>
      <w:bookmarkStart w:id="653" w:name="_Toc128197680"/>
      <w:bookmarkStart w:id="654" w:name="_Toc395820624"/>
      <w:bookmarkStart w:id="655" w:name="_Toc478371408"/>
      <w:bookmarkStart w:id="656" w:name="_Toc128197949"/>
      <w:bookmarkStart w:id="657" w:name="_Toc189383640"/>
      <w:bookmarkStart w:id="658" w:name="_Toc395820434"/>
      <w:bookmarkStart w:id="659" w:name="_Toc382549239"/>
      <w:bookmarkStart w:id="660" w:name="_Toc369001842"/>
      <w:bookmarkStart w:id="661" w:name="_Toc370912110"/>
      <w:bookmarkStart w:id="662" w:name="_Toc128471029"/>
      <w:bookmarkStart w:id="663" w:name="_Toc34316722"/>
      <w:bookmarkStart w:id="664" w:name="_Toc128395598"/>
      <w:bookmarkStart w:id="665" w:name="_Toc128197044"/>
      <w:bookmarkStart w:id="666" w:name="_Toc400529961"/>
      <w:bookmarkStart w:id="667" w:name="_Toc370911589"/>
      <w:bookmarkStart w:id="668" w:name="_Toc37558654"/>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 xml:space="preserve"> 设计审查</w:t>
      </w:r>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14:paraId="36F1FBA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对需要</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同意的</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设计，</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必须向</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提交正式文件、图纸和图表，并由双方授权代表签署。</w:t>
      </w:r>
    </w:p>
    <w:p w14:paraId="6C701AB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设计方案的审查不减轻</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的责任。</w:t>
      </w:r>
    </w:p>
    <w:p w14:paraId="49D73052">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669" w:name="_Toc394397563"/>
      <w:bookmarkStart w:id="670" w:name="_Toc34316723"/>
      <w:bookmarkStart w:id="671" w:name="_Toc370911590"/>
      <w:bookmarkStart w:id="672" w:name="_Toc34313596"/>
      <w:bookmarkStart w:id="673" w:name="_Toc37558655"/>
      <w:bookmarkStart w:id="674" w:name="_Toc189383446"/>
      <w:bookmarkStart w:id="675" w:name="_Toc128197227"/>
      <w:bookmarkStart w:id="676" w:name="_Toc369001843"/>
      <w:bookmarkStart w:id="677" w:name="_Toc400529962"/>
      <w:bookmarkStart w:id="678" w:name="_Toc189383641"/>
      <w:bookmarkStart w:id="679" w:name="_Toc128197950"/>
      <w:bookmarkStart w:id="680" w:name="_Toc128197681"/>
      <w:bookmarkStart w:id="681" w:name="_Toc129188229"/>
      <w:bookmarkStart w:id="682" w:name="_Toc405642283"/>
      <w:bookmarkStart w:id="683" w:name="_Toc128474443"/>
      <w:bookmarkStart w:id="684" w:name="_Toc128197045"/>
      <w:bookmarkStart w:id="685" w:name="_Toc128197484"/>
      <w:bookmarkStart w:id="686" w:name="_Toc370912111"/>
      <w:bookmarkStart w:id="687" w:name="_Toc395820435"/>
      <w:bookmarkStart w:id="688" w:name="_Toc128395599"/>
      <w:bookmarkStart w:id="689" w:name="_Toc128394878"/>
      <w:bookmarkStart w:id="690" w:name="_Toc128394635"/>
      <w:bookmarkStart w:id="691" w:name="_Toc35433192"/>
      <w:bookmarkStart w:id="692" w:name="_Toc128471030"/>
      <w:bookmarkStart w:id="693" w:name="_Toc478221277"/>
      <w:bookmarkStart w:id="694" w:name="_Toc395820625"/>
      <w:bookmarkStart w:id="695" w:name="_Toc478371409"/>
      <w:bookmarkStart w:id="696" w:name="_Toc28550484"/>
      <w:bookmarkStart w:id="697" w:name="_Toc382549240"/>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 xml:space="preserve"> 设计联络会议</w:t>
      </w:r>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p>
    <w:p w14:paraId="6C754A7C">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698" w:name="_Toc35433193"/>
      <w:bookmarkStart w:id="699" w:name="_Toc128471031"/>
      <w:bookmarkStart w:id="700" w:name="_Toc128474444"/>
      <w:bookmarkStart w:id="701" w:name="_Toc129188230"/>
      <w:bookmarkStart w:id="702" w:name="_Toc128394636"/>
      <w:bookmarkStart w:id="703" w:name="_Toc128197682"/>
      <w:bookmarkStart w:id="704" w:name="_Toc128394879"/>
      <w:bookmarkStart w:id="705" w:name="_Toc128197228"/>
      <w:bookmarkStart w:id="706" w:name="_Toc128395600"/>
      <w:bookmarkStart w:id="707" w:name="_Toc34316724"/>
      <w:bookmarkStart w:id="708" w:name="_Toc128197485"/>
      <w:bookmarkStart w:id="709" w:name="_Toc128197951"/>
      <w:bookmarkStart w:id="710" w:name="_Toc34313597"/>
      <w:bookmarkStart w:id="711" w:name="_Toc37558656"/>
      <w:bookmarkStart w:id="712" w:name="_Toc128197046"/>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为协调合同设备以及其它合同的设计和按时间表履行合同，设计联络会议的时间和内容以及详细技术谈判由买卖双方协商确定。</w:t>
      </w:r>
    </w:p>
    <w:p w14:paraId="6F8D05E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每次联络会议需进行讨论的内容和主要议题应在该次会议7天前由买</w:t>
      </w:r>
      <w:r>
        <w:rPr>
          <w:rFonts w:hint="eastAsia" w:ascii="宋体" w:hAnsi="宋体" w:eastAsia="宋体" w:cs="宋体"/>
          <w:color w:val="auto"/>
          <w:sz w:val="24"/>
          <w:szCs w:val="24"/>
          <w:highlight w:val="none"/>
          <w:lang w:val="en-US" w:eastAsia="zh-CN"/>
        </w:rPr>
        <w:t>方或</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提出，并经对方确认。</w:t>
      </w:r>
      <w:r>
        <w:rPr>
          <w:rFonts w:hint="eastAsia" w:ascii="宋体" w:hAnsi="宋体" w:eastAsia="宋体" w:cs="宋体"/>
          <w:color w:val="auto"/>
          <w:sz w:val="24"/>
          <w:szCs w:val="24"/>
          <w:highlight w:val="none"/>
          <w:lang w:val="en-US" w:eastAsia="zh-CN"/>
        </w:rPr>
        <w:t>同时</w:t>
      </w:r>
      <w:r>
        <w:rPr>
          <w:rFonts w:hint="eastAsia" w:ascii="宋体" w:hAnsi="宋体" w:eastAsia="宋体" w:cs="宋体"/>
          <w:color w:val="auto"/>
          <w:sz w:val="24"/>
          <w:szCs w:val="24"/>
          <w:highlight w:val="none"/>
        </w:rPr>
        <w:t>在该次会议7天前将会议资料内容的电子版发给</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lang w:eastAsia="zh-CN"/>
        </w:rPr>
        <w:t>方</w:t>
      </w:r>
      <w:r>
        <w:rPr>
          <w:rFonts w:hint="eastAsia" w:ascii="宋体" w:hAnsi="宋体" w:eastAsia="宋体" w:cs="宋体"/>
          <w:color w:val="auto"/>
          <w:sz w:val="24"/>
          <w:szCs w:val="24"/>
          <w:highlight w:val="none"/>
        </w:rPr>
        <w:t>。</w:t>
      </w:r>
    </w:p>
    <w:p w14:paraId="75126B7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在联络会议中双方交流的所有文件、图纸和图表必须使用中文书写，并一式6份免费提交给</w:t>
      </w:r>
      <w:r>
        <w:rPr>
          <w:rFonts w:hint="eastAsia" w:ascii="宋体" w:hAnsi="宋体" w:eastAsia="宋体" w:cs="宋体"/>
          <w:color w:val="auto"/>
          <w:sz w:val="24"/>
          <w:szCs w:val="24"/>
          <w:highlight w:val="none"/>
          <w:lang w:val="en-US" w:eastAsia="zh-CN"/>
        </w:rPr>
        <w:t>买</w:t>
      </w:r>
      <w:r>
        <w:rPr>
          <w:rFonts w:hint="eastAsia" w:ascii="宋体" w:hAnsi="宋体" w:eastAsia="宋体" w:cs="宋体"/>
          <w:color w:val="auto"/>
          <w:sz w:val="24"/>
          <w:szCs w:val="24"/>
          <w:highlight w:val="none"/>
        </w:rPr>
        <w:t>方。</w:t>
      </w:r>
    </w:p>
    <w:p w14:paraId="5D779DA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每次联络会议，组织方应做好记录并编写会议纪要。</w:t>
      </w:r>
    </w:p>
    <w:p w14:paraId="3AFE62A7">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713" w:name="_Toc405642284"/>
      <w:bookmarkStart w:id="714" w:name="_Toc370911591"/>
      <w:bookmarkStart w:id="715" w:name="_Toc395820626"/>
      <w:bookmarkStart w:id="716" w:name="_Toc370912112"/>
      <w:bookmarkStart w:id="717" w:name="_Toc369001844"/>
      <w:bookmarkStart w:id="718" w:name="_Toc478221278"/>
      <w:bookmarkStart w:id="719" w:name="_Toc189383642"/>
      <w:bookmarkStart w:id="720" w:name="_Toc394397564"/>
      <w:bookmarkStart w:id="721" w:name="_Toc395820436"/>
      <w:bookmarkStart w:id="722" w:name="_Toc189383447"/>
      <w:bookmarkStart w:id="723" w:name="_Toc400529963"/>
      <w:bookmarkStart w:id="724" w:name="_Toc28550485"/>
      <w:bookmarkStart w:id="725" w:name="_Toc382549241"/>
      <w:bookmarkStart w:id="726" w:name="_Toc478371410"/>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 设计联络会议的费用</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2E8A17D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参加会议的所有费用由</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承担，并包括在合同总价中。</w:t>
      </w:r>
    </w:p>
    <w:p w14:paraId="3FB61A60">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727" w:name="_Toc128197952"/>
      <w:bookmarkStart w:id="728" w:name="_Toc478221279"/>
      <w:bookmarkStart w:id="729" w:name="_Toc478371411"/>
      <w:bookmarkStart w:id="730" w:name="_Toc128395601"/>
      <w:bookmarkStart w:id="731" w:name="_Toc189383448"/>
      <w:bookmarkStart w:id="732" w:name="_Toc35433194"/>
      <w:bookmarkStart w:id="733" w:name="_Toc128474445"/>
      <w:bookmarkStart w:id="734" w:name="_Toc34316725"/>
      <w:bookmarkStart w:id="735" w:name="_Toc37558657"/>
      <w:bookmarkStart w:id="736" w:name="_Toc28550486"/>
      <w:bookmarkStart w:id="737" w:name="_Toc128197683"/>
      <w:bookmarkStart w:id="738" w:name="_Toc382549242"/>
      <w:bookmarkStart w:id="739" w:name="_Toc128197047"/>
      <w:bookmarkStart w:id="740" w:name="_Toc128394880"/>
      <w:bookmarkStart w:id="741" w:name="_Toc128197229"/>
      <w:bookmarkStart w:id="742" w:name="_Toc400529964"/>
      <w:bookmarkStart w:id="743" w:name="_Toc129188231"/>
      <w:bookmarkStart w:id="744" w:name="_Toc370911592"/>
      <w:bookmarkStart w:id="745" w:name="_Toc189383643"/>
      <w:bookmarkStart w:id="746" w:name="_Toc405642285"/>
      <w:bookmarkStart w:id="747" w:name="_Toc394397565"/>
      <w:bookmarkStart w:id="748" w:name="_Toc34313598"/>
      <w:bookmarkStart w:id="749" w:name="_Toc128471032"/>
      <w:bookmarkStart w:id="750" w:name="_Toc395820627"/>
      <w:bookmarkStart w:id="751" w:name="_Toc369001845"/>
      <w:bookmarkStart w:id="752" w:name="_Toc395820437"/>
      <w:bookmarkStart w:id="753" w:name="_Toc370912113"/>
      <w:bookmarkStart w:id="754" w:name="_Toc128394637"/>
      <w:bookmarkStart w:id="755" w:name="_Toc128197486"/>
      <w:r>
        <w:rPr>
          <w:rFonts w:hint="eastAsia" w:ascii="宋体" w:hAnsi="宋体" w:eastAsia="宋体" w:cs="宋体"/>
          <w:color w:val="auto"/>
          <w:sz w:val="24"/>
          <w:szCs w:val="24"/>
          <w:highlight w:val="none"/>
        </w:rPr>
        <w:t>1.5.</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 xml:space="preserve"> 联络会议之外的设计联络</w:t>
      </w:r>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p w14:paraId="4E3EB8A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除设计联络会议外，由任一方提出的所有有关设备设计的修正或变更，都应经双方讨论并同意。一方接到任何需批复的文件或图纸后21天内，应将书面的批复或意见返还提出问题方。</w:t>
      </w:r>
    </w:p>
    <w:p w14:paraId="1BE66C7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在合同执行期间，</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lang w:val="en-US" w:eastAsia="zh-CN"/>
        </w:rPr>
        <w:t>有权</w:t>
      </w:r>
      <w:r>
        <w:rPr>
          <w:rFonts w:hint="eastAsia" w:ascii="宋体" w:hAnsi="宋体" w:eastAsia="宋体" w:cs="宋体"/>
          <w:color w:val="auto"/>
          <w:sz w:val="24"/>
          <w:szCs w:val="24"/>
          <w:highlight w:val="none"/>
        </w:rPr>
        <w:t>随时派遣技术人员到</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的有关设计部门和制造厂检查</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的设计、制造工作。</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应予配合并提供方便。</w:t>
      </w:r>
    </w:p>
    <w:p w14:paraId="24A9576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在本合同有效期内，</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应及时答复</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提出的有关设计方面的问题。并向</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提供有关技术资料。</w:t>
      </w:r>
    </w:p>
    <w:p w14:paraId="03A7A2CF">
      <w:pPr>
        <w:numPr>
          <w:ilvl w:val="0"/>
          <w:numId w:val="0"/>
        </w:numPr>
        <w:kinsoku/>
        <w:wordWrap/>
        <w:overflowPunct w:val="0"/>
        <w:topLinePunct/>
        <w:autoSpaceDE/>
        <w:autoSpaceDN/>
        <w:adjustRightInd/>
        <w:snapToGrid/>
        <w:spacing w:beforeLines="0" w:afterLines="0" w:line="360" w:lineRule="auto"/>
        <w:ind w:firstLine="480" w:firstLineChars="200"/>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买方要求卖方更换本合同项目负责人，卖方应向买方支付100000元违约金，并从交货款或</w:t>
      </w:r>
      <w:r>
        <w:rPr>
          <w:rFonts w:hint="eastAsia" w:ascii="宋体" w:hAnsi="宋体" w:eastAsia="宋体" w:cs="宋体"/>
          <w:bCs w:val="0"/>
          <w:snapToGrid w:val="0"/>
          <w:color w:val="auto"/>
          <w:kern w:val="0"/>
          <w:sz w:val="24"/>
          <w:szCs w:val="24"/>
          <w:highlight w:val="none"/>
          <w:lang w:val="en-US" w:eastAsia="zh-CN" w:bidi="ar-SA"/>
        </w:rPr>
        <w:t>完工验收付款</w:t>
      </w:r>
      <w:r>
        <w:rPr>
          <w:rFonts w:hint="eastAsia" w:ascii="宋体" w:hAnsi="宋体" w:eastAsia="宋体" w:cs="宋体"/>
          <w:color w:val="auto"/>
          <w:kern w:val="0"/>
          <w:sz w:val="24"/>
          <w:szCs w:val="24"/>
          <w:highlight w:val="none"/>
          <w:lang w:val="en-US" w:eastAsia="zh-CN"/>
        </w:rPr>
        <w:t>中扣除。</w:t>
      </w:r>
    </w:p>
    <w:p w14:paraId="485580E4">
      <w:pPr>
        <w:pStyle w:val="13"/>
        <w:numPr>
          <w:ilvl w:val="0"/>
          <w:numId w:val="0"/>
        </w:numPr>
        <w:topLinePunct/>
        <w:spacing w:line="360" w:lineRule="auto"/>
        <w:ind w:firstLine="482" w:firstLineChars="200"/>
        <w:outlineLvl w:val="2"/>
        <w:rPr>
          <w:rFonts w:hint="eastAsia" w:ascii="宋体" w:hAnsi="宋体" w:eastAsia="宋体" w:cs="宋体"/>
          <w:b/>
          <w:bCs/>
          <w:snapToGrid w:val="0"/>
          <w:color w:val="auto"/>
          <w:kern w:val="0"/>
          <w:sz w:val="24"/>
          <w:szCs w:val="24"/>
          <w:highlight w:val="none"/>
          <w:lang w:val="en-US" w:eastAsia="zh-CN" w:bidi="ar"/>
        </w:rPr>
      </w:pPr>
      <w:r>
        <w:rPr>
          <w:rFonts w:hint="eastAsia" w:ascii="宋体" w:hAnsi="宋体" w:eastAsia="宋体" w:cs="宋体"/>
          <w:b/>
          <w:bCs/>
          <w:snapToGrid w:val="0"/>
          <w:color w:val="auto"/>
          <w:kern w:val="0"/>
          <w:sz w:val="24"/>
          <w:szCs w:val="24"/>
          <w:highlight w:val="none"/>
          <w:lang w:val="en-US" w:eastAsia="zh-CN" w:bidi="ar"/>
        </w:rPr>
        <w:t>2</w:t>
      </w:r>
      <w:r>
        <w:rPr>
          <w:rFonts w:hint="eastAsia" w:ascii="宋体" w:hAnsi="宋体" w:cs="宋体"/>
          <w:b/>
          <w:bCs/>
          <w:snapToGrid w:val="0"/>
          <w:color w:val="auto"/>
          <w:kern w:val="0"/>
          <w:sz w:val="24"/>
          <w:szCs w:val="24"/>
          <w:highlight w:val="none"/>
          <w:lang w:val="en-US" w:eastAsia="zh-CN" w:bidi="ar"/>
        </w:rPr>
        <w:t xml:space="preserve"> </w:t>
      </w:r>
      <w:r>
        <w:rPr>
          <w:rFonts w:hint="eastAsia" w:ascii="宋体" w:hAnsi="宋体" w:eastAsia="宋体" w:cs="宋体"/>
          <w:b/>
          <w:bCs/>
          <w:snapToGrid w:val="0"/>
          <w:color w:val="auto"/>
          <w:kern w:val="0"/>
          <w:sz w:val="24"/>
          <w:szCs w:val="24"/>
          <w:highlight w:val="none"/>
          <w:lang w:val="en-US" w:eastAsia="zh-CN" w:bidi="ar"/>
        </w:rPr>
        <w:t>合同范围</w:t>
      </w:r>
    </w:p>
    <w:p w14:paraId="3AAD3757">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本项目合同范围为：</w:t>
      </w:r>
      <w:r>
        <w:rPr>
          <w:rFonts w:hint="eastAsia" w:ascii="宋体" w:hAnsi="宋体" w:eastAsia="宋体" w:cs="宋体"/>
          <w:snapToGrid w:val="0"/>
          <w:color w:val="auto"/>
          <w:sz w:val="24"/>
          <w:szCs w:val="24"/>
          <w:highlight w:val="none"/>
        </w:rPr>
        <w:t>浙江镜岭水库工程汤浦分水口闸室、大王塘支洞、砩前至黄金仲管道段、谷来支洞、石璜江管道段、郯城江管道段的阀门、伸缩节、法兰、起重机、流量计、调节阀状态监测系统传感器、空气阀状态监测系统传感器、水锤仿真系统传感器、水位计等</w:t>
      </w:r>
      <w:r>
        <w:rPr>
          <w:rFonts w:hint="eastAsia" w:ascii="宋体" w:hAnsi="宋体" w:eastAsia="宋体" w:cs="宋体"/>
          <w:snapToGrid w:val="0"/>
          <w:color w:val="auto"/>
          <w:kern w:val="0"/>
          <w:sz w:val="24"/>
          <w:szCs w:val="24"/>
          <w:highlight w:val="none"/>
        </w:rPr>
        <w:t>。</w:t>
      </w:r>
    </w:p>
    <w:p w14:paraId="1515F03F">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lang w:val="en-US" w:eastAsia="zh-CN"/>
        </w:rPr>
        <w:t>工作内容包括但不限于</w:t>
      </w:r>
      <w:r>
        <w:rPr>
          <w:rFonts w:hint="eastAsia" w:ascii="宋体" w:hAnsi="宋体" w:eastAsia="宋体" w:cs="宋体"/>
          <w:snapToGrid w:val="0"/>
          <w:color w:val="auto"/>
          <w:kern w:val="0"/>
          <w:sz w:val="24"/>
          <w:szCs w:val="24"/>
          <w:highlight w:val="none"/>
        </w:rPr>
        <w:t>：</w:t>
      </w:r>
    </w:p>
    <w:p w14:paraId="7D2D55F6">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负责设备的设计、采购、制造、厂内组装、出厂试验（包括但不限于活塞阀模型试验或真机试验，蝶阀CFD计算等）、包装、保险、运输、报检、设计联络、到货交接验收、货物运抵指定地点后的指导卸货（卸货由安装单位负责）、安装指导、调试指导、指导调试试机（含联动调试）、参与安装验收、参与试运行、技术指导、交流、培训以及售后服务等；</w:t>
      </w:r>
    </w:p>
    <w:p w14:paraId="5161F7D4">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2.卖方应根据相关规范规定、买方档案管理要求向买方提供技术文件（应包括相关的图纸和所供货物中每一套设备的技术文件，例如：产品目录、图纸、操作手册、使用说明、维护手册和服务指南等）；</w:t>
      </w:r>
    </w:p>
    <w:p w14:paraId="25BFD4F0">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3.负责提供设备安装指导、调试指导和验收所需的专用工具和辅助材料，提供设备、附件、专用工具、备品备件、润滑油、设备初始运行所需的油脂等；</w:t>
      </w:r>
    </w:p>
    <w:p w14:paraId="05FE7860">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4.卖方负责对买方人员进行技术指导、技术交流,同时培训买方的技术管理及运行、维护、检修等人员；</w:t>
      </w:r>
    </w:p>
    <w:p w14:paraId="73D00D6F">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5.本招标文件中没有专门提及的设备，但属整套设备所必需的，卖方仍应提供，以保证货物及功能的完整性；</w:t>
      </w:r>
    </w:p>
    <w:p w14:paraId="42E7D225">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6.卖方应负责其所供设备与相关设备的协调配合，并提供有关的技术资料，使之成为一个完整的整体；</w:t>
      </w:r>
    </w:p>
    <w:p w14:paraId="34A5DA88">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7.卖方应按合同规定的方式和方法及时向买方传递合同设备的设计、制造、试验、检验、运输等方面的信息。这些信息应同时通过书面和电子邮件向买方传递。卖方使用电子邮件传递的这些信息仅供买方在执行合同时参考；</w:t>
      </w:r>
    </w:p>
    <w:p w14:paraId="3F11BE04">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8.卖方应按买方要求派遣数量足够并且具有5年以上相关专业工作经验的技术人员到浙江镜岭水库工程项目现场，对合同设备有关的制造、保管、安装、调试、现场试验、试运行、验收试验和投入运行阶段全程进行技术指导和监督，并负相应的责任；如为外资品牌设备，进行技术指导和监督的人员应为从生产（制造）商公司总部派遣的人员。如为外方人员，卖方需配备必要数量的翻译人员；</w:t>
      </w:r>
    </w:p>
    <w:p w14:paraId="72681EC3">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9.在设计联络结束后2个月内，卖方须提供详细的备品备件长期供应政策和方案，包括优惠政策、各备品备件厂家地点及联系方式、供应时间保障等；</w:t>
      </w:r>
    </w:p>
    <w:p w14:paraId="7D11FF3D">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10.在本合同有效期内，卖方负责在工厂或仓库保管、存放本合同规定的备品备件，并保证备品备件完好。在买方要求使用时，应在规定的时间内将备品备件送达买方指定地点；</w:t>
      </w:r>
    </w:p>
    <w:p w14:paraId="78A30D79">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11.在本合同有效期内，卖方有义务向买方免费提供与本合同设备有关的最新运行经验、技术和安全方面的改进资料，提供这些资料应不构成任何专利转让和技术转让；</w:t>
      </w:r>
    </w:p>
    <w:p w14:paraId="4A25D6A7">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12.卖方负责协调不同生产制造厂商设备的接口工作，包括供货、性能参数匹配和本合同项目管理等；</w:t>
      </w:r>
    </w:p>
    <w:p w14:paraId="52E35978">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13.卖方负责对合同设备设计、制造、安装、调试、试运行中有关系统和部件接口的协调；</w:t>
      </w:r>
    </w:p>
    <w:p w14:paraId="5F083706">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14.本合同有效期内，合同设备大修期间，卖方应派遣技术人员到现场指导；</w:t>
      </w:r>
    </w:p>
    <w:p w14:paraId="112BEED7">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15.本合同范围内的阀门除铸件经买方同意后允许外购外，其余工序均须原厂进行，禁止代加工；</w:t>
      </w:r>
    </w:p>
    <w:p w14:paraId="2991F0F8">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16.卖方不得将合同转让，仅允许将合同技术条款规定品牌的设备、零部件分包给相应的品牌制造厂，其它部分无论以何种理由，均不得再行分包；</w:t>
      </w:r>
    </w:p>
    <w:p w14:paraId="4059C626">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17.卖方须提供原产地证明、装船单（如是进口产品）、报关单（如是进口产品）；</w:t>
      </w:r>
    </w:p>
    <w:p w14:paraId="26FC0389">
      <w:pPr>
        <w:pStyle w:val="13"/>
        <w:numPr>
          <w:ilvl w:val="0"/>
          <w:numId w:val="0"/>
        </w:numPr>
        <w:topLinePunct/>
        <w:spacing w:after="0" w:line="360" w:lineRule="auto"/>
        <w:ind w:firstLine="480" w:firstLineChars="200"/>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18.质保期内的所有备品备件、专用工具均包含在本次设备的单价中，买方不再另行支付；</w:t>
      </w:r>
    </w:p>
    <w:p w14:paraId="5340A7FD">
      <w:pPr>
        <w:pStyle w:val="13"/>
        <w:numPr>
          <w:ilvl w:val="0"/>
          <w:numId w:val="0"/>
        </w:numPr>
        <w:topLinePunct/>
        <w:spacing w:after="0" w:line="360" w:lineRule="auto"/>
        <w:ind w:firstLine="480" w:firstLineChars="200"/>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kern w:val="0"/>
          <w:sz w:val="24"/>
          <w:szCs w:val="24"/>
          <w:highlight w:val="none"/>
        </w:rPr>
        <w:t>19.任何上述各项中未列上（列明），但属整套设备及功能所必需的，亦属卖方供货范围，其费用包括在设备单价中。投标人的投标价格应包括完成所有上述工作所需的全部费用</w:t>
      </w:r>
      <w:r>
        <w:rPr>
          <w:rFonts w:hint="eastAsia" w:ascii="宋体" w:hAnsi="宋体" w:cs="宋体"/>
          <w:snapToGrid w:val="0"/>
          <w:color w:val="auto"/>
          <w:kern w:val="0"/>
          <w:sz w:val="24"/>
          <w:szCs w:val="24"/>
          <w:highlight w:val="none"/>
          <w:lang w:eastAsia="zh-CN"/>
        </w:rPr>
        <w:t>。</w:t>
      </w:r>
    </w:p>
    <w:p w14:paraId="16838593">
      <w:pPr>
        <w:pStyle w:val="3"/>
        <w:kinsoku/>
        <w:wordWrap/>
        <w:overflowPunct w:val="0"/>
        <w:topLinePunct/>
        <w:autoSpaceDE/>
        <w:autoSpaceDN/>
        <w:spacing w:beforeLines="0" w:afterLines="0" w:line="360" w:lineRule="auto"/>
        <w:ind w:firstLine="482" w:firstLineChars="200"/>
        <w:rPr>
          <w:rFonts w:hint="eastAsia" w:ascii="宋体" w:hAnsi="宋体" w:eastAsia="宋体" w:cs="宋体"/>
          <w:b/>
          <w:bCs w:val="0"/>
          <w:color w:val="auto"/>
          <w:kern w:val="2"/>
          <w:szCs w:val="24"/>
          <w:highlight w:val="none"/>
          <w:lang w:val="en-US" w:eastAsia="zh-CN"/>
        </w:rPr>
      </w:pPr>
      <w:r>
        <w:rPr>
          <w:rFonts w:hint="eastAsia" w:ascii="宋体" w:hAnsi="宋体" w:eastAsia="宋体" w:cs="宋体"/>
          <w:b/>
          <w:bCs w:val="0"/>
          <w:color w:val="auto"/>
          <w:kern w:val="2"/>
          <w:sz w:val="24"/>
          <w:szCs w:val="24"/>
          <w:highlight w:val="none"/>
          <w:lang w:bidi="ar-SA"/>
        </w:rPr>
        <w:t>3</w:t>
      </w:r>
      <w:r>
        <w:rPr>
          <w:rFonts w:hint="eastAsia" w:ascii="宋体" w:hAnsi="宋体" w:eastAsia="宋体" w:cs="宋体"/>
          <w:b/>
          <w:bCs w:val="0"/>
          <w:color w:val="auto"/>
          <w:kern w:val="2"/>
          <w:sz w:val="24"/>
          <w:szCs w:val="24"/>
          <w:highlight w:val="none"/>
          <w:lang w:val="en-US" w:eastAsia="zh-CN" w:bidi="ar-SA"/>
        </w:rPr>
        <w:t xml:space="preserve"> </w:t>
      </w:r>
      <w:r>
        <w:rPr>
          <w:rFonts w:hint="eastAsia" w:ascii="宋体" w:hAnsi="宋体" w:eastAsia="宋体" w:cs="宋体"/>
          <w:b/>
          <w:bCs w:val="0"/>
          <w:color w:val="auto"/>
          <w:kern w:val="2"/>
          <w:sz w:val="24"/>
          <w:szCs w:val="24"/>
          <w:highlight w:val="none"/>
          <w:lang w:bidi="ar-SA"/>
        </w:rPr>
        <w:t>合同价格与支付</w:t>
      </w:r>
      <w:r>
        <w:rPr>
          <w:rFonts w:hint="eastAsia" w:ascii="宋体" w:hAnsi="宋体" w:eastAsia="宋体" w:cs="宋体"/>
          <w:b/>
          <w:bCs w:val="0"/>
          <w:color w:val="auto"/>
          <w:kern w:val="2"/>
          <w:szCs w:val="24"/>
          <w:highlight w:val="none"/>
          <w:lang w:val="en-US" w:eastAsia="zh-CN"/>
        </w:rPr>
        <w:t>（</w:t>
      </w:r>
      <w:r>
        <w:rPr>
          <w:rFonts w:hint="eastAsia" w:ascii="宋体" w:hAnsi="宋体" w:eastAsia="宋体" w:cs="宋体"/>
          <w:b/>
          <w:bCs w:val="0"/>
          <w:color w:val="auto"/>
          <w:kern w:val="2"/>
          <w:sz w:val="24"/>
          <w:szCs w:val="24"/>
          <w:highlight w:val="none"/>
        </w:rPr>
        <w:t>修改</w:t>
      </w:r>
      <w:r>
        <w:rPr>
          <w:rFonts w:hint="eastAsia" w:ascii="宋体" w:hAnsi="宋体" w:eastAsia="宋体" w:cs="宋体"/>
          <w:b/>
          <w:bCs w:val="0"/>
          <w:color w:val="auto"/>
          <w:kern w:val="2"/>
          <w:sz w:val="24"/>
          <w:szCs w:val="24"/>
          <w:highlight w:val="none"/>
          <w:lang w:eastAsia="zh-CN"/>
        </w:rPr>
        <w:t>）</w:t>
      </w:r>
      <w:r>
        <w:rPr>
          <w:rFonts w:hint="eastAsia" w:ascii="宋体" w:hAnsi="宋体" w:eastAsia="宋体" w:cs="宋体"/>
          <w:b/>
          <w:bCs w:val="0"/>
          <w:color w:val="auto"/>
          <w:kern w:val="2"/>
          <w:sz w:val="24"/>
          <w:szCs w:val="24"/>
          <w:highlight w:val="none"/>
        </w:rPr>
        <w:t>本款修改为</w:t>
      </w:r>
      <w:r>
        <w:rPr>
          <w:rFonts w:hint="eastAsia" w:ascii="宋体" w:hAnsi="宋体" w:eastAsia="宋体" w:cs="宋体"/>
          <w:color w:val="auto"/>
          <w:kern w:val="2"/>
          <w:sz w:val="24"/>
          <w:szCs w:val="24"/>
          <w:highlight w:val="none"/>
        </w:rPr>
        <w:t>：</w:t>
      </w:r>
    </w:p>
    <w:p w14:paraId="5C079804">
      <w:pPr>
        <w:keepNext w:val="0"/>
        <w:keepLines w:val="0"/>
        <w:pageBreakBefore w:val="0"/>
        <w:widowControl/>
        <w:kinsoku/>
        <w:wordWrap/>
        <w:overflowPunct/>
        <w:topLinePunct/>
        <w:autoSpaceDE/>
        <w:autoSpaceDN/>
        <w:bidi w:val="0"/>
        <w:adjustRightInd/>
        <w:snapToGrid/>
        <w:spacing w:beforeLines="0" w:afterLines="0" w:line="360" w:lineRule="auto"/>
        <w:ind w:firstLine="480" w:firstLineChars="200"/>
        <w:jc w:val="left"/>
        <w:textAlignment w:val="auto"/>
        <w:outlineLvl w:val="9"/>
        <w:rPr>
          <w:rFonts w:hint="eastAsia" w:ascii="宋体" w:hAnsi="宋体" w:eastAsia="宋体" w:cs="宋体"/>
          <w:bCs w:val="0"/>
          <w:snapToGrid w:val="0"/>
          <w:color w:val="auto"/>
          <w:kern w:val="0"/>
          <w:sz w:val="24"/>
          <w:szCs w:val="24"/>
          <w:highlight w:val="none"/>
          <w:lang w:val="en-US" w:eastAsia="zh-CN" w:bidi="ar-SA"/>
        </w:rPr>
      </w:pPr>
      <w:r>
        <w:rPr>
          <w:rFonts w:hint="eastAsia" w:ascii="宋体" w:hAnsi="宋体" w:eastAsia="宋体" w:cs="宋体"/>
          <w:bCs w:val="0"/>
          <w:snapToGrid w:val="0"/>
          <w:color w:val="auto"/>
          <w:kern w:val="0"/>
          <w:sz w:val="24"/>
          <w:szCs w:val="24"/>
          <w:highlight w:val="none"/>
          <w:lang w:val="en-US" w:eastAsia="zh-CN" w:bidi="ar-SA"/>
        </w:rPr>
        <w:t>3.1 合同价格</w:t>
      </w:r>
    </w:p>
    <w:p w14:paraId="1D11EF8E">
      <w:pPr>
        <w:keepNext w:val="0"/>
        <w:keepLines w:val="0"/>
        <w:pageBreakBefore w:val="0"/>
        <w:widowControl/>
        <w:kinsoku/>
        <w:wordWrap/>
        <w:overflowPunct/>
        <w:topLinePunct/>
        <w:bidi w:val="0"/>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 xml:space="preserve">.1.1 </w:t>
      </w:r>
      <w:r>
        <w:rPr>
          <w:rFonts w:hint="eastAsia" w:ascii="宋体" w:hAnsi="宋体" w:eastAsia="宋体" w:cs="宋体"/>
          <w:color w:val="auto"/>
          <w:sz w:val="24"/>
          <w:szCs w:val="24"/>
          <w:highlight w:val="none"/>
        </w:rPr>
        <w:t>本项目签约合同总价为人民币   元（¥   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增值税税率为  %</w:t>
      </w:r>
      <w:r>
        <w:rPr>
          <w:rFonts w:hint="eastAsia" w:ascii="宋体" w:hAnsi="宋体" w:eastAsia="宋体" w:cs="宋体"/>
          <w:color w:val="auto"/>
          <w:sz w:val="24"/>
          <w:szCs w:val="24"/>
          <w:highlight w:val="none"/>
        </w:rPr>
        <w:t>。</w:t>
      </w:r>
    </w:p>
    <w:p w14:paraId="44AB99EE">
      <w:pPr>
        <w:keepNext w:val="0"/>
        <w:keepLines w:val="0"/>
        <w:pageBreakBefore w:val="0"/>
        <w:widowControl/>
        <w:kinsoku/>
        <w:wordWrap/>
        <w:overflowPunct/>
        <w:topLinePunct/>
        <w:autoSpaceDE/>
        <w:autoSpaceDN/>
        <w:bidi w:val="0"/>
        <w:adjustRightInd/>
        <w:snapToGrid/>
        <w:spacing w:beforeLines="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3.1.2 本合同为固定单价合同，签约合同总价为暂定合同价。</w:t>
      </w:r>
    </w:p>
    <w:p w14:paraId="772FCA1E">
      <w:pPr>
        <w:keepNext w:val="0"/>
        <w:keepLines w:val="0"/>
        <w:pageBreakBefore w:val="0"/>
        <w:widowControl/>
        <w:kinsoku/>
        <w:wordWrap/>
        <w:overflowPunct/>
        <w:topLinePunct/>
        <w:bidi w:val="0"/>
        <w:spacing w:beforeLines="0" w:afterLines="0" w:line="360" w:lineRule="auto"/>
        <w:ind w:firstLine="480" w:firstLineChars="200"/>
        <w:rPr>
          <w:rFonts w:hint="eastAsia" w:ascii="宋体" w:hAnsi="宋体" w:eastAsia="宋体" w:cs="宋体"/>
          <w:strike w:val="0"/>
          <w:color w:val="auto"/>
          <w:sz w:val="24"/>
          <w:szCs w:val="24"/>
          <w:highlight w:val="none"/>
          <w:lang w:val="en-US" w:eastAsia="zh-CN"/>
        </w:rPr>
      </w:pPr>
      <w:r>
        <w:rPr>
          <w:rFonts w:hint="eastAsia" w:ascii="宋体" w:hAnsi="宋体" w:eastAsia="宋体" w:cs="宋体"/>
          <w:color w:val="auto"/>
          <w:sz w:val="24"/>
          <w:szCs w:val="24"/>
          <w:highlight w:val="none"/>
        </w:rPr>
        <w:t>3.1.3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补充</w:t>
      </w:r>
      <w:r>
        <w:rPr>
          <w:rFonts w:hint="eastAsia" w:ascii="宋体" w:hAnsi="宋体" w:eastAsia="宋体" w:cs="宋体"/>
          <w:color w:val="auto"/>
          <w:sz w:val="24"/>
          <w:szCs w:val="24"/>
          <w:highlight w:val="none"/>
          <w:lang w:eastAsia="zh-CN"/>
        </w:rPr>
        <w:t>）</w:t>
      </w:r>
      <w:r>
        <w:rPr>
          <w:rFonts w:hint="eastAsia" w:ascii="宋体" w:hAnsi="宋体" w:eastAsia="宋体" w:cs="宋体"/>
          <w:strike w:val="0"/>
          <w:color w:val="auto"/>
          <w:sz w:val="24"/>
          <w:szCs w:val="24"/>
          <w:highlight w:val="none"/>
        </w:rPr>
        <w:t>如设备数量发生变化，以实际</w:t>
      </w:r>
      <w:r>
        <w:rPr>
          <w:rFonts w:hint="eastAsia" w:ascii="宋体" w:hAnsi="宋体" w:eastAsia="宋体" w:cs="宋体"/>
          <w:strike w:val="0"/>
          <w:color w:val="auto"/>
          <w:sz w:val="24"/>
          <w:szCs w:val="24"/>
          <w:highlight w:val="none"/>
          <w:lang w:val="en-US" w:eastAsia="zh-CN"/>
        </w:rPr>
        <w:t>最终</w:t>
      </w:r>
      <w:r>
        <w:rPr>
          <w:rFonts w:hint="eastAsia" w:ascii="宋体" w:hAnsi="宋体" w:eastAsia="宋体" w:cs="宋体"/>
          <w:strike w:val="0"/>
          <w:color w:val="auto"/>
          <w:sz w:val="24"/>
          <w:szCs w:val="24"/>
          <w:highlight w:val="none"/>
        </w:rPr>
        <w:t>交货的数量进行结算。如果新增</w:t>
      </w:r>
      <w:r>
        <w:rPr>
          <w:rFonts w:hint="eastAsia" w:ascii="宋体" w:hAnsi="宋体" w:eastAsia="宋体" w:cs="宋体"/>
          <w:strike w:val="0"/>
          <w:color w:val="auto"/>
          <w:sz w:val="24"/>
          <w:szCs w:val="24"/>
          <w:highlight w:val="none"/>
          <w:lang w:val="en-US" w:eastAsia="zh-CN"/>
        </w:rPr>
        <w:t>合同</w:t>
      </w:r>
      <w:r>
        <w:rPr>
          <w:rFonts w:hint="eastAsia" w:ascii="宋体" w:hAnsi="宋体" w:eastAsia="宋体" w:cs="宋体"/>
          <w:strike w:val="0"/>
          <w:color w:val="auto"/>
          <w:sz w:val="24"/>
          <w:szCs w:val="24"/>
          <w:highlight w:val="none"/>
        </w:rPr>
        <w:t>清单</w:t>
      </w:r>
      <w:r>
        <w:rPr>
          <w:rFonts w:hint="eastAsia" w:ascii="宋体" w:hAnsi="宋体" w:eastAsia="宋体" w:cs="宋体"/>
          <w:strike w:val="0"/>
          <w:color w:val="auto"/>
          <w:sz w:val="24"/>
          <w:szCs w:val="24"/>
          <w:highlight w:val="none"/>
          <w:lang w:val="en-US" w:eastAsia="zh-CN"/>
        </w:rPr>
        <w:t>范围</w:t>
      </w:r>
      <w:r>
        <w:rPr>
          <w:rFonts w:hint="eastAsia" w:ascii="宋体" w:hAnsi="宋体" w:eastAsia="宋体" w:cs="宋体"/>
          <w:strike w:val="0"/>
          <w:color w:val="auto"/>
          <w:sz w:val="24"/>
          <w:szCs w:val="24"/>
          <w:highlight w:val="none"/>
        </w:rPr>
        <w:t>外规格型号的设备，</w:t>
      </w:r>
      <w:r>
        <w:rPr>
          <w:rFonts w:hint="eastAsia" w:ascii="宋体" w:hAnsi="宋体" w:eastAsia="宋体" w:cs="宋体"/>
          <w:strike w:val="0"/>
          <w:color w:val="auto"/>
          <w:sz w:val="24"/>
          <w:szCs w:val="24"/>
          <w:highlight w:val="none"/>
          <w:lang w:val="en-US" w:eastAsia="zh-CN"/>
        </w:rPr>
        <w:t>设备价格由双方按专用合同条款1.4.3第（2）目约定的原则确定价格。</w:t>
      </w:r>
    </w:p>
    <w:p w14:paraId="025C6EA3">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3.1.4（补充） </w:t>
      </w:r>
      <w:r>
        <w:rPr>
          <w:rFonts w:hint="eastAsia" w:ascii="宋体" w:hAnsi="宋体" w:eastAsia="宋体" w:cs="宋体"/>
          <w:color w:val="auto"/>
          <w:sz w:val="24"/>
          <w:szCs w:val="24"/>
          <w:highlight w:val="none"/>
        </w:rPr>
        <w:t>合同价款的调整</w:t>
      </w:r>
    </w:p>
    <w:p w14:paraId="05CCC7FE">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.1卖方确认在签订本合同时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已充分考虑到本合同履行过程中原材料、设备、机械、人工、运输费用等所有市场价格波动以及供货期调整等产生的风险。</w:t>
      </w:r>
    </w:p>
    <w:p w14:paraId="27D26CEB">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.2合同价款包括但不限于以下风险费用，结算时合同价款不因下述项目而调整：</w:t>
      </w:r>
    </w:p>
    <w:p w14:paraId="4DAF3F97">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（1）由于工程计划调整导致交货期发生变动而增加的各种费用；</w:t>
      </w:r>
    </w:p>
    <w:p w14:paraId="26B8EB5E">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（2）由于设备缺陷导致返厂的装车费，返修后再次运至施工现场后的运输费、卸车费；</w:t>
      </w:r>
    </w:p>
    <w:p w14:paraId="79A3BAC0">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（3）设备缺陷的现场处理费用；</w:t>
      </w:r>
    </w:p>
    <w:p w14:paraId="5E8D2F93">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（4）非设备问题的协助处理费用；</w:t>
      </w:r>
    </w:p>
    <w:p w14:paraId="687AE168">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（5）如所供设备过于零散</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导致现场组装增加的费用；</w:t>
      </w:r>
    </w:p>
    <w:p w14:paraId="69B06659">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如在合同实施过程中国家或行业颁布了新的标准或规范，卖方有责任和义务向买方提交有关新标准、新规范的建议书。对其中强制性标准、规范，皆须遵守；对于非强制性及推荐性标准、规范，买方可决定采用或不采用；</w:t>
      </w:r>
    </w:p>
    <w:p w14:paraId="56FF134C">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（7）合同设备任何部件如涉及到保证设备性能、使用功能、结构安全、运行稳定、环境保护等方面功能，无论合同有无要求卖方提供，卖方均应给予提供，合同综合单价不得因此调整。</w:t>
      </w:r>
    </w:p>
    <w:p w14:paraId="160A06A1">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3合同价款只在下列情形下方可予以调整：</w:t>
      </w:r>
    </w:p>
    <w:p w14:paraId="08C4AC0E">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（1）如超出本合同约定供货范围而新增加的设备或材料，合同价相应调整。</w:t>
      </w:r>
    </w:p>
    <w:p w14:paraId="028C901C">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（2）买方如认为有必要时，可对设备的结构形式、质量等级提出变更要求，合同设备</w:t>
      </w:r>
      <w:r>
        <w:rPr>
          <w:rFonts w:hint="eastAsia" w:ascii="宋体" w:hAnsi="宋体" w:eastAsia="宋体" w:cs="宋体"/>
          <w:color w:val="auto"/>
          <w:sz w:val="24"/>
          <w:szCs w:val="24"/>
          <w:highlight w:val="none"/>
          <w:lang w:eastAsia="zh-CN"/>
        </w:rPr>
        <w:t>价格</w:t>
      </w:r>
      <w:r>
        <w:rPr>
          <w:rFonts w:hint="eastAsia" w:ascii="宋体" w:hAnsi="宋体" w:eastAsia="宋体" w:cs="宋体"/>
          <w:color w:val="auto"/>
          <w:sz w:val="24"/>
          <w:szCs w:val="24"/>
          <w:highlight w:val="none"/>
        </w:rPr>
        <w:t>相应调整（调减或调增）。但合同设备的任何部件如涉及到保证设备性能、使用功能、结构安全、运行稳定、环境保护等方面的功能，无论合同有无要求卖方提供，卖方均应给予提供，合同价款不得因此调整。</w:t>
      </w:r>
    </w:p>
    <w:p w14:paraId="72D4DBB0">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 xml:space="preserve"> 调整合同价款的程序</w:t>
      </w:r>
    </w:p>
    <w:p w14:paraId="2EC45E2D">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1如属3.</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条情形而需对合同价款进行调整，应由受益方向合同的另一方书面提出调整申请（意见）；合同受益方未向另一方书面提出调整申请（意见）的，视为不涉及合同价款的调整。</w:t>
      </w:r>
    </w:p>
    <w:p w14:paraId="031A93B7">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.2如属3.</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条约定的可调增合同价款的情形，如：买方超出本合同约定的供货范围而新增设备要求的，买方对设备的结构形式、质量等级或数量提出变更要求的。卖方应当自收到买方的书面变更要求后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向买方书面提出合同价款调整申请，并附齐相关证明资料，经买方审核并书面确认后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方予调整合同价款。在此期限内，如卖方不向买方书面提出合同价款调整申请或未附齐相关证明资料的，则视为买方提出的该变更要求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不涉及合同价款调增。在此期限内，如卖方向买方书面提出合同价款调整申请的，则买方应在收齐卖方提交的合同价款调整申请及有关资料后14天内</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予以书面回复，无正当理由逾期不予书面回复，卖方应再对买方进行书面催告。卖方不得因买方是否提出或同意调整合同价款或其他原因而拒绝执行买方有关设备或材料变动或设备的结构形式、质量等级或数量等变更要求。</w:t>
      </w:r>
    </w:p>
    <w:p w14:paraId="35E55B76">
      <w:pPr>
        <w:pStyle w:val="13"/>
        <w:keepNext w:val="0"/>
        <w:keepLines w:val="0"/>
        <w:pageBreakBefore w:val="0"/>
        <w:widowControl/>
        <w:wordWrap/>
        <w:overflowPunct/>
        <w:topLinePunct/>
        <w:bidi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.3如属3.</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条约定的可调减合同价款情形，买方在该等情形发生后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向卖方书面提出调减合同价款意见，卖方应在收到买方书面提交的合同价款调整意见（买方对优化方案或设计变更的意见或对设备的结构形式、质量等级或数量而向卖方提出的书面变更要求中包含价款调整意见的，即为该等书面意见或要求）后的14天内予以书面回复，无正当理由逾期不予书面回复，且经买方书面催告后14天内仍未书面回复的，视为同意买方的合同价款调整意见。</w:t>
      </w:r>
    </w:p>
    <w:p w14:paraId="27FAEDB1">
      <w:pPr>
        <w:widowControl/>
        <w:kinsoku/>
        <w:topLinePunct/>
        <w:autoSpaceDE/>
        <w:autoSpaceDN/>
        <w:adjustRightInd/>
        <w:snapToGrid/>
        <w:spacing w:beforeLines="0" w:afterLines="0" w:line="360" w:lineRule="auto"/>
        <w:ind w:firstLine="480" w:firstLineChars="200"/>
        <w:jc w:val="left"/>
        <w:textAlignment w:val="auto"/>
        <w:outlineLvl w:val="9"/>
        <w:rPr>
          <w:rFonts w:hint="eastAsia" w:ascii="宋体" w:hAnsi="宋体" w:eastAsia="宋体" w:cs="宋体"/>
          <w:bCs w:val="0"/>
          <w:snapToGrid w:val="0"/>
          <w:color w:val="auto"/>
          <w:kern w:val="0"/>
          <w:sz w:val="24"/>
          <w:szCs w:val="24"/>
          <w:highlight w:val="none"/>
          <w:lang w:val="en-US" w:eastAsia="zh-CN" w:bidi="ar-SA"/>
        </w:rPr>
      </w:pPr>
      <w:r>
        <w:rPr>
          <w:rFonts w:hint="eastAsia" w:ascii="宋体" w:hAnsi="宋体" w:eastAsia="宋体" w:cs="宋体"/>
          <w:bCs w:val="0"/>
          <w:snapToGrid w:val="0"/>
          <w:color w:val="auto"/>
          <w:kern w:val="0"/>
          <w:sz w:val="24"/>
          <w:szCs w:val="24"/>
          <w:highlight w:val="none"/>
          <w:lang w:val="en-US" w:eastAsia="zh-CN" w:bidi="ar-SA"/>
        </w:rPr>
        <w:t>3.2 合同价款的支付</w:t>
      </w:r>
    </w:p>
    <w:p w14:paraId="57E5A524">
      <w:pPr>
        <w:widowControl/>
        <w:kinsoku/>
        <w:topLinePunct/>
        <w:autoSpaceDE/>
        <w:autoSpaceDN/>
        <w:adjustRightInd/>
        <w:snapToGrid/>
        <w:spacing w:beforeLines="0" w:afterLines="0" w:line="360" w:lineRule="auto"/>
        <w:ind w:firstLine="480" w:firstLineChars="200"/>
        <w:jc w:val="left"/>
        <w:textAlignment w:val="auto"/>
        <w:outlineLvl w:val="9"/>
        <w:rPr>
          <w:rFonts w:hint="eastAsia" w:ascii="宋体" w:hAnsi="宋体" w:eastAsia="宋体" w:cs="宋体"/>
          <w:bCs w:val="0"/>
          <w:snapToGrid w:val="0"/>
          <w:color w:val="auto"/>
          <w:kern w:val="0"/>
          <w:sz w:val="24"/>
          <w:szCs w:val="24"/>
          <w:highlight w:val="none"/>
          <w:lang w:val="en-US" w:eastAsia="zh-CN" w:bidi="ar-SA"/>
        </w:rPr>
      </w:pPr>
      <w:r>
        <w:rPr>
          <w:rFonts w:hint="eastAsia" w:ascii="宋体" w:hAnsi="宋体" w:eastAsia="宋体" w:cs="宋体"/>
          <w:bCs w:val="0"/>
          <w:snapToGrid w:val="0"/>
          <w:color w:val="auto"/>
          <w:kern w:val="0"/>
          <w:sz w:val="24"/>
          <w:szCs w:val="24"/>
          <w:highlight w:val="none"/>
          <w:lang w:val="en-US" w:eastAsia="zh-CN" w:bidi="ar-SA"/>
        </w:rPr>
        <w:t>3.2.1 预付款</w:t>
      </w:r>
    </w:p>
    <w:p w14:paraId="576A2C54">
      <w:pPr>
        <w:kinsoku/>
        <w:topLinePunct/>
        <w:autoSpaceDE/>
        <w:autoSpaceDN/>
        <w:adjustRightInd/>
        <w:snapToGrid/>
        <w:spacing w:beforeLines="0" w:afterLines="0"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1）合同生效后，买方在收到卖方提交的下列全部单据并经审核无误后，向卖方支付签约合同价20%作为预付款。买方支付预付款后，如卖方未履行合同义务，则买方有权收回预付款；如卖方依约履行了合同义务，则预付款抵作合同价款：</w:t>
      </w:r>
    </w:p>
    <w:p w14:paraId="5C1E6074">
      <w:pPr>
        <w:kinsoku/>
        <w:topLinePunct/>
        <w:autoSpaceDE/>
        <w:autoSpaceDN/>
        <w:adjustRightInd/>
        <w:snapToGrid/>
        <w:spacing w:beforeLines="0" w:afterLines="0"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①卖方应向买方提交与预付款等额，并经买方认可的预付款银行保函。</w:t>
      </w:r>
    </w:p>
    <w:p w14:paraId="4504E2EC">
      <w:pPr>
        <w:kinsoku/>
        <w:topLinePunct/>
        <w:autoSpaceDE/>
        <w:autoSpaceDN/>
        <w:adjustRightInd/>
        <w:snapToGrid/>
        <w:spacing w:beforeLines="0" w:afterLines="0"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②卖方应向买方提交与预付款等额的增值税发票一份。</w:t>
      </w:r>
    </w:p>
    <w:p w14:paraId="718651E8">
      <w:pPr>
        <w:widowControl/>
        <w:kinsoku/>
        <w:topLinePunct/>
        <w:autoSpaceDE/>
        <w:autoSpaceDN/>
        <w:adjustRightInd/>
        <w:snapToGrid/>
        <w:spacing w:beforeLines="0" w:afterLines="0" w:line="360" w:lineRule="auto"/>
        <w:ind w:firstLine="480" w:firstLineChars="200"/>
        <w:jc w:val="left"/>
        <w:textAlignment w:val="auto"/>
        <w:outlineLvl w:val="9"/>
        <w:rPr>
          <w:rFonts w:hint="eastAsia" w:ascii="宋体" w:hAnsi="宋体" w:eastAsia="宋体" w:cs="宋体"/>
          <w:bCs w:val="0"/>
          <w:snapToGrid w:val="0"/>
          <w:color w:val="auto"/>
          <w:kern w:val="0"/>
          <w:sz w:val="24"/>
          <w:szCs w:val="24"/>
          <w:highlight w:val="none"/>
          <w:lang w:val="en-US" w:eastAsia="zh-CN" w:bidi="ar-SA"/>
        </w:rPr>
      </w:pPr>
      <w:r>
        <w:rPr>
          <w:rFonts w:hint="eastAsia" w:ascii="宋体" w:hAnsi="宋体" w:eastAsia="宋体" w:cs="宋体"/>
          <w:bCs w:val="0"/>
          <w:snapToGrid w:val="0"/>
          <w:color w:val="auto"/>
          <w:kern w:val="0"/>
          <w:sz w:val="24"/>
          <w:szCs w:val="24"/>
          <w:highlight w:val="none"/>
          <w:lang w:val="en-US" w:eastAsia="zh-CN" w:bidi="ar-SA"/>
        </w:rPr>
        <w:t>3.2.2 交货款</w:t>
      </w:r>
    </w:p>
    <w:p w14:paraId="0FE4EDAE">
      <w:pPr>
        <w:pStyle w:val="13"/>
        <w:topLinePunct/>
        <w:spacing w:line="360" w:lineRule="auto"/>
        <w:ind w:firstLine="480" w:firstLineChars="2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卖方按合同约定交付合同内设备（材料）并提交下列相关资料，买方审核无误后，向卖方支付所供货物合同价格的60%；</w:t>
      </w:r>
    </w:p>
    <w:p w14:paraId="759948DD">
      <w:pPr>
        <w:pStyle w:val="13"/>
        <w:topLinePunct/>
        <w:spacing w:line="360" w:lineRule="auto"/>
        <w:ind w:firstLine="480" w:firstLineChars="2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①卖方出具的交货清单一份；</w:t>
      </w:r>
    </w:p>
    <w:p w14:paraId="58042F4E">
      <w:pPr>
        <w:pStyle w:val="13"/>
        <w:topLinePunct/>
        <w:spacing w:line="360" w:lineRule="auto"/>
        <w:ind w:firstLine="480" w:firstLineChars="2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②买方签署的收货清单一份；</w:t>
      </w:r>
    </w:p>
    <w:p w14:paraId="5B9F0431">
      <w:pPr>
        <w:pStyle w:val="13"/>
        <w:topLinePunct/>
        <w:spacing w:line="360" w:lineRule="auto"/>
        <w:ind w:firstLine="480" w:firstLineChars="2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③制造商出具的出厂质量合格证一份；</w:t>
      </w:r>
    </w:p>
    <w:p w14:paraId="1A5F548B">
      <w:pPr>
        <w:pStyle w:val="13"/>
        <w:topLinePunct/>
        <w:spacing w:line="360" w:lineRule="auto"/>
        <w:ind w:firstLine="480" w:firstLineChars="200"/>
        <w:rPr>
          <w:rFonts w:hint="eastAsia" w:ascii="宋体" w:hAnsi="宋体" w:eastAsia="宋体" w:cs="宋体"/>
          <w:snapToGrid w:val="0"/>
          <w:color w:val="auto"/>
          <w:sz w:val="24"/>
          <w:szCs w:val="24"/>
          <w:highlight w:val="none"/>
          <w:lang w:eastAsia="zh-CN"/>
        </w:rPr>
      </w:pPr>
      <w:r>
        <w:rPr>
          <w:rFonts w:hint="eastAsia" w:ascii="宋体" w:hAnsi="宋体" w:eastAsia="宋体" w:cs="宋体"/>
          <w:snapToGrid w:val="0"/>
          <w:color w:val="auto"/>
          <w:kern w:val="0"/>
          <w:sz w:val="24"/>
          <w:szCs w:val="24"/>
          <w:highlight w:val="none"/>
          <w:lang w:val="en-US" w:eastAsia="zh-CN" w:bidi="ar-SA"/>
        </w:rPr>
        <w:t>④与该次支付金额等额的增值税发票一份</w:t>
      </w:r>
      <w:r>
        <w:rPr>
          <w:rFonts w:hint="eastAsia" w:ascii="宋体" w:hAnsi="宋体" w:eastAsia="宋体" w:cs="宋体"/>
          <w:snapToGrid w:val="0"/>
          <w:color w:val="auto"/>
          <w:sz w:val="24"/>
          <w:szCs w:val="24"/>
          <w:highlight w:val="none"/>
          <w:lang w:eastAsia="zh-CN"/>
        </w:rPr>
        <w:t>；</w:t>
      </w:r>
    </w:p>
    <w:p w14:paraId="670F814C">
      <w:pPr>
        <w:kinsoku/>
        <w:topLinePunct/>
        <w:autoSpaceDE/>
        <w:autoSpaceDN/>
        <w:adjustRightInd/>
        <w:snapToGrid/>
        <w:spacing w:beforeLines="0" w:afterLines="0" w:line="360" w:lineRule="auto"/>
        <w:ind w:firstLine="480" w:firstLineChars="200"/>
        <w:textAlignment w:val="auto"/>
        <w:outlineLvl w:val="9"/>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3.2.3 安装调试</w:t>
      </w:r>
    </w:p>
    <w:p w14:paraId="4B15C72D">
      <w:pPr>
        <w:kinsoku/>
        <w:topLinePunct/>
        <w:autoSpaceDE/>
        <w:autoSpaceDN/>
        <w:adjustRightInd/>
        <w:snapToGrid/>
        <w:spacing w:beforeLines="0" w:afterLines="0" w:line="360" w:lineRule="auto"/>
        <w:ind w:firstLine="480" w:firstLineChars="20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合同范围内所有设备安装调试完成并验收合格后，卖方提交与该次支付金额等额的增值税发票一份等相关资料，买方审核无误后，向卖方支付所供货物合同价格的10%</w:t>
      </w:r>
      <w:r>
        <w:rPr>
          <w:rFonts w:hint="eastAsia" w:ascii="宋体" w:hAnsi="宋体" w:eastAsia="宋体" w:cs="宋体"/>
          <w:snapToGrid w:val="0"/>
          <w:color w:val="auto"/>
          <w:kern w:val="0"/>
          <w:sz w:val="24"/>
          <w:szCs w:val="24"/>
          <w:highlight w:val="none"/>
          <w:lang w:val="en-US" w:eastAsia="zh-CN" w:bidi="ar-SA"/>
        </w:rPr>
        <w:t>；</w:t>
      </w:r>
    </w:p>
    <w:p w14:paraId="0388A845">
      <w:pPr>
        <w:widowControl/>
        <w:kinsoku/>
        <w:topLinePunct/>
        <w:autoSpaceDE/>
        <w:autoSpaceDN/>
        <w:adjustRightInd/>
        <w:snapToGrid/>
        <w:spacing w:beforeLines="0" w:afterLines="0" w:line="360" w:lineRule="auto"/>
        <w:ind w:firstLine="480" w:firstLineChars="200"/>
        <w:jc w:val="left"/>
        <w:textAlignment w:val="auto"/>
        <w:outlineLvl w:val="9"/>
        <w:rPr>
          <w:rFonts w:hint="eastAsia" w:ascii="宋体" w:hAnsi="宋体" w:eastAsia="宋体" w:cs="宋体"/>
          <w:bCs w:val="0"/>
          <w:snapToGrid w:val="0"/>
          <w:color w:val="auto"/>
          <w:kern w:val="0"/>
          <w:sz w:val="24"/>
          <w:szCs w:val="24"/>
          <w:highlight w:val="none"/>
          <w:lang w:val="en-US" w:eastAsia="zh-CN" w:bidi="ar-SA"/>
        </w:rPr>
      </w:pPr>
      <w:r>
        <w:rPr>
          <w:rFonts w:hint="eastAsia" w:ascii="宋体" w:hAnsi="宋体" w:eastAsia="宋体" w:cs="宋体"/>
          <w:bCs w:val="0"/>
          <w:snapToGrid w:val="0"/>
          <w:color w:val="auto"/>
          <w:kern w:val="0"/>
          <w:sz w:val="24"/>
          <w:szCs w:val="24"/>
          <w:highlight w:val="none"/>
          <w:lang w:val="en-US" w:eastAsia="zh-CN" w:bidi="ar-SA"/>
        </w:rPr>
        <w:t>3.2.4 完工验收付款</w:t>
      </w:r>
    </w:p>
    <w:p w14:paraId="4F961775">
      <w:pPr>
        <w:kinsoku/>
        <w:wordWrap/>
        <w:overflowPunct w:val="0"/>
        <w:topLinePunct/>
        <w:autoSpaceDE/>
        <w:autoSpaceDN/>
        <w:adjustRightInd/>
        <w:snapToGrid/>
        <w:spacing w:beforeLines="0" w:afterLines="0" w:line="360" w:lineRule="auto"/>
        <w:ind w:firstLine="480" w:firstLineChars="200"/>
        <w:jc w:val="left"/>
        <w:textAlignment w:val="auto"/>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在浙江镜岭水库工程输水工程本次招标涉及所有标段完成水压试验合格，卖方提交与该次支付金额等额的增值税发票一份等相关资料，买方审核无误后，向卖方支付至验收货物合同价的98.5%。余1.5%作为质量保证金</w:t>
      </w:r>
      <w:r>
        <w:rPr>
          <w:rFonts w:hint="eastAsia" w:ascii="宋体" w:hAnsi="宋体" w:eastAsia="宋体" w:cs="宋体"/>
          <w:snapToGrid w:val="0"/>
          <w:color w:val="auto"/>
          <w:kern w:val="0"/>
          <w:sz w:val="24"/>
          <w:szCs w:val="24"/>
          <w:highlight w:val="none"/>
          <w:u w:val="none"/>
          <w:lang w:val="en-US" w:eastAsia="zh-CN" w:bidi="ar-SA"/>
        </w:rPr>
        <w:t>。</w:t>
      </w:r>
    </w:p>
    <w:p w14:paraId="29813B02">
      <w:pPr>
        <w:widowControl/>
        <w:kinsoku/>
        <w:topLinePunct/>
        <w:autoSpaceDE/>
        <w:autoSpaceDN/>
        <w:adjustRightInd/>
        <w:snapToGrid/>
        <w:spacing w:beforeLines="0" w:afterLines="0" w:line="360" w:lineRule="auto"/>
        <w:ind w:firstLine="480" w:firstLineChars="200"/>
        <w:jc w:val="left"/>
        <w:textAlignment w:val="auto"/>
        <w:outlineLvl w:val="9"/>
        <w:rPr>
          <w:rFonts w:hint="eastAsia" w:ascii="宋体" w:hAnsi="宋体" w:eastAsia="宋体" w:cs="宋体"/>
          <w:bCs w:val="0"/>
          <w:snapToGrid w:val="0"/>
          <w:color w:val="auto"/>
          <w:kern w:val="0"/>
          <w:sz w:val="24"/>
          <w:szCs w:val="24"/>
          <w:highlight w:val="none"/>
          <w:lang w:val="en-US" w:eastAsia="zh-CN" w:bidi="ar-SA"/>
        </w:rPr>
      </w:pPr>
      <w:r>
        <w:rPr>
          <w:rFonts w:hint="eastAsia" w:ascii="宋体" w:hAnsi="宋体" w:eastAsia="宋体" w:cs="宋体"/>
          <w:bCs w:val="0"/>
          <w:snapToGrid w:val="0"/>
          <w:color w:val="auto"/>
          <w:kern w:val="0"/>
          <w:sz w:val="24"/>
          <w:szCs w:val="24"/>
          <w:highlight w:val="none"/>
          <w:lang w:val="en-US" w:eastAsia="zh-CN" w:bidi="ar-SA"/>
        </w:rPr>
        <w:t>3.2.5 结清款</w:t>
      </w:r>
    </w:p>
    <w:p w14:paraId="2EE34490">
      <w:pPr>
        <w:kinsoku/>
        <w:wordWrap/>
        <w:overflowPunct w:val="0"/>
        <w:topLinePunct/>
        <w:autoSpaceDE/>
        <w:autoSpaceDN/>
        <w:adjustRightInd/>
        <w:snapToGrid/>
        <w:spacing w:beforeLines="0" w:afterLines="0" w:line="360" w:lineRule="auto"/>
        <w:ind w:firstLine="480" w:firstLineChars="200"/>
        <w:jc w:val="left"/>
        <w:textAlignment w:val="auto"/>
        <w:rPr>
          <w:rFonts w:hint="eastAsia" w:ascii="宋体" w:hAnsi="宋体" w:eastAsia="宋体" w:cs="宋体"/>
          <w:snapToGrid w:val="0"/>
          <w:color w:val="auto"/>
          <w:kern w:val="0"/>
          <w:sz w:val="24"/>
          <w:szCs w:val="24"/>
          <w:highlight w:val="none"/>
          <w:u w:val="none"/>
          <w:lang w:val="en-US" w:eastAsia="zh-CN" w:bidi="ar-SA"/>
        </w:rPr>
      </w:pPr>
      <w:r>
        <w:rPr>
          <w:rFonts w:hint="eastAsia" w:ascii="宋体" w:hAnsi="宋体" w:eastAsia="宋体" w:cs="宋体"/>
          <w:snapToGrid w:val="0"/>
          <w:color w:val="auto"/>
          <w:kern w:val="0"/>
          <w:sz w:val="24"/>
          <w:szCs w:val="24"/>
          <w:highlight w:val="none"/>
          <w:u w:val="none"/>
          <w:lang w:val="en-US" w:eastAsia="zh-CN" w:bidi="ar-SA"/>
        </w:rPr>
        <w:t>本合同质保期满，卖方提交与该次支付金额等额的增值税发票一份等相关资料，买方审核无误后，买方在扣除相应款项（如有维修、更换或其他卖方承担的款项）后一次性支付剩余款项（不计息）。</w:t>
      </w:r>
    </w:p>
    <w:p w14:paraId="5B833CCB">
      <w:pPr>
        <w:kinsoku/>
        <w:wordWrap/>
        <w:overflowPunct w:val="0"/>
        <w:topLinePunct/>
        <w:autoSpaceDE/>
        <w:autoSpaceDN/>
        <w:spacing w:beforeLines="0" w:afterLines="0" w:line="360" w:lineRule="auto"/>
        <w:ind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 （增加）资金监管</w:t>
      </w:r>
    </w:p>
    <w:p w14:paraId="12C374E1">
      <w:pPr>
        <w:kinsoku/>
        <w:topLinePunct/>
        <w:spacing w:beforeLines="0" w:afterLines="0" w:line="360" w:lineRule="auto"/>
        <w:ind w:firstLine="480" w:firstLineChars="200"/>
        <w:rPr>
          <w:rFonts w:hint="eastAsia" w:ascii="宋体" w:hAnsi="宋体" w:eastAsia="宋体" w:cs="宋体"/>
          <w:snapToGrid w:val="0"/>
          <w:color w:val="auto"/>
          <w:kern w:val="0"/>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bidi="ar-SA"/>
        </w:rPr>
        <w:t xml:space="preserve">3.4.1 </w:t>
      </w:r>
      <w:r>
        <w:rPr>
          <w:rFonts w:hint="eastAsia" w:ascii="宋体" w:hAnsi="宋体" w:eastAsia="宋体" w:cs="宋体"/>
          <w:color w:val="auto"/>
          <w:sz w:val="24"/>
          <w:szCs w:val="24"/>
          <w:highlight w:val="none"/>
        </w:rPr>
        <w:t>资金支付参照《浙江镜岭水库工程工程资金监管办法（试行）》等相关规定实施，如使用</w:t>
      </w:r>
      <w:r>
        <w:rPr>
          <w:rFonts w:hint="eastAsia" w:ascii="宋体" w:hAnsi="宋体" w:eastAsia="宋体" w:cs="宋体"/>
          <w:color w:val="auto"/>
          <w:sz w:val="24"/>
          <w:szCs w:val="24"/>
          <w:highlight w:val="none"/>
          <w:lang w:val="en-US" w:eastAsia="zh-CN"/>
        </w:rPr>
        <w:t>浙江省水利建设与发展专项资金、专项债支付的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按相应资金管理办法执行</w:t>
      </w:r>
      <w:r>
        <w:rPr>
          <w:rFonts w:hint="eastAsia" w:ascii="宋体" w:hAnsi="宋体" w:eastAsia="宋体" w:cs="宋体"/>
          <w:snapToGrid w:val="0"/>
          <w:color w:val="auto"/>
          <w:kern w:val="0"/>
          <w:sz w:val="24"/>
          <w:szCs w:val="24"/>
          <w:highlight w:val="none"/>
          <w:lang w:val="en-US" w:eastAsia="zh-CN" w:bidi="ar-SA"/>
        </w:rPr>
        <w:t>。</w:t>
      </w:r>
    </w:p>
    <w:p w14:paraId="34B9F795">
      <w:pPr>
        <w:kinsoku/>
        <w:topLinePunct/>
        <w:spacing w:beforeLines="0" w:afterLines="0" w:line="360" w:lineRule="auto"/>
        <w:ind w:firstLine="482" w:firstLineChars="200"/>
        <w:outlineLvl w:val="2"/>
        <w:rPr>
          <w:rFonts w:hint="eastAsia" w:ascii="宋体" w:hAnsi="宋体" w:eastAsia="宋体" w:cs="宋体"/>
          <w:color w:val="auto"/>
          <w:sz w:val="24"/>
          <w:szCs w:val="24"/>
          <w:highlight w:val="none"/>
        </w:rPr>
      </w:pPr>
      <w:bookmarkStart w:id="756" w:name="_Toc28550490"/>
      <w:r>
        <w:rPr>
          <w:rFonts w:hint="eastAsia" w:ascii="宋体" w:hAnsi="宋体" w:eastAsia="宋体" w:cs="宋体"/>
          <w:b/>
          <w:color w:val="auto"/>
          <w:kern w:val="2"/>
          <w:sz w:val="24"/>
          <w:szCs w:val="24"/>
          <w:highlight w:val="none"/>
        </w:rPr>
        <w:t>4  监造及交货前检验</w:t>
      </w:r>
      <w:bookmarkEnd w:id="756"/>
    </w:p>
    <w:p w14:paraId="1156E17E">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757" w:name="_Toc28550491"/>
      <w:bookmarkStart w:id="758" w:name="_Toc530566095"/>
      <w:r>
        <w:rPr>
          <w:rFonts w:hint="eastAsia" w:ascii="宋体" w:hAnsi="宋体" w:eastAsia="宋体" w:cs="宋体"/>
          <w:color w:val="auto"/>
          <w:sz w:val="24"/>
          <w:szCs w:val="24"/>
          <w:highlight w:val="none"/>
        </w:rPr>
        <w:t>4.1 监 造</w:t>
      </w:r>
      <w:bookmarkEnd w:id="757"/>
      <w:bookmarkEnd w:id="758"/>
    </w:p>
    <w:p w14:paraId="394D913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将委托监理人对合同设备进行监造。</w:t>
      </w:r>
    </w:p>
    <w:p w14:paraId="08C1503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买方在合同设备制造过程中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可以派出代表和监造人员到制造厂对原材料与采购部件、制造工序和工艺、产品质量、检测检验、组装试验等制造过程进行监督。卖方应允许买方的监造人员出入相关设计、制造场地、办公地。卖方应保证提供复测工具供买方的代表或监造人员使用，并毫无保留地提供部件的制造计划与质量控制措施，以及买方代表认为必要的标准、图纸和资料。卖方应友好地接受上述买方人员的建议和指示，解决存在的任何问题和缺陷，改正制造质量。如果卖方对制造质量问题和缺陷未按要求及时改正，买方有权根据买方代表或监造人员的意见和对该部分的影响进行估价，并相应从合同价款中扣除约定违约金。</w:t>
      </w:r>
    </w:p>
    <w:p w14:paraId="1E98899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买方派驻的代表或监造人员的有关情况，买方将在监造开始前的适当时间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以书面方式通知卖方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卖方应对他们在工厂所在地或指定地点的食宿、交通等提供一切便利，包括但不限于为其提供工作所需的办公室、办公设施（电脑除外）、通信网络、检测工具、工厂出入许可以及协助办理出入境手续（如需）等，食宿费及往返路费由买方派驻的代表或监造人员自行承担。</w:t>
      </w:r>
    </w:p>
    <w:p w14:paraId="34DE2A6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 xml:space="preserve">6 </w:t>
      </w:r>
      <w:r>
        <w:rPr>
          <w:rFonts w:hint="eastAsia" w:ascii="宋体" w:hAnsi="宋体" w:eastAsia="宋体" w:cs="宋体"/>
          <w:color w:val="auto"/>
          <w:sz w:val="24"/>
          <w:szCs w:val="24"/>
          <w:highlight w:val="none"/>
        </w:rPr>
        <w:t>买方代表或监造人员的监造和所有指示、意见等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并不意味着减轻和免除卖方质量控制和制造质量及交货进度等任何合同责任义务。</w:t>
      </w:r>
    </w:p>
    <w:p w14:paraId="6CF14838">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买方对卖方的监造要求详见本合同技术规范，并按监造大纲规定执行。监造大纲将由买方在第一次设计联络会后提供给卖方。</w:t>
      </w:r>
    </w:p>
    <w:p w14:paraId="5C363BC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除买方对卖方的监造外，卖方应派出专业人员对自己外购、外协件进行监造：</w:t>
      </w:r>
    </w:p>
    <w:p w14:paraId="4968CAF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（1）卖方应采取合理的质量控制措施与手段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证外购、外协件供货商的加工制造质量、进度满足本合同要求。卖方应对其外购、外协件供货商所提供的用于本合同设备的原材料、部件或设备的质量负责，对关键部件和材料的加工制造工艺、进度和质量进行监造，相关费用包含在设备总价中。</w:t>
      </w:r>
    </w:p>
    <w:p w14:paraId="6128E0C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（2）卖方应及时将对外购、外协件供货商的监造计划、人员安排、实施方案，监造过程记录、中间或完工检验文件，质量事故处理方案与措施提交买方监造备案。</w:t>
      </w:r>
    </w:p>
    <w:p w14:paraId="45880BA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（3）在卖方采购或分包、外购、外协的主要材料、铸锻件或部件、主要附属设备前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需报买方审批，主要材料、铸锻件或部件、主要附属设备出厂检验前，或出现质量事故时，卖方有义务及时通知买方监造参与其检验或处理过程。</w:t>
      </w:r>
    </w:p>
    <w:p w14:paraId="2C5E245E">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（4）买方的监造人员有权提出参与任何卖方采购的材料或部件，或设备的过程检验、出厂检验，或质量事故处理过程，对此卖方</w:t>
      </w:r>
      <w:r>
        <w:rPr>
          <w:rFonts w:hint="eastAsia" w:ascii="宋体" w:hAnsi="宋体" w:eastAsia="宋体" w:cs="宋体"/>
          <w:color w:val="auto"/>
          <w:sz w:val="24"/>
          <w:szCs w:val="24"/>
          <w:highlight w:val="none"/>
          <w:lang w:eastAsia="zh-CN"/>
        </w:rPr>
        <w:t>应接受</w:t>
      </w:r>
      <w:r>
        <w:rPr>
          <w:rFonts w:hint="eastAsia" w:ascii="宋体" w:hAnsi="宋体" w:eastAsia="宋体" w:cs="宋体"/>
          <w:color w:val="auto"/>
          <w:sz w:val="24"/>
          <w:szCs w:val="24"/>
          <w:highlight w:val="none"/>
        </w:rPr>
        <w:t>。</w:t>
      </w:r>
    </w:p>
    <w:p w14:paraId="39A21AFC">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（5）无论本条款所述备案是否完成，买方监造参加本条款规定的过程或检验工作与否，买方的监造人员将不签署任何证明或确认文件，同时也不减轻卖方应承担的本合同任何责任与义务。</w:t>
      </w:r>
    </w:p>
    <w:p w14:paraId="3993D64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（6）卖方不得因外购、外协件供货商的疏忽、加工制造质量缺陷、交货不及时等因素转移或推卸本合同应承担的责任。</w:t>
      </w:r>
    </w:p>
    <w:p w14:paraId="263C4D9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由于卖方的过失造成的买方需派遣人员前往卖方所在地或双方协商的其它地点进行工作，卖方应承担买方派出人员的全部费用，包括但不限于往返机票、食宿、当地交通、医疗服务和意外伤害保险</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，但买方监造人员有权事后了解、查阅、复制相关制造或检验记录。</w:t>
      </w:r>
    </w:p>
    <w:p w14:paraId="74AAA22A">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759" w:name="_Toc28550492"/>
      <w:r>
        <w:rPr>
          <w:rFonts w:hint="eastAsia" w:ascii="宋体" w:hAnsi="宋体" w:eastAsia="宋体" w:cs="宋体"/>
          <w:color w:val="auto"/>
          <w:sz w:val="24"/>
          <w:szCs w:val="24"/>
          <w:highlight w:val="none"/>
        </w:rPr>
        <w:t>4.2 交货前检验</w:t>
      </w:r>
      <w:bookmarkEnd w:id="759"/>
    </w:p>
    <w:p w14:paraId="582E24B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将参与交货前检验。</w:t>
      </w:r>
    </w:p>
    <w:p w14:paraId="4B9BF21F">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卖方应在第一次设计联络会上将合同设备设计、制造和检验的有关标准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提交给买方。如卖方在规定的时间内没有将上述标准提交给买方，或卖方提供的标准不完全，则买方有权向卖方追索或使用买方认为适当的标准对合同设备做出检验。</w:t>
      </w:r>
    </w:p>
    <w:p w14:paraId="0654AD6D">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卖方在合同设备产品出厂前，须对合同设备的质量、规格、性能、数量和重量进行全面精确的检验，并应出具质量证明以证明合同设备符合合同规定。由制造厂出具并由卖方签字的质量证明书</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应作为交货时的质量依据，但不能作为设备质量、规格、数量和重量的最终验收依据。制造厂对设备进行的特殊试验和试验结果应写入试验报告，并与质量检验证书一起提交给买方。</w:t>
      </w:r>
    </w:p>
    <w:p w14:paraId="2D5CDD63">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卖方应提前</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个月将其组装、试验和检验的初步计划通知买方，买方根据需要决定是否派遣人员参加</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如需要，买方将其派遣的技术人员姓名及详细情况通知卖方。买方将根据合同的约定派遣技术人员赴卖方制造厂和外购、外协件的制造厂，了解合同设备的组装、检验、试验、包装和装箱情况。卖方应向买方检验人员提供必要的设备及帮助，以及用于质量控制的生产数据程序资料，应允许买方检验人员自由接近用于制造合同设备的车间及设施。如果发现合同设备的质量不符合合同的标准、或包装不善，买方检验人员有权提出意见，卖方应给予充分考虑，并应采取必要措施以保证设备质量。设备检验程序应由买方派出人员与卖方代表友好协商共同决定。</w:t>
      </w:r>
    </w:p>
    <w:p w14:paraId="0318215D">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在组装、试验和检验中涉及</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目击试验（指在客户、用户或其代理人在场情况下进行的“工厂试验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验收试验”等任何一种试验），卖方应将初步计划通知买方时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同步告知。在没有得到买方或其代表对试验的认可</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或者用户弃权声明的情况下，卖方不能越过任何目击试验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而继续进行下去。在进行所计划的试验前，卖方应及时将试验程序</w:t>
      </w:r>
      <w:r>
        <w:rPr>
          <w:rFonts w:hint="eastAsia" w:ascii="宋体" w:hAnsi="宋体" w:cs="宋体"/>
          <w:color w:val="auto"/>
          <w:sz w:val="24"/>
          <w:szCs w:val="24"/>
          <w:highlight w:val="none"/>
          <w:lang w:val="en-US" w:eastAsia="zh-CN"/>
        </w:rPr>
        <w:t>和</w:t>
      </w:r>
      <w:r>
        <w:rPr>
          <w:rFonts w:hint="eastAsia" w:ascii="宋体" w:hAnsi="宋体" w:eastAsia="宋体" w:cs="宋体"/>
          <w:color w:val="auto"/>
          <w:sz w:val="24"/>
          <w:szCs w:val="24"/>
          <w:highlight w:val="none"/>
        </w:rPr>
        <w:t>相关验收准则</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发送给买方，并取得买方认可。</w:t>
      </w:r>
    </w:p>
    <w:p w14:paraId="607A0DFC">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参加交货前检验的买方人员不予会签任何质量检验证书。买方人员参加质量检验</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既不解除卖方应承担的质量保证责任，也不能代替合同设备到达工地后的到货检验。</w:t>
      </w:r>
    </w:p>
    <w:p w14:paraId="26B42CDD">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4.2.9</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买方或买方监造人员有权在卖方或外购、外协件制造厂</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对本合同项下设备进行拍照、摄影，卖方应给予积极配合。卖方应向监造人员提供设备制造关键点、关键工序图片、影像资料、生产制造进度月报等。</w:t>
      </w:r>
    </w:p>
    <w:p w14:paraId="58A0821D">
      <w:pPr>
        <w:pStyle w:val="13"/>
        <w:topLinePunct/>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4.2.10</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买方组织技术人员对工厂检验试验和性能试验进行见证的，卖方应无条件配合。买方参与并确认这些试验，不能取代在工地进行的验收和试验，而且不能以任何形式减轻卖方对本合同承担的责任</w:t>
      </w:r>
      <w:r>
        <w:rPr>
          <w:rFonts w:hint="eastAsia" w:ascii="宋体" w:hAnsi="宋体" w:eastAsia="宋体" w:cs="宋体"/>
          <w:color w:val="auto"/>
          <w:sz w:val="24"/>
          <w:szCs w:val="24"/>
          <w:highlight w:val="none"/>
          <w:lang w:eastAsia="zh-CN"/>
        </w:rPr>
        <w:t>。</w:t>
      </w:r>
    </w:p>
    <w:p w14:paraId="1C081872">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4.3 </w:t>
      </w:r>
      <w:r>
        <w:rPr>
          <w:rFonts w:hint="eastAsia" w:ascii="宋体" w:hAnsi="宋体" w:eastAsia="宋体" w:cs="宋体"/>
          <w:color w:val="auto"/>
          <w:sz w:val="24"/>
          <w:szCs w:val="24"/>
          <w:highlight w:val="none"/>
        </w:rPr>
        <w:t>重新检验试验与额外检验试验</w:t>
      </w:r>
    </w:p>
    <w:p w14:paraId="61F5A9DA">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除合同另有规定外，在本合同履行过程中，不论何种原因，若买方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监造人或监理单位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对合同规定</w:t>
      </w:r>
      <w:r>
        <w:rPr>
          <w:rFonts w:hint="eastAsia" w:ascii="宋体" w:hAnsi="宋体" w:cs="宋体"/>
          <w:color w:val="auto"/>
          <w:sz w:val="24"/>
          <w:szCs w:val="24"/>
          <w:highlight w:val="none"/>
          <w:lang w:val="en-US" w:eastAsia="zh-CN"/>
        </w:rPr>
        <w:t>的</w:t>
      </w:r>
      <w:r>
        <w:rPr>
          <w:rFonts w:hint="eastAsia" w:ascii="宋体" w:hAnsi="宋体" w:eastAsia="宋体" w:cs="宋体"/>
          <w:color w:val="auto"/>
          <w:sz w:val="24"/>
          <w:szCs w:val="24"/>
          <w:highlight w:val="none"/>
        </w:rPr>
        <w:t>由卖方负责进行设备工厂检验或开箱检验等结果有疑问时，可以要求卖方按合同规定重新或额外进行检验试验，卖方应遵照执行。若重新或额外检验试验结果证明其合同设备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包括材料及工艺等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不符合合同要求，则其重新或额外检验试验费用、修复或更换等处理费用及工期延误责任由卖方承担。若重新或额外检验试验结果证明其合同设备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包括材料及工艺等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符合合同要求，则其重新检验试验费用及工期延误责任由买方承担。</w:t>
      </w:r>
    </w:p>
    <w:p w14:paraId="78E5F57E">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除合同另有规定外，若由买方负责进行的设备现场试验的试验结果表明由卖方提供的合同设备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包括材料及工艺等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不符合合同要求，且卖方对此有疑问时，可以要求买方按合同规定重新进行试验。若重新检验试验结果证明其合同设备不符合合同要求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包括材料及工艺等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，则其重新检验试验费用、修复或更换等处理费用及工期延误责任由卖方承担。若重新检验试验结果证明其合同设备符合合同要求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包括材料及工艺等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，则其重新检验试验费用及工期延误责任由买方承担。</w:t>
      </w:r>
    </w:p>
    <w:p w14:paraId="0970E8E1">
      <w:pPr>
        <w:pStyle w:val="13"/>
        <w:topLinePunct/>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对检验试验结果发生争议时的处理</w:t>
      </w:r>
    </w:p>
    <w:p w14:paraId="2C5BD883">
      <w:pPr>
        <w:pStyle w:val="13"/>
        <w:topLinePunct/>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在本合同履行过程中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若合同双方对合同设备的某项检验试验结果不能取得一致意见时，则可委托双方同意的具有权威性的第三方检验试验机构进行重新或额外检验试验，其检验试验结果对双方均具有约束力，所需重新或额外检验试验费用由责任方承担。且责任方应按本合同有关规定承担相应的责任</w:t>
      </w:r>
      <w:r>
        <w:rPr>
          <w:rFonts w:hint="eastAsia" w:ascii="宋体" w:hAnsi="宋体" w:eastAsia="宋体" w:cs="宋体"/>
          <w:color w:val="auto"/>
          <w:sz w:val="24"/>
          <w:szCs w:val="24"/>
          <w:highlight w:val="none"/>
          <w:lang w:eastAsia="zh-CN"/>
        </w:rPr>
        <w:t>。</w:t>
      </w:r>
    </w:p>
    <w:p w14:paraId="096EB707">
      <w:pPr>
        <w:keepNext w:val="0"/>
        <w:keepLines w:val="0"/>
        <w:widowControl/>
        <w:suppressLineNumbers w:val="0"/>
        <w:kinsoku/>
        <w:topLinePunct/>
        <w:spacing w:beforeLines="0" w:afterLines="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b w:val="0"/>
          <w:bCs w:val="0"/>
          <w:snapToGrid w:val="0"/>
          <w:color w:val="auto"/>
          <w:kern w:val="0"/>
          <w:sz w:val="24"/>
          <w:szCs w:val="24"/>
          <w:highlight w:val="none"/>
          <w:lang w:val="en-US" w:eastAsia="zh-CN" w:bidi="ar"/>
        </w:rPr>
        <w:t xml:space="preserve">4.4 </w:t>
      </w:r>
      <w:r>
        <w:rPr>
          <w:rFonts w:hint="eastAsia" w:ascii="宋体" w:hAnsi="宋体" w:eastAsia="宋体" w:cs="宋体"/>
          <w:color w:val="auto"/>
          <w:sz w:val="24"/>
          <w:szCs w:val="24"/>
          <w:highlight w:val="none"/>
        </w:rPr>
        <w:t>（补充）</w:t>
      </w:r>
      <w:r>
        <w:rPr>
          <w:rFonts w:hint="eastAsia" w:ascii="宋体" w:hAnsi="宋体" w:eastAsia="宋体" w:cs="宋体"/>
          <w:b w:val="0"/>
          <w:bCs w:val="0"/>
          <w:snapToGrid w:val="0"/>
          <w:color w:val="auto"/>
          <w:kern w:val="0"/>
          <w:sz w:val="24"/>
          <w:szCs w:val="24"/>
          <w:highlight w:val="none"/>
          <w:lang w:val="en-US" w:eastAsia="zh-CN" w:bidi="ar"/>
        </w:rPr>
        <w:t xml:space="preserve">合同进度计划 </w:t>
      </w:r>
    </w:p>
    <w:p w14:paraId="4F7A54C0">
      <w:pPr>
        <w:keepNext w:val="0"/>
        <w:keepLines w:val="0"/>
        <w:widowControl/>
        <w:suppressLineNumbers w:val="0"/>
        <w:kinsoku/>
        <w:topLinePunct/>
        <w:spacing w:beforeLines="0" w:afterLines="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en-US" w:eastAsia="zh-CN" w:bidi="ar"/>
        </w:rPr>
        <w:t>卖方应按《技术条款》规定的内容和期限以及监理人的指示，编制供货总进度计划，报送监理人审批。监理人应在《技术条款》规定的期限内批复卖方。经监理人批准的施工总进度计划（称合同进度计划），作为控制本合同工程进度的依据，卖方据此编制季和月进度计划，报送监理人审批。</w:t>
      </w:r>
    </w:p>
    <w:p w14:paraId="6CF290E6">
      <w:pPr>
        <w:keepNext w:val="0"/>
        <w:keepLines w:val="0"/>
        <w:widowControl/>
        <w:suppressLineNumbers w:val="0"/>
        <w:kinsoku/>
        <w:topLinePunct/>
        <w:spacing w:beforeLines="0" w:afterLines="0" w:line="360" w:lineRule="auto"/>
        <w:ind w:firstLine="480" w:firstLineChars="200"/>
        <w:jc w:val="left"/>
        <w:rPr>
          <w:rFonts w:hint="eastAsia" w:ascii="宋体" w:hAnsi="宋体" w:eastAsia="宋体" w:cs="宋体"/>
          <w:snapToGrid w:val="0"/>
          <w:color w:val="auto"/>
          <w:kern w:val="0"/>
          <w:sz w:val="24"/>
          <w:szCs w:val="24"/>
          <w:highlight w:val="none"/>
          <w:lang w:val="en-US" w:eastAsia="zh-CN" w:bidi="ar"/>
        </w:rPr>
      </w:pPr>
      <w:r>
        <w:rPr>
          <w:rFonts w:hint="eastAsia" w:ascii="宋体" w:hAnsi="宋体" w:eastAsia="宋体" w:cs="宋体"/>
          <w:snapToGrid w:val="0"/>
          <w:color w:val="auto"/>
          <w:kern w:val="0"/>
          <w:sz w:val="24"/>
          <w:szCs w:val="24"/>
          <w:highlight w:val="none"/>
          <w:lang w:val="en-US" w:eastAsia="zh-CN" w:bidi="ar"/>
        </w:rPr>
        <w:t>在施工总进度计划批准前，应按签订协议书时商定的进度计划和监理人的指示控制工程进展。</w:t>
      </w:r>
    </w:p>
    <w:p w14:paraId="347021D9">
      <w:pPr>
        <w:kinsoku/>
        <w:topLinePunct/>
        <w:spacing w:beforeLines="0" w:afterLines="0" w:line="360" w:lineRule="auto"/>
        <w:ind w:firstLine="482" w:firstLineChars="200"/>
        <w:outlineLvl w:val="2"/>
        <w:rPr>
          <w:rFonts w:hint="eastAsia" w:ascii="宋体" w:hAnsi="宋体" w:eastAsia="宋体" w:cs="宋体"/>
          <w:color w:val="auto"/>
          <w:sz w:val="24"/>
          <w:szCs w:val="24"/>
          <w:highlight w:val="none"/>
        </w:rPr>
      </w:pPr>
      <w:bookmarkStart w:id="760" w:name="_Toc28550493"/>
      <w:bookmarkStart w:id="761" w:name="_Toc530566096"/>
      <w:r>
        <w:rPr>
          <w:rFonts w:hint="eastAsia" w:ascii="宋体" w:hAnsi="宋体" w:eastAsia="宋体" w:cs="宋体"/>
          <w:b/>
          <w:color w:val="auto"/>
          <w:kern w:val="2"/>
          <w:sz w:val="24"/>
          <w:szCs w:val="24"/>
          <w:highlight w:val="none"/>
        </w:rPr>
        <w:t>5  包装、标记、运输和交付</w:t>
      </w:r>
      <w:bookmarkEnd w:id="760"/>
      <w:bookmarkEnd w:id="761"/>
    </w:p>
    <w:p w14:paraId="6F36FA07">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bookmarkStart w:id="762" w:name="_Toc28550494"/>
      <w:bookmarkStart w:id="763" w:name="_Toc530566097"/>
      <w:r>
        <w:rPr>
          <w:rFonts w:hint="eastAsia" w:ascii="宋体" w:hAnsi="宋体" w:eastAsia="宋体" w:cs="宋体"/>
          <w:color w:val="auto"/>
          <w:sz w:val="24"/>
          <w:szCs w:val="24"/>
          <w:highlight w:val="none"/>
          <w:lang w:val="en-US" w:eastAsia="zh-CN"/>
        </w:rPr>
        <w:t>5.1 包 装</w:t>
      </w:r>
    </w:p>
    <w:p w14:paraId="07E3E83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对于为保证精确装配而需具备明亮洁净加工面的合同设备，其加工面应采用优良、耐久的保护层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不得用油漆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以防止在安装前发生锈蚀。</w:t>
      </w:r>
    </w:p>
    <w:p w14:paraId="0F3BD0F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对包装箱中设备零部件挂上标牌，标明其部件名称、规格型号、主设备名称或编号及其在装配图中的位置号。合同设备部件在包装箱中应堆码有序，不同部件应分开。备品备件和专用工器具除按上述要求标记外，还应相应标上“备品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维修设备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试验设备”或“专用工器具”字样，单独包装，不与其它设备部件混装于同一箱件中，在装箱单中也应加以注明。除备品备件外，不同台号的阀门设备、工具和消耗品应分别包装。</w:t>
      </w:r>
    </w:p>
    <w:p w14:paraId="332809E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卖方应对设备装箱统一设计，即后续</w:t>
      </w:r>
      <w:r>
        <w:rPr>
          <w:rFonts w:hint="eastAsia" w:ascii="宋体" w:hAnsi="宋体" w:eastAsia="宋体" w:cs="宋体"/>
          <w:color w:val="auto"/>
          <w:sz w:val="24"/>
          <w:szCs w:val="24"/>
          <w:highlight w:val="none"/>
          <w:lang w:val="en-US" w:eastAsia="zh-CN"/>
        </w:rPr>
        <w:t>锥形阀、偏心阀等</w:t>
      </w:r>
      <w:r>
        <w:rPr>
          <w:rFonts w:hint="eastAsia" w:ascii="宋体" w:hAnsi="宋体" w:eastAsia="宋体" w:cs="宋体"/>
          <w:color w:val="auto"/>
          <w:sz w:val="24"/>
          <w:szCs w:val="24"/>
          <w:highlight w:val="none"/>
        </w:rPr>
        <w:t>交货设备的装箱应与首台</w:t>
      </w:r>
      <w:r>
        <w:rPr>
          <w:rFonts w:hint="eastAsia" w:ascii="宋体" w:hAnsi="宋体" w:eastAsia="宋体" w:cs="宋体"/>
          <w:color w:val="auto"/>
          <w:sz w:val="24"/>
          <w:szCs w:val="24"/>
          <w:highlight w:val="none"/>
          <w:lang w:val="en-US" w:eastAsia="zh-CN"/>
        </w:rPr>
        <w:t>锥形阀、偏心阀等</w:t>
      </w:r>
      <w:r>
        <w:rPr>
          <w:rFonts w:hint="eastAsia" w:ascii="宋体" w:hAnsi="宋体" w:eastAsia="宋体" w:cs="宋体"/>
          <w:color w:val="auto"/>
          <w:sz w:val="24"/>
          <w:szCs w:val="24"/>
          <w:highlight w:val="none"/>
        </w:rPr>
        <w:t>同类设备一致。</w:t>
      </w:r>
    </w:p>
    <w:p w14:paraId="2DE5759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对于包装箱的一般要求：</w:t>
      </w:r>
    </w:p>
    <w:p w14:paraId="78CA821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（1）包装箱强度应满足箱件能经多次装卸转运和堆码的要求，其中：3t以下包装箱能够满足3层堆码、3t以上包装箱能够满足2层堆码，并应标注可堆码层次/或不能堆码的标识。</w:t>
      </w:r>
    </w:p>
    <w:p w14:paraId="1A0F4B4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（2）包装箱的正面一般应留有叉车孔，且叉车孔高度一般不小于8cm；重量超过4.5t或宽度大于1.2m的包装箱叉车孔高度一般应不小于10cm。</w:t>
      </w:r>
    </w:p>
    <w:p w14:paraId="02C55B9C">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（3）包装箱底部应设计强度足够的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能承受叉车作业的横梁，宽度一般应超过1.2m。重量不超过2t的包装箱横木一般应不少于3根，宽度1.8—2.4m；重量超过2t的包装箱横木设计一般应不少于4根。包装箱重量最大不得超过8t。</w:t>
      </w:r>
    </w:p>
    <w:p w14:paraId="41EF0A7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（4）除个别部件尺寸导致包装箱外形尺寸偏大外，包装箱外形尺寸不宜太大，一般长度不超过4m、宽度不超过1.8m为宜。</w:t>
      </w:r>
    </w:p>
    <w:p w14:paraId="5B9F939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（5）包装箱储运图示标志应根据箱内设备要求标示完整，重心标志应至少标在包装箱的四个侧面或端面的重心位置上。包装箱的唛头应在箱件侧、端面均作标示，使箱件在入库堆码后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至少保证唛头有一面向外。</w:t>
      </w:r>
    </w:p>
    <w:p w14:paraId="175D07B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箱内每件零件上均应系零件卡，且名称、编码、件号、图号等均应与该箱设备清单一一对应。</w:t>
      </w:r>
    </w:p>
    <w:p w14:paraId="241DBD3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进境货物使用木质包装的，卖方应当在输出国家或者地区政府检疫主管部门监督下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按照国际植物保护公约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以下简称IPPC</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要求进行除害处理，并加施IPPC专用标识。除害处理方法和专用标识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应当符合中国国家质检总局公布的检疫除害处理方法和标识要求。</w:t>
      </w:r>
    </w:p>
    <w:p w14:paraId="6DC2F53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卖方应按本条款规定进行合同设备的包装和标识。当卖方提供的包装和标识不满足本合同要求时，买方将及时书面提请卖方对此</w:t>
      </w:r>
      <w:r>
        <w:rPr>
          <w:rFonts w:hint="eastAsia" w:ascii="宋体" w:hAnsi="宋体" w:eastAsia="宋体" w:cs="宋体"/>
          <w:color w:val="auto"/>
          <w:sz w:val="24"/>
          <w:szCs w:val="24"/>
          <w:highlight w:val="none"/>
          <w:lang w:eastAsia="zh-CN"/>
        </w:rPr>
        <w:t>进行</w:t>
      </w:r>
      <w:r>
        <w:rPr>
          <w:rFonts w:hint="eastAsia" w:ascii="宋体" w:hAnsi="宋体" w:eastAsia="宋体" w:cs="宋体"/>
          <w:color w:val="auto"/>
          <w:sz w:val="24"/>
          <w:szCs w:val="24"/>
          <w:highlight w:val="none"/>
        </w:rPr>
        <w:t>更改以满足买方和本合同要求。当卖方收到买方的书面要求后，应在下批设备的包装和标识上实质性地满足本合同及买方要求。</w:t>
      </w:r>
    </w:p>
    <w:p w14:paraId="4CC5A76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因卖方包装不善而引起的合同设备锈蚀、变形、短缺、损坏和丢失，卖方应付全部负责，并负责按本合同要求进行修理、更换、补充，直至完全满足本合同要求。</w:t>
      </w:r>
    </w:p>
    <w:p w14:paraId="43E4E1B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对于特殊物品（易燃、易爆、有毒物品、其它危险品及运输过程中对温度或震动等环境因素有特殊要求的设备或物品）必须特别标明其品名、性质、特殊保护措施、保存方法以及意外情况的处理方法。</w:t>
      </w:r>
    </w:p>
    <w:p w14:paraId="7D4A7E0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包装箱外部标志及起吊位置应符合GB/T 6388和GB/T 191的规定。</w:t>
      </w:r>
    </w:p>
    <w:p w14:paraId="273281F5">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5.2 标 记</w:t>
      </w:r>
    </w:p>
    <w:p w14:paraId="6C88A7E8">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卖方应在每个包装箱四侧用不褪色油漆以醒目的英文和中文刷上以下标记，标记内容以中文为准：</w:t>
      </w:r>
    </w:p>
    <w:p w14:paraId="290C2CE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（1）合同号：</w:t>
      </w:r>
    </w:p>
    <w:p w14:paraId="691F4CA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（2）唛头标记：</w:t>
      </w:r>
    </w:p>
    <w:p w14:paraId="71614F7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（3）目的地：</w:t>
      </w:r>
      <w:r>
        <w:rPr>
          <w:rFonts w:hint="eastAsia" w:ascii="宋体" w:hAnsi="宋体" w:eastAsia="宋体" w:cs="宋体"/>
          <w:color w:val="auto"/>
          <w:sz w:val="24"/>
          <w:szCs w:val="24"/>
          <w:highlight w:val="none"/>
          <w:lang w:val="en-US" w:eastAsia="zh-CN"/>
        </w:rPr>
        <w:t>浙江镜岭水库</w:t>
      </w:r>
      <w:r>
        <w:rPr>
          <w:rFonts w:hint="eastAsia" w:ascii="宋体" w:hAnsi="宋体" w:eastAsia="宋体" w:cs="宋体"/>
          <w:color w:val="auto"/>
          <w:sz w:val="24"/>
          <w:szCs w:val="24"/>
          <w:highlight w:val="none"/>
        </w:rPr>
        <w:t>工程买方指定地点</w:t>
      </w:r>
    </w:p>
    <w:p w14:paraId="0602895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（4）收货人：</w:t>
      </w:r>
      <w:r>
        <w:rPr>
          <w:rFonts w:hint="eastAsia" w:ascii="宋体" w:hAnsi="宋体" w:eastAsia="宋体" w:cs="宋体"/>
          <w:color w:val="auto"/>
          <w:sz w:val="24"/>
          <w:szCs w:val="24"/>
          <w:highlight w:val="none"/>
          <w:lang w:val="en-US" w:eastAsia="zh-CN"/>
        </w:rPr>
        <w:t>浙江镜岭水库有限公司</w:t>
      </w:r>
    </w:p>
    <w:p w14:paraId="67F5289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（5）合同设备名称、设备编号和包装箱号：</w:t>
      </w:r>
    </w:p>
    <w:p w14:paraId="34FA873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（6）收货人编号：</w:t>
      </w:r>
    </w:p>
    <w:p w14:paraId="633778E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（7）毛重／净重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千克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2EADD728">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（8）体积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长×宽×高cm</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360D373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（9）目的港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中文标记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3560F2E">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（10）发运地：</w:t>
      </w:r>
    </w:p>
    <w:p w14:paraId="5EC85338">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（11）生产日期：</w:t>
      </w:r>
    </w:p>
    <w:p w14:paraId="3469ECE2">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（12）生产工厂：</w:t>
      </w:r>
    </w:p>
    <w:p w14:paraId="2418E5D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（13）仓储等级：</w:t>
      </w:r>
    </w:p>
    <w:p w14:paraId="3F26512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对裸装合同设备应以金属标签注明上述内容，裸装合同设备的装箱单应分别集中包装，随合同设备发运。</w:t>
      </w:r>
    </w:p>
    <w:p w14:paraId="040E588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卖方应在重量大于或等于2吨的每个包装箱相邻四侧用中文和国际贸易运输常用的标记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标明重量、重心和吊点的位置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以便于装卸和搬运。根据合同设备特点和运输的不同要求，卖方应在包装箱上醒目地标明“小心轻放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勿倒置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保持干燥”等字样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以及国际贸易通用的标记图案。</w:t>
      </w:r>
    </w:p>
    <w:p w14:paraId="6E1209B2">
      <w:pPr>
        <w:kinsoku/>
        <w:topLinePunct/>
        <w:spacing w:beforeLines="0" w:afterLines="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5.2.6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每件包装箱内，应附有详细装箱单（一式捌份），质量合格证、有关设备的技术文件、需要组装设备部件的详细装配图等一式捌份。在装箱单中应注明技术文件和装配图所处箱件</w:t>
      </w:r>
      <w:r>
        <w:rPr>
          <w:rFonts w:hint="eastAsia" w:ascii="宋体" w:hAnsi="宋体" w:eastAsia="宋体" w:cs="宋体"/>
          <w:color w:val="auto"/>
          <w:sz w:val="24"/>
          <w:szCs w:val="24"/>
          <w:highlight w:val="none"/>
          <w:lang w:eastAsia="zh-CN"/>
        </w:rPr>
        <w:t>。</w:t>
      </w:r>
    </w:p>
    <w:p w14:paraId="241D86E4">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 运 输</w:t>
      </w:r>
    </w:p>
    <w:p w14:paraId="43A67D3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卖方应在合同生效后180天内，将合同设备的运输装卸、贮存和运输方案说明书通知买方，买方如有异议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应在45天内通知卖方。</w:t>
      </w:r>
    </w:p>
    <w:p w14:paraId="10EEE0E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对重量超过20吨，外形尺寸大于9米长、3米宽、3米高的大件或特殊外形的运输件，卖方应在合同设备装运前30天将注明合同设备重心、吊点等包装草图、捆绑示意图及吊装运输整体方案等一式陆份提交买方。</w:t>
      </w:r>
    </w:p>
    <w:p w14:paraId="7F1C1AB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卖方负责办理货物运输并负责按本合同约定或买方书面通知确定的供货时间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将货物运至买方指定地点，所涉各项运输费、装车费、转运费、保险等一切有关费用均包含在合同价格范围内。</w:t>
      </w:r>
    </w:p>
    <w:p w14:paraId="66D1BDC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如果合同设备中有油漆、化工用品等易燃品和危险品，卖方应在装运前30天将标有合同设备名称、仓储措施和事故处理方法的说明书一式陆份提交买方。</w:t>
      </w:r>
    </w:p>
    <w:p w14:paraId="0C8E6C82">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5.3.9 合同设备在运输和仓储时，如对温度、湿度、重心及震动等方面有特殊要求，卖方应在装运前30天将标有合同设备名称和注意事项的说明书一式陆份提交买方。该说明书及装运布置图将作为买方安排运输及保管的基础。</w:t>
      </w:r>
    </w:p>
    <w:p w14:paraId="3FAD06F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5.3.10</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货物运输方式由卖方按照货物的性能、规格等条件、要求自行决定，但应当采取有利于保护货物且不影响供货时间的方式进行运输。</w:t>
      </w:r>
    </w:p>
    <w:p w14:paraId="525F4CB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卖方在送货过程中对可能引起的路桥加固、损毁后修复、人员伤亡等承担责任，并负责所产生一切费用。</w:t>
      </w:r>
    </w:p>
    <w:p w14:paraId="184DF74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卖方在送货过程中因公安、交警、城管等执法部门规定白天不准行车或晚上城市主干道不准行车而带来的不便，由卖方自行协调，卖方不能要求追加任何费用，也不能据此延误交货。</w:t>
      </w:r>
    </w:p>
    <w:p w14:paraId="716C4C08">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5.3.13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卖方在货物装卸、运输过程中因违反法律、法规而遭受行政处罚或造成任何人身财产损失与买方无关，由卖方负责处理并负全部责任。</w:t>
      </w:r>
    </w:p>
    <w:p w14:paraId="315AC4B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 交 付</w:t>
      </w:r>
      <w:bookmarkEnd w:id="762"/>
      <w:bookmarkEnd w:id="763"/>
    </w:p>
    <w:p w14:paraId="57CAD3B0">
      <w:pPr>
        <w:kinsoku/>
        <w:topLinePunct/>
        <w:autoSpaceDE/>
        <w:autoSpaceDN/>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sz w:val="24"/>
          <w:szCs w:val="24"/>
          <w:highlight w:val="none"/>
        </w:rPr>
        <w:t>5.4.1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（修改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卖方应根据合同</w:t>
      </w:r>
      <w:r>
        <w:rPr>
          <w:rFonts w:hint="eastAsia" w:ascii="宋体" w:hAnsi="宋体" w:eastAsia="宋体" w:cs="宋体"/>
          <w:color w:val="auto"/>
          <w:sz w:val="24"/>
          <w:szCs w:val="24"/>
          <w:highlight w:val="none"/>
          <w:lang w:val="en-US" w:eastAsia="zh-CN"/>
        </w:rPr>
        <w:t>或交货通知书</w:t>
      </w:r>
      <w:r>
        <w:rPr>
          <w:rFonts w:hint="eastAsia" w:ascii="宋体" w:hAnsi="宋体" w:eastAsia="宋体" w:cs="宋体"/>
          <w:color w:val="auto"/>
          <w:sz w:val="24"/>
          <w:szCs w:val="24"/>
          <w:highlight w:val="none"/>
        </w:rPr>
        <w:t>约定交付时间和批次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交货</w:t>
      </w: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点</w:t>
      </w:r>
      <w:r>
        <w:rPr>
          <w:rFonts w:hint="eastAsia" w:ascii="宋体" w:hAnsi="宋体" w:eastAsia="宋体" w:cs="宋体"/>
          <w:color w:val="auto"/>
          <w:sz w:val="24"/>
          <w:szCs w:val="24"/>
          <w:highlight w:val="none"/>
        </w:rPr>
        <w:t>将</w:t>
      </w:r>
      <w:r>
        <w:rPr>
          <w:rFonts w:hint="eastAsia" w:ascii="宋体" w:hAnsi="宋体" w:eastAsia="宋体" w:cs="宋体"/>
          <w:color w:val="auto"/>
          <w:sz w:val="24"/>
          <w:szCs w:val="24"/>
          <w:highlight w:val="none"/>
          <w:lang w:val="en-US" w:eastAsia="zh-CN"/>
        </w:rPr>
        <w:t>阀门等设备</w:t>
      </w:r>
      <w:r>
        <w:rPr>
          <w:rFonts w:hint="eastAsia" w:ascii="宋体" w:hAnsi="宋体" w:eastAsia="宋体" w:cs="宋体"/>
          <w:color w:val="auto"/>
          <w:sz w:val="24"/>
          <w:szCs w:val="24"/>
          <w:highlight w:val="none"/>
        </w:rPr>
        <w:t>采购交付给买方。</w:t>
      </w:r>
      <w:r>
        <w:rPr>
          <w:rFonts w:hint="eastAsia" w:ascii="宋体" w:hAnsi="宋体" w:eastAsia="宋体" w:cs="宋体"/>
          <w:color w:val="auto"/>
          <w:sz w:val="24"/>
          <w:szCs w:val="24"/>
          <w:highlight w:val="none"/>
          <w:lang w:val="en-US" w:eastAsia="zh-CN"/>
        </w:rPr>
        <w:t>卖方、</w:t>
      </w:r>
      <w:r>
        <w:rPr>
          <w:rFonts w:hint="eastAsia" w:ascii="宋体" w:hAnsi="宋体" w:eastAsia="宋体" w:cs="宋体"/>
          <w:color w:val="auto"/>
          <w:sz w:val="24"/>
          <w:szCs w:val="24"/>
          <w:highlight w:val="none"/>
        </w:rPr>
        <w:t>买方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监理、施工单位</w:t>
      </w:r>
      <w:r>
        <w:rPr>
          <w:rFonts w:hint="eastAsia" w:ascii="宋体" w:hAnsi="宋体" w:eastAsia="宋体" w:cs="宋体"/>
          <w:color w:val="auto"/>
          <w:sz w:val="24"/>
          <w:szCs w:val="24"/>
          <w:highlight w:val="none"/>
        </w:rPr>
        <w:t>对卖方交付</w:t>
      </w:r>
      <w:r>
        <w:rPr>
          <w:rFonts w:hint="eastAsia" w:ascii="宋体" w:hAnsi="宋体" w:eastAsia="宋体" w:cs="宋体"/>
          <w:color w:val="auto"/>
          <w:sz w:val="24"/>
          <w:szCs w:val="24"/>
          <w:highlight w:val="none"/>
          <w:lang w:val="en-US" w:eastAsia="zh-CN"/>
        </w:rPr>
        <w:t>阀门等设备</w:t>
      </w:r>
      <w:r>
        <w:rPr>
          <w:rFonts w:hint="eastAsia" w:ascii="宋体" w:hAnsi="宋体" w:eastAsia="宋体" w:cs="宋体"/>
          <w:color w:val="auto"/>
          <w:sz w:val="24"/>
          <w:szCs w:val="24"/>
          <w:highlight w:val="none"/>
        </w:rPr>
        <w:t>外观及数</w:t>
      </w:r>
      <w:r>
        <w:rPr>
          <w:rFonts w:hint="eastAsia" w:ascii="宋体" w:hAnsi="宋体" w:eastAsia="宋体" w:cs="宋体"/>
          <w:color w:val="auto"/>
          <w:sz w:val="24"/>
          <w:szCs w:val="24"/>
          <w:highlight w:val="none"/>
          <w:lang w:val="en-US" w:eastAsia="zh-CN"/>
        </w:rPr>
        <w:t>量</w:t>
      </w:r>
      <w:r>
        <w:rPr>
          <w:rFonts w:hint="eastAsia" w:ascii="宋体" w:hAnsi="宋体" w:eastAsia="宋体" w:cs="宋体"/>
          <w:color w:val="auto"/>
          <w:sz w:val="24"/>
          <w:szCs w:val="24"/>
          <w:highlight w:val="none"/>
        </w:rPr>
        <w:t>进行清点核验后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应签发收货清单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买方签发收货清单不代表对</w:t>
      </w:r>
      <w:r>
        <w:rPr>
          <w:rFonts w:hint="eastAsia" w:ascii="宋体" w:hAnsi="宋体" w:eastAsia="宋体" w:cs="宋体"/>
          <w:color w:val="auto"/>
          <w:sz w:val="24"/>
          <w:szCs w:val="24"/>
          <w:highlight w:val="none"/>
          <w:lang w:val="en-US" w:eastAsia="zh-CN"/>
        </w:rPr>
        <w:t>阀门等设备</w:t>
      </w:r>
      <w:r>
        <w:rPr>
          <w:rFonts w:hint="eastAsia" w:ascii="宋体" w:hAnsi="宋体" w:eastAsia="宋体" w:cs="宋体"/>
          <w:color w:val="auto"/>
          <w:sz w:val="24"/>
          <w:szCs w:val="24"/>
          <w:highlight w:val="none"/>
        </w:rPr>
        <w:t>的接受，双方还应按合同约定进行后续的检验和验收。</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有权根据现场情况决定延迟</w:t>
      </w:r>
      <w:r>
        <w:rPr>
          <w:rFonts w:hint="eastAsia" w:ascii="宋体" w:hAnsi="宋体" w:eastAsia="宋体" w:cs="宋体"/>
          <w:color w:val="auto"/>
          <w:sz w:val="24"/>
          <w:szCs w:val="24"/>
          <w:highlight w:val="none"/>
          <w:lang w:val="en-US" w:eastAsia="zh-CN"/>
        </w:rPr>
        <w:t>或提前阀门等设备</w:t>
      </w:r>
      <w:r>
        <w:rPr>
          <w:rFonts w:hint="eastAsia" w:ascii="宋体" w:hAnsi="宋体" w:eastAsia="宋体" w:cs="宋体"/>
          <w:color w:val="auto"/>
          <w:sz w:val="24"/>
          <w:szCs w:val="24"/>
          <w:highlight w:val="none"/>
        </w:rPr>
        <w:t>交付</w:t>
      </w:r>
      <w:r>
        <w:rPr>
          <w:rFonts w:hint="eastAsia" w:ascii="宋体" w:hAnsi="宋体" w:eastAsia="宋体" w:cs="宋体"/>
          <w:color w:val="auto"/>
          <w:sz w:val="24"/>
          <w:szCs w:val="24"/>
          <w:highlight w:val="none"/>
          <w:lang w:val="en-US" w:eastAsia="zh-CN"/>
        </w:rPr>
        <w:t>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卖方应接受</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也</w:t>
      </w:r>
      <w:r>
        <w:rPr>
          <w:rFonts w:hint="eastAsia" w:ascii="宋体" w:hAnsi="宋体" w:eastAsia="宋体" w:cs="宋体"/>
          <w:color w:val="auto"/>
          <w:sz w:val="24"/>
          <w:szCs w:val="24"/>
          <w:highlight w:val="none"/>
        </w:rPr>
        <w:t>不得因此增加合同金额。</w:t>
      </w:r>
      <w:r>
        <w:rPr>
          <w:rFonts w:hint="eastAsia" w:ascii="宋体" w:hAnsi="宋体" w:eastAsia="宋体" w:cs="宋体"/>
          <w:color w:val="auto"/>
          <w:kern w:val="2"/>
          <w:sz w:val="24"/>
          <w:szCs w:val="24"/>
          <w:highlight w:val="none"/>
          <w:lang w:val="en-US" w:eastAsia="zh-CN"/>
        </w:rPr>
        <w:t>卖方在收到每批次买方交货通知后，30天内供货不少于20%，90天内全部供货完成。卖方应按买方要求，将</w:t>
      </w:r>
      <w:r>
        <w:rPr>
          <w:rFonts w:hint="eastAsia" w:ascii="宋体" w:hAnsi="宋体" w:eastAsia="宋体" w:cs="宋体"/>
          <w:color w:val="auto"/>
          <w:sz w:val="24"/>
          <w:szCs w:val="24"/>
          <w:highlight w:val="none"/>
          <w:lang w:val="en-US" w:eastAsia="zh-CN"/>
        </w:rPr>
        <w:t>阀门等设备</w:t>
      </w:r>
      <w:r>
        <w:rPr>
          <w:rFonts w:hint="eastAsia" w:ascii="宋体" w:hAnsi="宋体" w:eastAsia="宋体" w:cs="宋体"/>
          <w:color w:val="auto"/>
          <w:kern w:val="2"/>
          <w:sz w:val="24"/>
          <w:szCs w:val="24"/>
          <w:highlight w:val="none"/>
          <w:lang w:val="en-US" w:eastAsia="zh-CN"/>
        </w:rPr>
        <w:t>送达各标段工地现场指定的地点，卖方应接受。</w:t>
      </w:r>
    </w:p>
    <w:p w14:paraId="3FC72886">
      <w:pPr>
        <w:kinsoku/>
        <w:topLinePunct/>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5.4.2 （修改）</w:t>
      </w:r>
      <w:r>
        <w:rPr>
          <w:rFonts w:hint="eastAsia" w:ascii="宋体" w:hAnsi="宋体" w:eastAsia="宋体" w:cs="宋体"/>
          <w:color w:val="auto"/>
          <w:kern w:val="2"/>
          <w:sz w:val="24"/>
          <w:szCs w:val="24"/>
          <w:highlight w:val="none"/>
        </w:rPr>
        <w:t>合同设备</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材料</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所有权和风险</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自交付时起由卖方转移至买方，合同设备</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材料</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交付给买方之前包括运输在内的所有风险均由卖方承担</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卖方在货物运抵施工现场的卸货费用由施工单位承担，不包含在合同单价中。</w:t>
      </w:r>
    </w:p>
    <w:p w14:paraId="12C945E7">
      <w:pPr>
        <w:kinsoku/>
        <w:wordWrap/>
        <w:overflowPunct w:val="0"/>
        <w:topLinePunct/>
        <w:autoSpaceDE/>
        <w:autoSpaceDN/>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5.4.3 （补充）货物到货验收</w:t>
      </w:r>
    </w:p>
    <w:p w14:paraId="34BD1167">
      <w:pPr>
        <w:kinsoku/>
        <w:wordWrap/>
        <w:overflowPunct w:val="0"/>
        <w:topLinePunct/>
        <w:autoSpaceDE/>
        <w:autoSpaceDN/>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（1）货物运抵施工现场后，由买方、监理、卖方、施工单位共同进行到货验收，到货验收仅对外观质量、规格、数量等进行验收，并出具到货验收证明，卖方还应提供合格证、质量保证书、检验报告等资料。</w:t>
      </w:r>
    </w:p>
    <w:p w14:paraId="2B00269D">
      <w:pPr>
        <w:kinsoku/>
        <w:wordWrap/>
        <w:overflowPunct w:val="0"/>
        <w:topLinePunct/>
        <w:autoSpaceDE/>
        <w:autoSpaceDN/>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（2）货物验收未满足验收要求，买方不予签收确认。由卖方负责更换，并承担相应费用。对买方造成损失的，由卖方承担。</w:t>
      </w:r>
    </w:p>
    <w:p w14:paraId="6C2AF2B2">
      <w:pPr>
        <w:kinsoku/>
        <w:topLinePunct/>
        <w:spacing w:beforeLines="0" w:afterLines="0" w:line="360" w:lineRule="auto"/>
        <w:ind w:firstLine="480" w:firstLineChars="200"/>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（3）到货验收仅对货物的外观质量、规格、数量进行验收，验收后并不解除卖方对货物在制造质量上应负的全部责任，对于从外观上难以识别的瑕疵，买方在合理期限内均可提出质量异议。</w:t>
      </w:r>
    </w:p>
    <w:p w14:paraId="5EE94A9F">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5.4.4</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卖方应严格按</w:t>
      </w:r>
      <w:r>
        <w:rPr>
          <w:rFonts w:hint="eastAsia" w:ascii="宋体" w:hAnsi="宋体" w:eastAsia="宋体" w:cs="宋体"/>
          <w:snapToGrid w:val="0"/>
          <w:color w:val="auto"/>
          <w:kern w:val="2"/>
          <w:sz w:val="24"/>
          <w:szCs w:val="24"/>
          <w:highlight w:val="none"/>
          <w:lang w:val="en-US" w:eastAsia="zh-CN"/>
        </w:rPr>
        <w:t>相关</w:t>
      </w:r>
      <w:r>
        <w:rPr>
          <w:rFonts w:hint="eastAsia" w:ascii="宋体" w:hAnsi="宋体" w:eastAsia="宋体" w:cs="宋体"/>
          <w:snapToGrid w:val="0"/>
          <w:color w:val="auto"/>
          <w:kern w:val="2"/>
          <w:sz w:val="24"/>
          <w:szCs w:val="24"/>
          <w:highlight w:val="none"/>
        </w:rPr>
        <w:t>规定</w:t>
      </w:r>
      <w:r>
        <w:rPr>
          <w:rFonts w:hint="eastAsia" w:ascii="宋体" w:hAnsi="宋体" w:eastAsia="宋体" w:cs="宋体"/>
          <w:snapToGrid w:val="0"/>
          <w:color w:val="auto"/>
          <w:kern w:val="2"/>
          <w:sz w:val="24"/>
          <w:szCs w:val="24"/>
          <w:highlight w:val="none"/>
          <w:lang w:val="en-US" w:eastAsia="zh-CN"/>
        </w:rPr>
        <w:t>和要求</w:t>
      </w:r>
      <w:r>
        <w:rPr>
          <w:rFonts w:hint="eastAsia" w:ascii="宋体" w:hAnsi="宋体" w:eastAsia="宋体" w:cs="宋体"/>
          <w:snapToGrid w:val="0"/>
          <w:color w:val="auto"/>
          <w:kern w:val="2"/>
          <w:sz w:val="24"/>
          <w:szCs w:val="24"/>
          <w:highlight w:val="none"/>
        </w:rPr>
        <w:t>提交技术文件。</w:t>
      </w:r>
    </w:p>
    <w:p w14:paraId="25F55319">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5.4.5</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卖方提交技术文件的交付地点为</w:t>
      </w:r>
      <w:r>
        <w:rPr>
          <w:rFonts w:hint="eastAsia" w:ascii="宋体" w:hAnsi="宋体" w:eastAsia="宋体" w:cs="宋体"/>
          <w:snapToGrid w:val="0"/>
          <w:color w:val="auto"/>
          <w:kern w:val="2"/>
          <w:sz w:val="24"/>
          <w:szCs w:val="24"/>
          <w:highlight w:val="none"/>
          <w:lang w:val="en-US" w:eastAsia="zh-CN"/>
        </w:rPr>
        <w:t>浙江镜岭水库</w:t>
      </w:r>
      <w:r>
        <w:rPr>
          <w:rFonts w:hint="eastAsia" w:ascii="宋体" w:hAnsi="宋体" w:eastAsia="宋体" w:cs="宋体"/>
          <w:snapToGrid w:val="0"/>
          <w:color w:val="auto"/>
          <w:kern w:val="2"/>
          <w:sz w:val="24"/>
          <w:szCs w:val="24"/>
          <w:highlight w:val="none"/>
        </w:rPr>
        <w:t>工程施工现场或买方指定地点，具体以买方指定为准。如有必要，卖方应派专人提交技术文件。技术文件送达买方签收时间</w:t>
      </w:r>
      <w:r>
        <w:rPr>
          <w:rFonts w:hint="eastAsia" w:ascii="宋体" w:hAnsi="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为技术文件交付时间</w:t>
      </w:r>
      <w:r>
        <w:rPr>
          <w:rFonts w:hint="eastAsia" w:ascii="宋体" w:hAnsi="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交付时间以买方签字时间为准。</w:t>
      </w:r>
    </w:p>
    <w:p w14:paraId="77E4E87F">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5.4.6</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卖方应确保其提交技术文件正确、完整、清晰，并能满足合同设备设计、检验、安装、调试、试运行、验收试验、运行和维护要求。</w:t>
      </w:r>
    </w:p>
    <w:p w14:paraId="4D1F0822">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5.4.7</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如果卖方提供技术文件不完整和不符合合同规定，卖方应在收到买方通知后20天内进行必要的修正和补充，并向买方免费重新提交正确、完整、清晰的文件。如果再次提交文件晚于上述天数，卖方应按违约条款支付违约金。如果卖方提交的技术文件有遗漏和错误，卖方应向买方补偿买方由此而引</w:t>
      </w:r>
      <w:r>
        <w:rPr>
          <w:rFonts w:hint="eastAsia" w:ascii="宋体" w:hAnsi="宋体" w:eastAsia="宋体" w:cs="宋体"/>
          <w:snapToGrid w:val="0"/>
          <w:color w:val="auto"/>
          <w:kern w:val="2"/>
          <w:sz w:val="24"/>
          <w:szCs w:val="24"/>
          <w:highlight w:val="none"/>
          <w:lang w:eastAsia="zh-CN"/>
        </w:rPr>
        <w:t>起的</w:t>
      </w:r>
      <w:r>
        <w:rPr>
          <w:rFonts w:hint="eastAsia" w:ascii="宋体" w:hAnsi="宋体" w:eastAsia="宋体" w:cs="宋体"/>
          <w:snapToGrid w:val="0"/>
          <w:color w:val="auto"/>
          <w:kern w:val="2"/>
          <w:sz w:val="24"/>
          <w:szCs w:val="24"/>
          <w:highlight w:val="none"/>
          <w:lang w:val="en-US" w:eastAsia="zh-CN"/>
        </w:rPr>
        <w:t>损失</w:t>
      </w:r>
      <w:r>
        <w:rPr>
          <w:rFonts w:hint="eastAsia" w:ascii="宋体" w:hAnsi="宋体" w:eastAsia="宋体" w:cs="宋体"/>
          <w:snapToGrid w:val="0"/>
          <w:color w:val="auto"/>
          <w:kern w:val="2"/>
          <w:sz w:val="24"/>
          <w:szCs w:val="24"/>
          <w:highlight w:val="none"/>
        </w:rPr>
        <w:t>。</w:t>
      </w:r>
    </w:p>
    <w:p w14:paraId="574F03EB">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5.4.8</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如卖方通过快递方式提交技术文件，应在发出快件时，提前通知买方：</w:t>
      </w:r>
    </w:p>
    <w:p w14:paraId="420F2DBF">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（1）快件交寄单副本；</w:t>
      </w:r>
    </w:p>
    <w:p w14:paraId="640EE947">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（2）发运技术文件详细清单。</w:t>
      </w:r>
    </w:p>
    <w:p w14:paraId="3A1DC11D">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5.4.9</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技术文件及有关资料费用已包括在合同设备价格中，不再单独支付。</w:t>
      </w:r>
    </w:p>
    <w:p w14:paraId="32B96C5F">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5.4.10</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合同设备的部件分开装箱，在装运时进行物理分隔，并在包装箱上明确标注合同设备的部件名称，卖方必须保证所有合同设备交货</w:t>
      </w:r>
      <w:r>
        <w:rPr>
          <w:rFonts w:hint="eastAsia" w:ascii="宋体" w:hAnsi="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包括附件</w:t>
      </w:r>
      <w:r>
        <w:rPr>
          <w:rFonts w:hint="eastAsia" w:ascii="宋体" w:hAnsi="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一起成套提供。</w:t>
      </w:r>
    </w:p>
    <w:p w14:paraId="6CB96504">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5.4.1</w:t>
      </w:r>
      <w:r>
        <w:rPr>
          <w:rFonts w:hint="eastAsia" w:ascii="宋体" w:hAnsi="宋体" w:eastAsia="宋体" w:cs="宋体"/>
          <w:snapToGrid w:val="0"/>
          <w:color w:val="auto"/>
          <w:kern w:val="2"/>
          <w:sz w:val="24"/>
          <w:szCs w:val="24"/>
          <w:highlight w:val="none"/>
          <w:lang w:val="en-US" w:eastAsia="zh-CN"/>
        </w:rPr>
        <w:t>1</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对要求整批到货的合同设备和按合同要求必须成套提供的合同设备，卖方不得分批装运发货。</w:t>
      </w:r>
    </w:p>
    <w:p w14:paraId="76D0E7AB">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5.4.12</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卖方应编制并向买方提供装箱清单，清单应分为装箱总清单和详细装箱清单，并提供电子文档。装箱总清单应描述该批交货设备名称和总体情况，内容应包括该批次交货设备或部件的名称、编号、重量、体积、箱件数和每个箱件编号、体积、重量等。详细装箱清单应描述每个箱件里设备零部件信息，内容包括零部件名称、规格型号、图号、对应部件号、计量单位、数量、重量及所属部件名称</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或编号</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。买方可要求卖方按照认可或规定的装箱单标准格式进行填写。</w:t>
      </w:r>
    </w:p>
    <w:p w14:paraId="298E1EF4">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lang w:eastAsia="zh-CN"/>
        </w:rPr>
      </w:pPr>
      <w:r>
        <w:rPr>
          <w:rFonts w:hint="eastAsia" w:ascii="宋体" w:hAnsi="宋体" w:eastAsia="宋体" w:cs="宋体"/>
          <w:snapToGrid w:val="0"/>
          <w:color w:val="auto"/>
          <w:kern w:val="2"/>
          <w:sz w:val="24"/>
          <w:szCs w:val="24"/>
          <w:highlight w:val="none"/>
        </w:rPr>
        <w:t>5.4.1</w:t>
      </w:r>
      <w:r>
        <w:rPr>
          <w:rFonts w:hint="eastAsia" w:ascii="宋体" w:hAnsi="宋体" w:eastAsia="宋体" w:cs="宋体"/>
          <w:snapToGrid w:val="0"/>
          <w:color w:val="auto"/>
          <w:kern w:val="2"/>
          <w:sz w:val="24"/>
          <w:szCs w:val="24"/>
          <w:highlight w:val="none"/>
          <w:lang w:val="en-US" w:eastAsia="zh-CN"/>
        </w:rPr>
        <w:t>3</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卖方应保证提供的交货文件</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如货运单、发票、装箱单</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数据</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如数量、重量、金额等</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前后一致，发票必须标明价格要素如名称、金额、价格术语、对应合同设备价格表项目、序号、编号与价格等，不同货物价格需分列；对合同供货的任何变更</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如补发、漏发、产地变更等</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都需提供书面说明；交货文件须统一使用合同语言</w:t>
      </w:r>
      <w:r>
        <w:rPr>
          <w:rFonts w:hint="eastAsia" w:ascii="宋体" w:hAnsi="宋体" w:eastAsia="宋体" w:cs="宋体"/>
          <w:snapToGrid w:val="0"/>
          <w:color w:val="auto"/>
          <w:kern w:val="2"/>
          <w:sz w:val="24"/>
          <w:szCs w:val="24"/>
          <w:highlight w:val="none"/>
          <w:lang w:eastAsia="zh-CN"/>
        </w:rPr>
        <w:t>。</w:t>
      </w:r>
    </w:p>
    <w:p w14:paraId="11F0CB4A">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 通知</w:t>
      </w:r>
    </w:p>
    <w:p w14:paraId="78AADA12">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5.5.1</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合同设备装运通知</w:t>
      </w:r>
    </w:p>
    <w:p w14:paraId="521BACDE">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5.5.1.1卖方应在每批交货前30天（采用空运方式时提前14天），用传真或邮件通知买方如下内容：</w:t>
      </w:r>
    </w:p>
    <w:p w14:paraId="5C1D5770">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（1）合同号</w:t>
      </w:r>
    </w:p>
    <w:p w14:paraId="21AA7F68">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（2）合同设备名称、设备编号和部件号</w:t>
      </w:r>
    </w:p>
    <w:p w14:paraId="33FF76FC">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（3）数量</w:t>
      </w:r>
    </w:p>
    <w:p w14:paraId="0C1F2A7F">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（4）包装数量</w:t>
      </w:r>
    </w:p>
    <w:p w14:paraId="6ED8C3BA">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（5）总毛重</w:t>
      </w:r>
    </w:p>
    <w:p w14:paraId="0AEF0DB5">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（6）总体积</w:t>
      </w:r>
    </w:p>
    <w:p w14:paraId="64D19B83">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（7）装运地／车站名称</w:t>
      </w:r>
    </w:p>
    <w:p w14:paraId="2DBB82C5">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（8）准备从装运地／车站出发日期</w:t>
      </w:r>
    </w:p>
    <w:p w14:paraId="05CC5496">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（9）预计到达目的地/站日期</w:t>
      </w:r>
    </w:p>
    <w:p w14:paraId="75342466">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（10）水运船只名称或空运航线名称和航班号或铁路运输车次</w:t>
      </w:r>
    </w:p>
    <w:p w14:paraId="3CA8F134">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（11）生产地</w:t>
      </w:r>
    </w:p>
    <w:p w14:paraId="3D792115">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（12）制造厂商与卖方</w:t>
      </w:r>
    </w:p>
    <w:p w14:paraId="2736F75E">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同时，卖方应将装运合同设备的详细装箱清单和说明资料传真或邮件发送给买方，说明资料上面应载明合同号、合同设备描述、规格、数量、箱件或每包件毛重、总毛重、每包总体积和尺寸（长×宽×高），包装数量、装运合同设备总价值、装运地、准备启运日期、预计启运日期以及其它在运输和仓储中特殊要求和必要的注意事项。买方如有异议应尽快给予答复。</w:t>
      </w:r>
    </w:p>
    <w:p w14:paraId="2451A99B">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5.5.1.2卖方应在卖方所订运输工具预计自装运地出发以前7天，用传真或邮件将运输工具名称和装运港（或启运地）、装运日期、目的地、预计到达目的地日期、合同号、合同设备简介、数量、总毛重、总体积以及其它在运输和仓储中</w:t>
      </w:r>
      <w:r>
        <w:rPr>
          <w:rFonts w:hint="eastAsia" w:ascii="宋体" w:hAnsi="宋体" w:cs="宋体"/>
          <w:snapToGrid w:val="0"/>
          <w:color w:val="auto"/>
          <w:kern w:val="2"/>
          <w:sz w:val="24"/>
          <w:szCs w:val="24"/>
          <w:highlight w:val="none"/>
          <w:lang w:val="en-US" w:eastAsia="zh-CN"/>
        </w:rPr>
        <w:t>的</w:t>
      </w:r>
      <w:r>
        <w:rPr>
          <w:rFonts w:hint="eastAsia" w:ascii="宋体" w:hAnsi="宋体" w:eastAsia="宋体" w:cs="宋体"/>
          <w:snapToGrid w:val="0"/>
          <w:color w:val="auto"/>
          <w:kern w:val="2"/>
          <w:sz w:val="24"/>
          <w:szCs w:val="24"/>
          <w:highlight w:val="none"/>
        </w:rPr>
        <w:t>特殊要求和必要的注意事项通知买方。</w:t>
      </w:r>
    </w:p>
    <w:p w14:paraId="2EC4D318">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5.5.1.3卖方应在合同设备装载完毕后24小时内，用传真或邮件将合同号、提单号、合同设备简介、数量、毛重、体积、发票金额、载运船只（或车辆）名称和启运日期通知买方。</w:t>
      </w:r>
    </w:p>
    <w:p w14:paraId="51973BDB">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5.5.2</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合同设备交货文件提交</w:t>
      </w:r>
    </w:p>
    <w:p w14:paraId="0412FD5F">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5.5.2.1卖方应在合同设备装载完毕后12小时内，将水运提单</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或铁路运单或汽车运单</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、附有装箱单、质量证书、保险单、产地证明书等单据交买方，以便买方及时办理接货手续。同时卖方应将工厂试验记录、工厂</w:t>
      </w:r>
      <w:r>
        <w:rPr>
          <w:rFonts w:hint="eastAsia" w:ascii="宋体" w:hAnsi="宋体" w:eastAsia="宋体" w:cs="宋体"/>
          <w:snapToGrid w:val="0"/>
          <w:color w:val="auto"/>
          <w:kern w:val="2"/>
          <w:sz w:val="24"/>
          <w:szCs w:val="24"/>
          <w:highlight w:val="none"/>
          <w:lang w:eastAsia="zh-CN"/>
        </w:rPr>
        <w:t>试验报告</w:t>
      </w:r>
      <w:r>
        <w:rPr>
          <w:rFonts w:hint="eastAsia" w:ascii="宋体" w:hAnsi="宋体" w:eastAsia="宋体" w:cs="宋体"/>
          <w:snapToGrid w:val="0"/>
          <w:color w:val="auto"/>
          <w:kern w:val="2"/>
          <w:sz w:val="24"/>
          <w:szCs w:val="24"/>
          <w:highlight w:val="none"/>
        </w:rPr>
        <w:t>和安装图纸提交给买方。</w:t>
      </w:r>
    </w:p>
    <w:p w14:paraId="4E1D940E">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5.5.2.2上述单证和文件在设备运抵交货地点前至少3天收到。如果由于卖方责任，卖方未能将上述单证和文件按本条要求</w:t>
      </w:r>
      <w:r>
        <w:rPr>
          <w:rFonts w:hint="eastAsia" w:ascii="宋体" w:hAnsi="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按时并准确提交给买方，则卖方应承担由此而引起的包括滞报金、疏港费、仓储费、集装箱超期使用费等在内的一切有关费用。</w:t>
      </w:r>
    </w:p>
    <w:p w14:paraId="6D8FC0E0">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5.5.3</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交货地点</w:t>
      </w:r>
    </w:p>
    <w:p w14:paraId="7FD7961A">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5.5.3.1合同设备交货地点：</w:t>
      </w:r>
      <w:r>
        <w:rPr>
          <w:rFonts w:hint="eastAsia" w:ascii="宋体" w:hAnsi="宋体" w:eastAsia="宋体" w:cs="宋体"/>
          <w:snapToGrid w:val="0"/>
          <w:color w:val="auto"/>
          <w:kern w:val="2"/>
          <w:sz w:val="24"/>
          <w:szCs w:val="24"/>
          <w:highlight w:val="none"/>
          <w:lang w:val="en-US" w:eastAsia="zh-CN"/>
        </w:rPr>
        <w:t>浙江镜岭水库</w:t>
      </w:r>
      <w:r>
        <w:rPr>
          <w:rFonts w:hint="eastAsia" w:ascii="宋体" w:hAnsi="宋体" w:eastAsia="宋体" w:cs="宋体"/>
          <w:snapToGrid w:val="0"/>
          <w:color w:val="auto"/>
          <w:kern w:val="2"/>
          <w:sz w:val="24"/>
          <w:szCs w:val="24"/>
          <w:highlight w:val="none"/>
        </w:rPr>
        <w:t>工程</w:t>
      </w:r>
      <w:r>
        <w:rPr>
          <w:rFonts w:hint="eastAsia" w:ascii="宋体" w:hAnsi="宋体" w:cs="宋体"/>
          <w:snapToGrid w:val="0"/>
          <w:color w:val="auto"/>
          <w:kern w:val="2"/>
          <w:sz w:val="24"/>
          <w:szCs w:val="24"/>
          <w:highlight w:val="none"/>
          <w:lang w:val="en-US" w:eastAsia="zh-CN"/>
        </w:rPr>
        <w:t>指定的</w:t>
      </w:r>
      <w:r>
        <w:rPr>
          <w:rFonts w:hint="eastAsia" w:ascii="宋体" w:hAnsi="宋体" w:eastAsia="宋体" w:cs="宋体"/>
          <w:snapToGrid w:val="0"/>
          <w:color w:val="auto"/>
          <w:kern w:val="2"/>
          <w:sz w:val="24"/>
          <w:szCs w:val="24"/>
          <w:highlight w:val="none"/>
        </w:rPr>
        <w:t>施工现场或买方指定地点。</w:t>
      </w:r>
    </w:p>
    <w:p w14:paraId="42FF352E">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5.5.3.2本合同设备交货方式：以买方指定的地点车板交货。</w:t>
      </w:r>
    </w:p>
    <w:p w14:paraId="7CD23FD2">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（1）交货时卖方应对买方的设备装卸、贮存、运输进行技术指导，并在交货前进一步提交详细的设备装卸、贮存和运输方案与要求。</w:t>
      </w:r>
    </w:p>
    <w:p w14:paraId="0640586F">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（2）因卖方技术指导失误，或提交的详细设备装卸、贮存和运输方案错误，导致</w:t>
      </w:r>
      <w:r>
        <w:rPr>
          <w:rFonts w:hint="eastAsia" w:ascii="宋体" w:hAnsi="宋体" w:cs="宋体"/>
          <w:snapToGrid w:val="0"/>
          <w:color w:val="auto"/>
          <w:kern w:val="2"/>
          <w:sz w:val="24"/>
          <w:szCs w:val="24"/>
          <w:highlight w:val="none"/>
          <w:lang w:val="en-US" w:eastAsia="zh-CN"/>
        </w:rPr>
        <w:t>安装单位</w:t>
      </w:r>
      <w:r>
        <w:rPr>
          <w:rFonts w:hint="eastAsia" w:ascii="宋体" w:hAnsi="宋体" w:eastAsia="宋体" w:cs="宋体"/>
          <w:snapToGrid w:val="0"/>
          <w:color w:val="auto"/>
          <w:kern w:val="2"/>
          <w:sz w:val="24"/>
          <w:szCs w:val="24"/>
          <w:highlight w:val="none"/>
        </w:rPr>
        <w:t>在装卸、贮存和运输设备时</w:t>
      </w:r>
      <w:r>
        <w:rPr>
          <w:rFonts w:hint="eastAsia" w:ascii="宋体" w:hAnsi="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操作不当而造成的设备损坏责任由卖方承担，同时卖方应赔偿买方相应损失。</w:t>
      </w:r>
    </w:p>
    <w:p w14:paraId="752896BE">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5.5.3.3如有必要，用于工地安装、调试和运行紧急需求的小件货物、小型专用工具、零配件和已交货物的小型短缺件，卖方应采用空运方式并运送到工地。</w:t>
      </w:r>
    </w:p>
    <w:p w14:paraId="32A87BBA">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5.6</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延期交货</w:t>
      </w:r>
    </w:p>
    <w:p w14:paraId="28FD9C00">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买方</w:t>
      </w:r>
      <w:r>
        <w:rPr>
          <w:rFonts w:hint="default" w:ascii="宋体" w:hAnsi="宋体" w:eastAsia="宋体" w:cs="宋体"/>
          <w:snapToGrid w:val="0"/>
          <w:color w:val="auto"/>
          <w:kern w:val="2"/>
          <w:sz w:val="24"/>
          <w:szCs w:val="24"/>
          <w:highlight w:val="none"/>
          <w:lang w:val="en-US"/>
        </w:rPr>
        <w:t>有权</w:t>
      </w:r>
      <w:r>
        <w:rPr>
          <w:rFonts w:hint="eastAsia" w:ascii="宋体" w:hAnsi="宋体" w:cs="宋体"/>
          <w:snapToGrid w:val="0"/>
          <w:color w:val="auto"/>
          <w:kern w:val="2"/>
          <w:sz w:val="24"/>
          <w:szCs w:val="24"/>
          <w:highlight w:val="none"/>
          <w:lang w:val="en-US" w:eastAsia="zh-CN"/>
        </w:rPr>
        <w:t>根据现场情况</w:t>
      </w:r>
      <w:r>
        <w:rPr>
          <w:rFonts w:hint="eastAsia" w:ascii="宋体" w:hAnsi="宋体" w:eastAsia="宋体" w:cs="宋体"/>
          <w:snapToGrid w:val="0"/>
          <w:color w:val="auto"/>
          <w:kern w:val="2"/>
          <w:sz w:val="24"/>
          <w:szCs w:val="24"/>
          <w:highlight w:val="none"/>
        </w:rPr>
        <w:t>调整交货进度，</w:t>
      </w:r>
      <w:r>
        <w:rPr>
          <w:rFonts w:hint="default" w:ascii="宋体" w:hAnsi="宋体" w:eastAsia="宋体" w:cs="宋体"/>
          <w:snapToGrid w:val="0"/>
          <w:color w:val="auto"/>
          <w:kern w:val="2"/>
          <w:sz w:val="24"/>
          <w:szCs w:val="24"/>
          <w:highlight w:val="none"/>
          <w:lang w:val="en-US"/>
        </w:rPr>
        <w:t>并</w:t>
      </w:r>
      <w:r>
        <w:rPr>
          <w:rFonts w:hint="eastAsia" w:ascii="宋体" w:hAnsi="宋体" w:eastAsia="宋体" w:cs="宋体"/>
          <w:snapToGrid w:val="0"/>
          <w:color w:val="auto"/>
          <w:kern w:val="2"/>
          <w:sz w:val="24"/>
          <w:szCs w:val="24"/>
          <w:highlight w:val="none"/>
        </w:rPr>
        <w:t>提前</w:t>
      </w:r>
      <w:r>
        <w:rPr>
          <w:rFonts w:hint="eastAsia" w:ascii="宋体" w:hAnsi="宋体" w:cs="宋体"/>
          <w:snapToGrid w:val="0"/>
          <w:color w:val="auto"/>
          <w:kern w:val="2"/>
          <w:sz w:val="24"/>
          <w:szCs w:val="24"/>
          <w:highlight w:val="none"/>
          <w:lang w:val="en-US" w:eastAsia="zh-CN"/>
        </w:rPr>
        <w:t>14</w:t>
      </w:r>
      <w:r>
        <w:rPr>
          <w:rFonts w:hint="eastAsia" w:ascii="宋体" w:hAnsi="宋体" w:eastAsia="宋体" w:cs="宋体"/>
          <w:snapToGrid w:val="0"/>
          <w:color w:val="auto"/>
          <w:kern w:val="2"/>
          <w:sz w:val="24"/>
          <w:szCs w:val="24"/>
          <w:highlight w:val="none"/>
        </w:rPr>
        <w:t>天通知卖方，卖方</w:t>
      </w:r>
      <w:r>
        <w:rPr>
          <w:rFonts w:hint="eastAsia" w:ascii="宋体" w:hAnsi="宋体" w:cs="宋体"/>
          <w:snapToGrid w:val="0"/>
          <w:color w:val="auto"/>
          <w:kern w:val="2"/>
          <w:sz w:val="24"/>
          <w:szCs w:val="24"/>
          <w:highlight w:val="none"/>
          <w:lang w:eastAsia="zh-CN"/>
        </w:rPr>
        <w:t>应接受</w:t>
      </w:r>
      <w:r>
        <w:rPr>
          <w:rFonts w:hint="eastAsia" w:ascii="宋体" w:hAnsi="宋体" w:eastAsia="宋体" w:cs="宋体"/>
          <w:snapToGrid w:val="0"/>
          <w:color w:val="auto"/>
          <w:kern w:val="2"/>
          <w:sz w:val="24"/>
          <w:szCs w:val="24"/>
          <w:highlight w:val="none"/>
        </w:rPr>
        <w:t>，并应对已制造完成的设备妥善保管，延期交货6个月内，延期产生的仓储、保管、保养等费用已包含在设备综合单价中，买方不另行支付；延期交货超过6个月，由此产生的仓储、保管、保养等费用，双方协商解决。</w:t>
      </w:r>
    </w:p>
    <w:p w14:paraId="190EDBC6">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5.7</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拒收</w:t>
      </w:r>
    </w:p>
    <w:p w14:paraId="5C775951">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5.7.1</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买方有权拒收未能满足合同规定</w:t>
      </w:r>
      <w:r>
        <w:rPr>
          <w:rFonts w:hint="eastAsia" w:ascii="宋体" w:hAnsi="宋体" w:cs="宋体"/>
          <w:snapToGrid w:val="0"/>
          <w:color w:val="auto"/>
          <w:kern w:val="2"/>
          <w:sz w:val="24"/>
          <w:szCs w:val="24"/>
          <w:highlight w:val="none"/>
          <w:lang w:val="en-US" w:eastAsia="zh-CN"/>
        </w:rPr>
        <w:t>的</w:t>
      </w:r>
      <w:r>
        <w:rPr>
          <w:rFonts w:hint="eastAsia" w:ascii="宋体" w:hAnsi="宋体" w:eastAsia="宋体" w:cs="宋体"/>
          <w:snapToGrid w:val="0"/>
          <w:color w:val="auto"/>
          <w:kern w:val="2"/>
          <w:sz w:val="24"/>
          <w:szCs w:val="24"/>
          <w:highlight w:val="none"/>
        </w:rPr>
        <w:t>设备</w:t>
      </w:r>
      <w:r>
        <w:rPr>
          <w:rFonts w:hint="eastAsia" w:ascii="宋体" w:hAnsi="宋体" w:cs="宋体"/>
          <w:snapToGrid w:val="0"/>
          <w:color w:val="auto"/>
          <w:kern w:val="2"/>
          <w:sz w:val="24"/>
          <w:szCs w:val="24"/>
          <w:highlight w:val="none"/>
          <w:lang w:val="en-US" w:eastAsia="zh-CN"/>
        </w:rPr>
        <w:t>和材料</w:t>
      </w:r>
      <w:r>
        <w:rPr>
          <w:rFonts w:hint="eastAsia" w:ascii="宋体" w:hAnsi="宋体" w:eastAsia="宋体" w:cs="宋体"/>
          <w:snapToGrid w:val="0"/>
          <w:color w:val="auto"/>
          <w:kern w:val="2"/>
          <w:sz w:val="24"/>
          <w:szCs w:val="24"/>
          <w:highlight w:val="none"/>
        </w:rPr>
        <w:t>，并要求卖方限期更换。</w:t>
      </w:r>
    </w:p>
    <w:p w14:paraId="7BCF6A36">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rPr>
      </w:pPr>
      <w:r>
        <w:rPr>
          <w:rFonts w:hint="eastAsia" w:ascii="宋体" w:hAnsi="宋体" w:eastAsia="宋体" w:cs="宋体"/>
          <w:snapToGrid w:val="0"/>
          <w:color w:val="auto"/>
          <w:kern w:val="2"/>
          <w:sz w:val="24"/>
          <w:szCs w:val="24"/>
          <w:highlight w:val="none"/>
        </w:rPr>
        <w:t>5.7.2</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被拒收的材料和设备</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包括已交付但被买方拒收的材料和设备</w:t>
      </w:r>
      <w:r>
        <w:rPr>
          <w:rFonts w:hint="eastAsia" w:ascii="宋体" w:hAnsi="宋体" w:eastAsia="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，买方将不予付款，或在已支付的情况下卖方予以退款。</w:t>
      </w:r>
    </w:p>
    <w:p w14:paraId="49F4D944">
      <w:pPr>
        <w:pStyle w:val="13"/>
        <w:topLinePunct/>
        <w:spacing w:after="0" w:line="360" w:lineRule="auto"/>
        <w:ind w:firstLine="480" w:firstLineChars="200"/>
        <w:rPr>
          <w:rFonts w:hint="eastAsia" w:ascii="宋体" w:hAnsi="宋体" w:eastAsia="宋体" w:cs="宋体"/>
          <w:snapToGrid w:val="0"/>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rPr>
        <w:t>5.7.3</w:t>
      </w:r>
      <w:r>
        <w:rPr>
          <w:rFonts w:hint="eastAsia" w:ascii="宋体" w:hAnsi="宋体" w:cs="宋体"/>
          <w:snapToGrid w:val="0"/>
          <w:color w:val="auto"/>
          <w:kern w:val="2"/>
          <w:sz w:val="24"/>
          <w:szCs w:val="24"/>
          <w:highlight w:val="none"/>
          <w:lang w:val="en-US" w:eastAsia="zh-CN"/>
        </w:rPr>
        <w:t xml:space="preserve"> </w:t>
      </w:r>
      <w:r>
        <w:rPr>
          <w:rFonts w:hint="eastAsia" w:ascii="宋体" w:hAnsi="宋体" w:eastAsia="宋体" w:cs="宋体"/>
          <w:snapToGrid w:val="0"/>
          <w:color w:val="auto"/>
          <w:kern w:val="2"/>
          <w:sz w:val="24"/>
          <w:szCs w:val="24"/>
          <w:highlight w:val="none"/>
        </w:rPr>
        <w:t>买方拒收的材料和设备</w:t>
      </w:r>
      <w:r>
        <w:rPr>
          <w:rFonts w:hint="eastAsia" w:ascii="宋体" w:hAnsi="宋体" w:cs="宋体"/>
          <w:snapToGrid w:val="0"/>
          <w:color w:val="auto"/>
          <w:kern w:val="2"/>
          <w:sz w:val="24"/>
          <w:szCs w:val="24"/>
          <w:highlight w:val="none"/>
          <w:lang w:eastAsia="zh-CN"/>
        </w:rPr>
        <w:t>，</w:t>
      </w:r>
      <w:r>
        <w:rPr>
          <w:rFonts w:hint="eastAsia" w:ascii="宋体" w:hAnsi="宋体" w:eastAsia="宋体" w:cs="宋体"/>
          <w:snapToGrid w:val="0"/>
          <w:color w:val="auto"/>
          <w:kern w:val="2"/>
          <w:sz w:val="24"/>
          <w:szCs w:val="24"/>
          <w:highlight w:val="none"/>
        </w:rPr>
        <w:t>所有权属于卖方，处理费用由卖方支付。</w:t>
      </w:r>
    </w:p>
    <w:p w14:paraId="63D7CEDC">
      <w:pPr>
        <w:pStyle w:val="3"/>
        <w:kinsoku/>
        <w:overflowPunct w:val="0"/>
        <w:topLinePunct/>
        <w:autoSpaceDE/>
        <w:autoSpaceDN/>
        <w:spacing w:beforeLines="0" w:afterLines="0" w:line="360" w:lineRule="auto"/>
        <w:ind w:firstLine="482" w:firstLineChars="200"/>
        <w:rPr>
          <w:rFonts w:hint="eastAsia" w:ascii="宋体" w:hAnsi="宋体" w:eastAsia="宋体" w:cs="宋体"/>
          <w:b/>
          <w:bCs w:val="0"/>
          <w:color w:val="auto"/>
          <w:kern w:val="2"/>
          <w:sz w:val="24"/>
          <w:szCs w:val="24"/>
          <w:highlight w:val="none"/>
        </w:rPr>
      </w:pPr>
      <w:bookmarkStart w:id="764" w:name="_Toc28550495"/>
      <w:r>
        <w:rPr>
          <w:rFonts w:hint="eastAsia" w:ascii="宋体" w:hAnsi="宋体" w:eastAsia="宋体" w:cs="宋体"/>
          <w:b/>
          <w:bCs w:val="0"/>
          <w:color w:val="auto"/>
          <w:kern w:val="2"/>
          <w:sz w:val="24"/>
          <w:szCs w:val="24"/>
          <w:highlight w:val="none"/>
        </w:rPr>
        <w:t>6 开箱检验、安装、调试、考核、验收</w:t>
      </w:r>
      <w:bookmarkEnd w:id="764"/>
    </w:p>
    <w:p w14:paraId="3C48DE6D">
      <w:pPr>
        <w:kinsoku/>
        <w:topLinePunct/>
        <w:spacing w:line="360" w:lineRule="auto"/>
        <w:ind w:firstLine="48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6.1.1</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开箱检验在合同设备</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材料</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bidi="ar"/>
        </w:rPr>
        <w:t>交付时进行</w:t>
      </w:r>
      <w:r>
        <w:rPr>
          <w:rFonts w:hint="eastAsia" w:ascii="宋体" w:hAnsi="宋体" w:eastAsia="宋体" w:cs="宋体"/>
          <w:color w:val="auto"/>
          <w:sz w:val="24"/>
          <w:szCs w:val="24"/>
          <w:highlight w:val="none"/>
          <w:lang w:eastAsia="zh-CN" w:bidi="ar"/>
        </w:rPr>
        <w:t>。</w:t>
      </w:r>
    </w:p>
    <w:p w14:paraId="4B5536EB">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6.2.4 （补充）指导安装调试和试运行</w:t>
      </w:r>
    </w:p>
    <w:p w14:paraId="106101CB">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6.2.4.1（补充）指导安装调试</w:t>
      </w:r>
    </w:p>
    <w:p w14:paraId="7A44280E">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设备安装工作完成、工况良好，调试方案通过评审、买方同意，且相关调度要求经买方许可后，方可进入调试及试运行。</w:t>
      </w:r>
    </w:p>
    <w:p w14:paraId="3D784E2E">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在调试和试运行期间，卖方应安排有实践经验（至少从事同类工作五年以上）的工程师负责指导设备调试。</w:t>
      </w:r>
    </w:p>
    <w:p w14:paraId="2EA43537">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此阶段若发现由于设备本身质量问题或指导安装调试问题，而引起的调试、试运行失败，卖方应负责处理这些问题，直到买方满意为止，并执行合同条款中有关规定。</w:t>
      </w:r>
    </w:p>
    <w:p w14:paraId="307BF868">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卖方应对设备调试过程中其所派人员的费用负责。</w:t>
      </w:r>
    </w:p>
    <w:p w14:paraId="6CFC0995">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6.2.4.2（补充）系统试运行</w:t>
      </w:r>
    </w:p>
    <w:p w14:paraId="7A425CB6">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当各分部系统经调试完成并通过验收，各种数据测定和试验工作已经完成，已具备整个系统联调条件，由卖方向监理工程师提出进行整个系统的联调和试运行的书面报告；</w:t>
      </w:r>
    </w:p>
    <w:p w14:paraId="6F90F57C">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在买方牵头下，由卖方负责系统联调和试运行的全部工作，买方负责验收并签发验收文件；</w:t>
      </w:r>
    </w:p>
    <w:p w14:paraId="1525E0D1">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在试运行期间对系统和设备的功能、指标进行测试和试验。卖方应将试验成果提交给买方；</w:t>
      </w:r>
    </w:p>
    <w:p w14:paraId="4E9BFA37">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765" w:name="_Toc28550496"/>
      <w:r>
        <w:rPr>
          <w:rFonts w:hint="eastAsia" w:ascii="宋体" w:hAnsi="宋体" w:eastAsia="宋体" w:cs="宋体"/>
          <w:color w:val="auto"/>
          <w:sz w:val="24"/>
          <w:szCs w:val="24"/>
          <w:highlight w:val="none"/>
        </w:rPr>
        <w:t>6.3 考核</w:t>
      </w:r>
      <w:bookmarkEnd w:id="765"/>
    </w:p>
    <w:p w14:paraId="746BCA7E">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（补充）</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应确保设备通过</w:t>
      </w:r>
      <w:r>
        <w:rPr>
          <w:rFonts w:hint="eastAsia" w:ascii="宋体" w:hAnsi="宋体" w:eastAsia="宋体" w:cs="宋体"/>
          <w:color w:val="auto"/>
          <w:sz w:val="24"/>
          <w:szCs w:val="24"/>
          <w:highlight w:val="none"/>
          <w:lang w:val="en-US" w:eastAsia="zh-CN"/>
        </w:rPr>
        <w:t>买方</w:t>
      </w:r>
      <w:r>
        <w:rPr>
          <w:rFonts w:hint="eastAsia" w:ascii="宋体" w:hAnsi="宋体" w:eastAsia="宋体" w:cs="宋体"/>
          <w:color w:val="auto"/>
          <w:sz w:val="24"/>
          <w:szCs w:val="24"/>
          <w:highlight w:val="none"/>
        </w:rPr>
        <w:t>（或其他第三方）组织的设备技术性能考核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如不通过考核，</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应及时采取包括维修、更换在内所有可能的修补措施，直至考核通过，使设备验收合格。</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自行承担采取修补措施全部费用，合同价格不予调整。</w:t>
      </w:r>
    </w:p>
    <w:p w14:paraId="1572AA89">
      <w:pPr>
        <w:kinsoku/>
        <w:topLinePunct/>
        <w:spacing w:beforeLines="0" w:afterLines="0" w:line="360" w:lineRule="auto"/>
        <w:ind w:firstLine="482" w:firstLineChars="200"/>
        <w:outlineLvl w:val="2"/>
        <w:rPr>
          <w:rFonts w:hint="eastAsia" w:ascii="宋体" w:hAnsi="宋体" w:eastAsia="宋体" w:cs="宋体"/>
          <w:color w:val="auto"/>
          <w:sz w:val="24"/>
          <w:szCs w:val="24"/>
          <w:highlight w:val="none"/>
        </w:rPr>
      </w:pPr>
      <w:bookmarkStart w:id="766" w:name="_Toc28550497"/>
      <w:bookmarkStart w:id="767" w:name="_Toc530566098"/>
      <w:r>
        <w:rPr>
          <w:rFonts w:hint="eastAsia" w:ascii="宋体" w:hAnsi="宋体" w:eastAsia="宋体" w:cs="宋体"/>
          <w:b/>
          <w:color w:val="auto"/>
          <w:kern w:val="2"/>
          <w:sz w:val="24"/>
          <w:szCs w:val="24"/>
          <w:highlight w:val="none"/>
        </w:rPr>
        <w:t>7  技术服务</w:t>
      </w:r>
      <w:bookmarkEnd w:id="766"/>
      <w:bookmarkEnd w:id="767"/>
    </w:p>
    <w:p w14:paraId="494F1FAD">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768" w:name="_Toc28550498"/>
      <w:bookmarkStart w:id="769" w:name="_Toc530566099"/>
      <w:r>
        <w:rPr>
          <w:rFonts w:hint="eastAsia" w:ascii="宋体" w:hAnsi="宋体" w:eastAsia="宋体" w:cs="宋体"/>
          <w:color w:val="auto"/>
          <w:sz w:val="24"/>
          <w:szCs w:val="24"/>
          <w:highlight w:val="none"/>
        </w:rPr>
        <w:t>删除本节全文代之以：</w:t>
      </w:r>
    </w:p>
    <w:p w14:paraId="43F389B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卖方应承诺针对本项目成立卖方生产管理需要的项目管理机构，包括项目领导小组、技术支持小组以及现场工作小组，明确机构及人员的职责与权限。卖方须指派一名项目经理（姓名：  ；身份证号：  ；联系电话：  ）作为本项目的全权代表，全面负责本项目管理工作，负责本合同的全面履行。当项目生产管理不能满足合同要求时或在关键部件制造节点期间，买方有权要求卖方领导小组成员、技术支持小组成员进驻制造工厂和安装现场支持管理，必要时全面主持管理工作；若不能按买方要求进驻制造工厂和安装现场，视为卖方违约。</w:t>
      </w:r>
    </w:p>
    <w:p w14:paraId="7EFFFEE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领导小组及技术支持小组</w:t>
      </w:r>
    </w:p>
    <w:p w14:paraId="79590E06">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针对本项目成立卖方领导小组，其主要职责包括协调调动卖方内部、外部资源，为项目实施创造良好条件；协调解决项目实施过程中遇到的重大问题，组织召开专题会议，买方有权列席；根据买方要求，进驻制造工厂和安装现场、参与或全面主持项目管理工作；领导小组组长履行被买方约谈的义务，并协调、落实约谈事项；以及买方要求履行的其它义务。领导小组成员约定如下：</w:t>
      </w:r>
    </w:p>
    <w:p w14:paraId="6EDBF33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领导小组成员表</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5"/>
        <w:gridCol w:w="1005"/>
        <w:gridCol w:w="3031"/>
        <w:gridCol w:w="1005"/>
        <w:gridCol w:w="1005"/>
        <w:gridCol w:w="1815"/>
      </w:tblGrid>
      <w:tr w14:paraId="1B67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7B38E7AD">
            <w:pPr>
              <w:widowControl w:val="0"/>
              <w:kinsoku/>
              <w:topLinePunct/>
              <w:snapToGrid w:val="0"/>
              <w:spacing w:line="360" w:lineRule="auto"/>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序号</w:t>
            </w:r>
          </w:p>
        </w:tc>
        <w:tc>
          <w:tcPr>
            <w:tcW w:w="553" w:type="pct"/>
            <w:noWrap w:val="0"/>
            <w:vAlign w:val="center"/>
          </w:tcPr>
          <w:p w14:paraId="03217F64">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姓名</w:t>
            </w:r>
          </w:p>
        </w:tc>
        <w:tc>
          <w:tcPr>
            <w:tcW w:w="1667" w:type="pct"/>
            <w:noWrap w:val="0"/>
            <w:vAlign w:val="center"/>
          </w:tcPr>
          <w:p w14:paraId="2B2CB721">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小组中担任职务</w:t>
            </w:r>
          </w:p>
        </w:tc>
        <w:tc>
          <w:tcPr>
            <w:tcW w:w="553" w:type="pct"/>
            <w:noWrap w:val="0"/>
            <w:vAlign w:val="center"/>
          </w:tcPr>
          <w:p w14:paraId="2488BCEB">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职称</w:t>
            </w:r>
          </w:p>
        </w:tc>
        <w:tc>
          <w:tcPr>
            <w:tcW w:w="553" w:type="pct"/>
            <w:noWrap w:val="0"/>
            <w:vAlign w:val="center"/>
          </w:tcPr>
          <w:p w14:paraId="726B758C">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职务</w:t>
            </w:r>
          </w:p>
        </w:tc>
        <w:tc>
          <w:tcPr>
            <w:tcW w:w="998" w:type="pct"/>
            <w:noWrap w:val="0"/>
            <w:vAlign w:val="center"/>
          </w:tcPr>
          <w:p w14:paraId="1F56F0D4">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联系方式</w:t>
            </w:r>
          </w:p>
        </w:tc>
      </w:tr>
      <w:tr w14:paraId="0A03A9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136041DE">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553" w:type="pct"/>
            <w:noWrap w:val="0"/>
            <w:vAlign w:val="center"/>
          </w:tcPr>
          <w:p w14:paraId="21BDB4F8">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667" w:type="pct"/>
            <w:noWrap w:val="0"/>
            <w:vAlign w:val="center"/>
          </w:tcPr>
          <w:p w14:paraId="35688863">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组长</w:t>
            </w:r>
          </w:p>
        </w:tc>
        <w:tc>
          <w:tcPr>
            <w:tcW w:w="553" w:type="pct"/>
            <w:noWrap w:val="0"/>
            <w:vAlign w:val="top"/>
          </w:tcPr>
          <w:p w14:paraId="7FDBC70A">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553" w:type="pct"/>
            <w:noWrap w:val="0"/>
            <w:vAlign w:val="center"/>
          </w:tcPr>
          <w:p w14:paraId="43B600D1">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998" w:type="pct"/>
            <w:noWrap w:val="0"/>
            <w:vAlign w:val="center"/>
          </w:tcPr>
          <w:p w14:paraId="5C38E16E">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499EF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52B68083">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2</w:t>
            </w:r>
          </w:p>
        </w:tc>
        <w:tc>
          <w:tcPr>
            <w:tcW w:w="553" w:type="pct"/>
            <w:noWrap w:val="0"/>
            <w:vAlign w:val="center"/>
          </w:tcPr>
          <w:p w14:paraId="34017AEE">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667" w:type="pct"/>
            <w:noWrap w:val="0"/>
            <w:vAlign w:val="center"/>
          </w:tcPr>
          <w:p w14:paraId="6C3235D1">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副组长</w:t>
            </w:r>
          </w:p>
        </w:tc>
        <w:tc>
          <w:tcPr>
            <w:tcW w:w="553" w:type="pct"/>
            <w:noWrap w:val="0"/>
            <w:vAlign w:val="top"/>
          </w:tcPr>
          <w:p w14:paraId="13FD7C56">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553" w:type="pct"/>
            <w:noWrap w:val="0"/>
            <w:vAlign w:val="center"/>
          </w:tcPr>
          <w:p w14:paraId="41C7A94A">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998" w:type="pct"/>
            <w:noWrap w:val="0"/>
            <w:vAlign w:val="center"/>
          </w:tcPr>
          <w:p w14:paraId="5BFB2510">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11478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2351578E">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3</w:t>
            </w:r>
          </w:p>
        </w:tc>
        <w:tc>
          <w:tcPr>
            <w:tcW w:w="553" w:type="pct"/>
            <w:noWrap w:val="0"/>
            <w:vAlign w:val="center"/>
          </w:tcPr>
          <w:p w14:paraId="2DEE521A">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667" w:type="pct"/>
            <w:noWrap w:val="0"/>
            <w:vAlign w:val="center"/>
          </w:tcPr>
          <w:p w14:paraId="789C0313">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副组长</w:t>
            </w:r>
          </w:p>
        </w:tc>
        <w:tc>
          <w:tcPr>
            <w:tcW w:w="553" w:type="pct"/>
            <w:noWrap w:val="0"/>
            <w:vAlign w:val="top"/>
          </w:tcPr>
          <w:p w14:paraId="4AC7F7B9">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553" w:type="pct"/>
            <w:noWrap w:val="0"/>
            <w:vAlign w:val="center"/>
          </w:tcPr>
          <w:p w14:paraId="1005674C">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998" w:type="pct"/>
            <w:noWrap w:val="0"/>
            <w:vAlign w:val="center"/>
          </w:tcPr>
          <w:p w14:paraId="7E7B06B3">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4953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2A8D9327">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4</w:t>
            </w:r>
          </w:p>
        </w:tc>
        <w:tc>
          <w:tcPr>
            <w:tcW w:w="553" w:type="pct"/>
            <w:noWrap w:val="0"/>
            <w:vAlign w:val="center"/>
          </w:tcPr>
          <w:p w14:paraId="505B1882">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667" w:type="pct"/>
            <w:noWrap w:val="0"/>
            <w:vAlign w:val="center"/>
          </w:tcPr>
          <w:p w14:paraId="1BB8F5C7">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组员</w:t>
            </w:r>
          </w:p>
        </w:tc>
        <w:tc>
          <w:tcPr>
            <w:tcW w:w="553" w:type="pct"/>
            <w:noWrap w:val="0"/>
            <w:vAlign w:val="top"/>
          </w:tcPr>
          <w:p w14:paraId="6025B825">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553" w:type="pct"/>
            <w:noWrap w:val="0"/>
            <w:vAlign w:val="center"/>
          </w:tcPr>
          <w:p w14:paraId="592F86A7">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998" w:type="pct"/>
            <w:noWrap w:val="0"/>
            <w:vAlign w:val="center"/>
          </w:tcPr>
          <w:p w14:paraId="72D3964F">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729E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pct"/>
            <w:noWrap w:val="0"/>
            <w:vAlign w:val="center"/>
          </w:tcPr>
          <w:p w14:paraId="665682B5">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lang w:eastAsia="zh-CN"/>
              </w:rPr>
              <w:t>5</w:t>
            </w:r>
          </w:p>
        </w:tc>
        <w:tc>
          <w:tcPr>
            <w:tcW w:w="553" w:type="pct"/>
            <w:noWrap w:val="0"/>
            <w:vAlign w:val="center"/>
          </w:tcPr>
          <w:p w14:paraId="1D8F48F3">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667" w:type="pct"/>
            <w:noWrap w:val="0"/>
            <w:vAlign w:val="top"/>
          </w:tcPr>
          <w:p w14:paraId="33C69544">
            <w:pPr>
              <w:widowControl w:val="0"/>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w:t>
            </w:r>
          </w:p>
        </w:tc>
        <w:tc>
          <w:tcPr>
            <w:tcW w:w="553" w:type="pct"/>
            <w:noWrap w:val="0"/>
            <w:vAlign w:val="top"/>
          </w:tcPr>
          <w:p w14:paraId="772FB266">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553" w:type="pct"/>
            <w:noWrap w:val="0"/>
            <w:vAlign w:val="center"/>
          </w:tcPr>
          <w:p w14:paraId="3B867073">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998" w:type="pct"/>
            <w:noWrap w:val="0"/>
            <w:vAlign w:val="center"/>
          </w:tcPr>
          <w:p w14:paraId="2FE37B56">
            <w:pPr>
              <w:widowControl w:val="0"/>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bl>
    <w:p w14:paraId="57E684F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6EEE306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（1）组长必须为卖方在职高管，两个副组长分别对技术总负责及生产总负责，副组长、成员应包含卖方总工程师或分管副总或技术负责人等；</w:t>
      </w:r>
    </w:p>
    <w:p w14:paraId="7CFD2E8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（2）当领导小组组长发生变更时，卖方应提前30日将变更情况书面通知监理单位和买方。</w:t>
      </w:r>
    </w:p>
    <w:p w14:paraId="3A2B194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应承诺针对本项目成立技术支持小组，其主要职责包括协调调动卖方内部、外部技术力量为产品研发、产品设计、产品工艺及模型试验等工作提供技术支撑；协调解决项目实施过程中遇到的重大技术问题；负责组织对设计、制造、试验方案等进行审查，并形成书面审查意见向监理和买方反馈；根据买方要求，进驻制造工厂和安装现场、参与或全面主持项目技术管理工作；技术支持小组履行被买方约谈的义务，并协调、落实约谈事项；以及买方要求履行的其它义务。技术支持小组成员约定如下：</w:t>
      </w:r>
    </w:p>
    <w:p w14:paraId="12A78F8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技术支持小组成员表</w:t>
      </w: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7"/>
        <w:gridCol w:w="954"/>
        <w:gridCol w:w="2580"/>
        <w:gridCol w:w="913"/>
        <w:gridCol w:w="1220"/>
        <w:gridCol w:w="2351"/>
      </w:tblGrid>
      <w:tr w14:paraId="33292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57DA3D5D">
            <w:pPr>
              <w:kinsoku/>
              <w:topLinePunct/>
              <w:snapToGrid w:val="0"/>
              <w:spacing w:line="360" w:lineRule="auto"/>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序号</w:t>
            </w:r>
          </w:p>
        </w:tc>
        <w:tc>
          <w:tcPr>
            <w:tcW w:w="525" w:type="pct"/>
            <w:noWrap w:val="0"/>
            <w:vAlign w:val="center"/>
          </w:tcPr>
          <w:p w14:paraId="297FEAA5">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姓名</w:t>
            </w:r>
          </w:p>
        </w:tc>
        <w:tc>
          <w:tcPr>
            <w:tcW w:w="1419" w:type="pct"/>
            <w:noWrap w:val="0"/>
            <w:vAlign w:val="center"/>
          </w:tcPr>
          <w:p w14:paraId="70542EF2">
            <w:pPr>
              <w:kinsoku/>
              <w:topLinePunct/>
              <w:snapToGrid w:val="0"/>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技术支持小组中</w:t>
            </w:r>
          </w:p>
          <w:p w14:paraId="69C85D63">
            <w:pPr>
              <w:kinsoku/>
              <w:topLinePunct/>
              <w:snapToGrid w:val="0"/>
              <w:spacing w:line="360" w:lineRule="auto"/>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lang w:eastAsia="zh-CN"/>
              </w:rPr>
              <w:t>担任职务</w:t>
            </w:r>
          </w:p>
        </w:tc>
        <w:tc>
          <w:tcPr>
            <w:tcW w:w="502" w:type="pct"/>
            <w:noWrap w:val="0"/>
            <w:vAlign w:val="center"/>
          </w:tcPr>
          <w:p w14:paraId="6F09859A">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职称</w:t>
            </w:r>
          </w:p>
        </w:tc>
        <w:tc>
          <w:tcPr>
            <w:tcW w:w="671" w:type="pct"/>
            <w:noWrap w:val="0"/>
            <w:vAlign w:val="center"/>
          </w:tcPr>
          <w:p w14:paraId="5E124173">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职务</w:t>
            </w:r>
          </w:p>
        </w:tc>
        <w:tc>
          <w:tcPr>
            <w:tcW w:w="1293" w:type="pct"/>
            <w:noWrap w:val="0"/>
            <w:vAlign w:val="center"/>
          </w:tcPr>
          <w:p w14:paraId="3C282C5B">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联系方式</w:t>
            </w:r>
          </w:p>
        </w:tc>
      </w:tr>
      <w:tr w14:paraId="7315F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061C6219">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525" w:type="pct"/>
            <w:noWrap w:val="0"/>
            <w:vAlign w:val="center"/>
          </w:tcPr>
          <w:p w14:paraId="31A640A3">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419" w:type="pct"/>
            <w:noWrap w:val="0"/>
            <w:vAlign w:val="center"/>
          </w:tcPr>
          <w:p w14:paraId="12205A9A">
            <w:pPr>
              <w:kinsoku/>
              <w:topLinePunct/>
              <w:snapToGrid w:val="0"/>
              <w:spacing w:line="360" w:lineRule="auto"/>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组长</w:t>
            </w:r>
          </w:p>
        </w:tc>
        <w:tc>
          <w:tcPr>
            <w:tcW w:w="502" w:type="pct"/>
            <w:noWrap w:val="0"/>
            <w:vAlign w:val="top"/>
          </w:tcPr>
          <w:p w14:paraId="4CD1F074">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671" w:type="pct"/>
            <w:noWrap w:val="0"/>
            <w:vAlign w:val="center"/>
          </w:tcPr>
          <w:p w14:paraId="762DAA33">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293" w:type="pct"/>
            <w:noWrap w:val="0"/>
            <w:vAlign w:val="center"/>
          </w:tcPr>
          <w:p w14:paraId="31B5B898">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2311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1D459425">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2</w:t>
            </w:r>
          </w:p>
        </w:tc>
        <w:tc>
          <w:tcPr>
            <w:tcW w:w="525" w:type="pct"/>
            <w:noWrap w:val="0"/>
            <w:vAlign w:val="center"/>
          </w:tcPr>
          <w:p w14:paraId="2E8BC4BE">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419" w:type="pct"/>
            <w:noWrap w:val="0"/>
            <w:vAlign w:val="center"/>
          </w:tcPr>
          <w:p w14:paraId="2D303681">
            <w:pPr>
              <w:kinsoku/>
              <w:topLinePunct/>
              <w:snapToGrid w:val="0"/>
              <w:spacing w:line="360" w:lineRule="auto"/>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lang w:eastAsia="zh-CN"/>
              </w:rPr>
              <w:t>常务</w:t>
            </w:r>
            <w:r>
              <w:rPr>
                <w:rFonts w:hint="eastAsia" w:ascii="宋体" w:hAnsi="宋体" w:eastAsia="宋体" w:cs="宋体"/>
                <w:color w:val="auto"/>
                <w:sz w:val="24"/>
                <w:szCs w:val="24"/>
                <w:highlight w:val="none"/>
              </w:rPr>
              <w:t>副组长</w:t>
            </w:r>
          </w:p>
        </w:tc>
        <w:tc>
          <w:tcPr>
            <w:tcW w:w="502" w:type="pct"/>
            <w:noWrap w:val="0"/>
            <w:vAlign w:val="top"/>
          </w:tcPr>
          <w:p w14:paraId="6752CBF5">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671" w:type="pct"/>
            <w:noWrap w:val="0"/>
            <w:vAlign w:val="center"/>
          </w:tcPr>
          <w:p w14:paraId="14EA6A74">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293" w:type="pct"/>
            <w:noWrap w:val="0"/>
            <w:vAlign w:val="center"/>
          </w:tcPr>
          <w:p w14:paraId="0E3C8035">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32F4B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788C132B">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3</w:t>
            </w:r>
          </w:p>
        </w:tc>
        <w:tc>
          <w:tcPr>
            <w:tcW w:w="525" w:type="pct"/>
            <w:noWrap w:val="0"/>
            <w:vAlign w:val="center"/>
          </w:tcPr>
          <w:p w14:paraId="77AC22B9">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419" w:type="pct"/>
            <w:noWrap w:val="0"/>
            <w:vAlign w:val="center"/>
          </w:tcPr>
          <w:p w14:paraId="4176E7E5">
            <w:pPr>
              <w:kinsoku/>
              <w:topLinePunct/>
              <w:snapToGrid w:val="0"/>
              <w:spacing w:line="360" w:lineRule="auto"/>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组员</w:t>
            </w:r>
          </w:p>
        </w:tc>
        <w:tc>
          <w:tcPr>
            <w:tcW w:w="502" w:type="pct"/>
            <w:noWrap w:val="0"/>
            <w:vAlign w:val="top"/>
          </w:tcPr>
          <w:p w14:paraId="0897B5D1">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671" w:type="pct"/>
            <w:noWrap w:val="0"/>
            <w:vAlign w:val="center"/>
          </w:tcPr>
          <w:p w14:paraId="263ADA99">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293" w:type="pct"/>
            <w:noWrap w:val="0"/>
            <w:vAlign w:val="center"/>
          </w:tcPr>
          <w:p w14:paraId="340A3FBD">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2D3DB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6C73F96A">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4</w:t>
            </w:r>
          </w:p>
        </w:tc>
        <w:tc>
          <w:tcPr>
            <w:tcW w:w="525" w:type="pct"/>
            <w:noWrap w:val="0"/>
            <w:vAlign w:val="center"/>
          </w:tcPr>
          <w:p w14:paraId="0DAE78C2">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419" w:type="pct"/>
            <w:noWrap w:val="0"/>
            <w:vAlign w:val="center"/>
          </w:tcPr>
          <w:p w14:paraId="716EE7CD">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w:t>
            </w:r>
          </w:p>
        </w:tc>
        <w:tc>
          <w:tcPr>
            <w:tcW w:w="502" w:type="pct"/>
            <w:noWrap w:val="0"/>
            <w:vAlign w:val="top"/>
          </w:tcPr>
          <w:p w14:paraId="192FF521">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671" w:type="pct"/>
            <w:noWrap w:val="0"/>
            <w:vAlign w:val="center"/>
          </w:tcPr>
          <w:p w14:paraId="0C7E59F0">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293" w:type="pct"/>
            <w:noWrap w:val="0"/>
            <w:vAlign w:val="center"/>
          </w:tcPr>
          <w:p w14:paraId="00444025">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bl>
    <w:p w14:paraId="3A696F1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1A81060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（1）组长应由卖方公司技术负责人担任，成员应由技术人员或外聘专家担任。</w:t>
      </w:r>
    </w:p>
    <w:p w14:paraId="42EB08E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（2）组员具有5年以上（含5年）类似合同设备设计、制造、安装等相关工作经验，并根据工程进展情况及买方需求到达现场。</w:t>
      </w:r>
    </w:p>
    <w:p w14:paraId="3F104D56">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（3）当组长发生变更时，卖方应将变更情况书面通知监理和买方。</w:t>
      </w:r>
    </w:p>
    <w:p w14:paraId="5BD9484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现场工作小组</w:t>
      </w:r>
    </w:p>
    <w:p w14:paraId="4EC0ADF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卖方应针对本项目成立现场工作小组，并提供工作组人员驻场计划，包括人员的资格文件供买方审查，人员数量应满足设备现场安装需要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要求附其工作组人员的个人资质情况表（包括姓名、年龄、学历、职业/特长、以往工作经历、身份证明</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以往同类型项目业绩等）。</w:t>
      </w:r>
    </w:p>
    <w:p w14:paraId="006C21A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现场工作小组成员表</w:t>
      </w:r>
    </w:p>
    <w:tbl>
      <w:tblPr>
        <w:tblStyle w:val="2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7"/>
        <w:gridCol w:w="954"/>
        <w:gridCol w:w="2580"/>
        <w:gridCol w:w="913"/>
        <w:gridCol w:w="1220"/>
        <w:gridCol w:w="2351"/>
      </w:tblGrid>
      <w:tr w14:paraId="316DD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44783CF0">
            <w:pPr>
              <w:kinsoku/>
              <w:topLinePunct/>
              <w:snapToGrid w:val="0"/>
              <w:spacing w:line="360" w:lineRule="auto"/>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序号</w:t>
            </w:r>
          </w:p>
        </w:tc>
        <w:tc>
          <w:tcPr>
            <w:tcW w:w="525" w:type="pct"/>
            <w:noWrap w:val="0"/>
            <w:vAlign w:val="center"/>
          </w:tcPr>
          <w:p w14:paraId="06A59A05">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姓名</w:t>
            </w:r>
          </w:p>
        </w:tc>
        <w:tc>
          <w:tcPr>
            <w:tcW w:w="1419" w:type="pct"/>
            <w:noWrap w:val="0"/>
            <w:vAlign w:val="center"/>
          </w:tcPr>
          <w:p w14:paraId="69B6365E">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lang w:eastAsia="zh-CN"/>
              </w:rPr>
              <w:t>现场工作组中担任职务</w:t>
            </w:r>
          </w:p>
        </w:tc>
        <w:tc>
          <w:tcPr>
            <w:tcW w:w="502" w:type="pct"/>
            <w:noWrap w:val="0"/>
            <w:vAlign w:val="center"/>
          </w:tcPr>
          <w:p w14:paraId="5F53EAA4">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职称</w:t>
            </w:r>
          </w:p>
        </w:tc>
        <w:tc>
          <w:tcPr>
            <w:tcW w:w="671" w:type="pct"/>
            <w:noWrap w:val="0"/>
            <w:vAlign w:val="center"/>
          </w:tcPr>
          <w:p w14:paraId="1A7DEE74">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职务</w:t>
            </w:r>
          </w:p>
        </w:tc>
        <w:tc>
          <w:tcPr>
            <w:tcW w:w="1293" w:type="pct"/>
            <w:noWrap w:val="0"/>
            <w:vAlign w:val="center"/>
          </w:tcPr>
          <w:p w14:paraId="56DA8842">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联系方式</w:t>
            </w:r>
          </w:p>
        </w:tc>
      </w:tr>
      <w:tr w14:paraId="0AA8E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11DF80CF">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1</w:t>
            </w:r>
          </w:p>
        </w:tc>
        <w:tc>
          <w:tcPr>
            <w:tcW w:w="525" w:type="pct"/>
            <w:noWrap w:val="0"/>
            <w:vAlign w:val="center"/>
          </w:tcPr>
          <w:p w14:paraId="4B1A23BF">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419" w:type="pct"/>
            <w:noWrap w:val="0"/>
            <w:vAlign w:val="center"/>
          </w:tcPr>
          <w:p w14:paraId="4D9A0212">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组长</w:t>
            </w:r>
          </w:p>
        </w:tc>
        <w:tc>
          <w:tcPr>
            <w:tcW w:w="502" w:type="pct"/>
            <w:noWrap w:val="0"/>
            <w:vAlign w:val="top"/>
          </w:tcPr>
          <w:p w14:paraId="24E899A9">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671" w:type="pct"/>
            <w:noWrap w:val="0"/>
            <w:vAlign w:val="center"/>
          </w:tcPr>
          <w:p w14:paraId="5C38F0FB">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293" w:type="pct"/>
            <w:noWrap w:val="0"/>
            <w:vAlign w:val="center"/>
          </w:tcPr>
          <w:p w14:paraId="1F3DAD9A">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02A0D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0BF277F0">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2</w:t>
            </w:r>
          </w:p>
        </w:tc>
        <w:tc>
          <w:tcPr>
            <w:tcW w:w="525" w:type="pct"/>
            <w:noWrap w:val="0"/>
            <w:vAlign w:val="center"/>
          </w:tcPr>
          <w:p w14:paraId="34667ED3">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419" w:type="pct"/>
            <w:noWrap w:val="0"/>
            <w:vAlign w:val="center"/>
          </w:tcPr>
          <w:p w14:paraId="29EB76D8">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lang w:eastAsia="zh-CN"/>
              </w:rPr>
              <w:t>组员</w:t>
            </w:r>
          </w:p>
        </w:tc>
        <w:tc>
          <w:tcPr>
            <w:tcW w:w="502" w:type="pct"/>
            <w:noWrap w:val="0"/>
            <w:vAlign w:val="top"/>
          </w:tcPr>
          <w:p w14:paraId="33B3EC59">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671" w:type="pct"/>
            <w:noWrap w:val="0"/>
            <w:vAlign w:val="center"/>
          </w:tcPr>
          <w:p w14:paraId="4CFE602A">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293" w:type="pct"/>
            <w:noWrap w:val="0"/>
            <w:vAlign w:val="center"/>
          </w:tcPr>
          <w:p w14:paraId="131C0958">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r w14:paraId="7E56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7" w:type="pct"/>
            <w:noWrap w:val="0"/>
            <w:vAlign w:val="center"/>
          </w:tcPr>
          <w:p w14:paraId="3A10EC68">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color w:val="auto"/>
                <w:sz w:val="24"/>
                <w:szCs w:val="24"/>
                <w:highlight w:val="none"/>
              </w:rPr>
              <w:t>3</w:t>
            </w:r>
          </w:p>
        </w:tc>
        <w:tc>
          <w:tcPr>
            <w:tcW w:w="525" w:type="pct"/>
            <w:noWrap w:val="0"/>
            <w:vAlign w:val="center"/>
          </w:tcPr>
          <w:p w14:paraId="322F7EF1">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419" w:type="pct"/>
            <w:noWrap w:val="0"/>
            <w:vAlign w:val="center"/>
          </w:tcPr>
          <w:p w14:paraId="605F7B09">
            <w:pPr>
              <w:kinsoku/>
              <w:topLinePunct/>
              <w:snapToGrid w:val="0"/>
              <w:spacing w:line="360" w:lineRule="auto"/>
              <w:ind w:left="-57" w:leftChars="0" w:right="-57" w:rightChars="0"/>
              <w:jc w:val="center"/>
              <w:rPr>
                <w:rFonts w:hint="eastAsia" w:ascii="宋体" w:hAnsi="宋体" w:eastAsia="宋体" w:cs="宋体"/>
                <w:snapToGrid w:val="0"/>
                <w:color w:val="auto"/>
                <w:sz w:val="24"/>
                <w:szCs w:val="24"/>
                <w:highlight w:val="none"/>
                <w:lang w:val="en-US" w:eastAsia="zh-CN" w:bidi="ar-SA"/>
              </w:rPr>
            </w:pPr>
            <w:r>
              <w:rPr>
                <w:rFonts w:hint="eastAsia" w:ascii="宋体" w:hAnsi="宋体" w:eastAsia="宋体" w:cs="宋体"/>
                <w:snapToGrid w:val="0"/>
                <w:color w:val="auto"/>
                <w:sz w:val="24"/>
                <w:szCs w:val="24"/>
                <w:highlight w:val="none"/>
                <w:lang w:val="en-US" w:eastAsia="zh-CN" w:bidi="ar-SA"/>
              </w:rPr>
              <w:t>……</w:t>
            </w:r>
          </w:p>
        </w:tc>
        <w:tc>
          <w:tcPr>
            <w:tcW w:w="502" w:type="pct"/>
            <w:noWrap w:val="0"/>
            <w:vAlign w:val="top"/>
          </w:tcPr>
          <w:p w14:paraId="6B9597AE">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671" w:type="pct"/>
            <w:noWrap w:val="0"/>
            <w:vAlign w:val="center"/>
          </w:tcPr>
          <w:p w14:paraId="665465F8">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c>
          <w:tcPr>
            <w:tcW w:w="1293" w:type="pct"/>
            <w:noWrap w:val="0"/>
            <w:vAlign w:val="center"/>
          </w:tcPr>
          <w:p w14:paraId="33379955">
            <w:pPr>
              <w:kinsoku/>
              <w:topLinePunct/>
              <w:snapToGrid w:val="0"/>
              <w:spacing w:line="360" w:lineRule="auto"/>
              <w:ind w:left="-57" w:leftChars="0" w:right="-57" w:rightChars="0"/>
              <w:jc w:val="center"/>
              <w:outlineLvl w:val="9"/>
              <w:rPr>
                <w:rFonts w:hint="eastAsia" w:ascii="宋体" w:hAnsi="宋体" w:eastAsia="宋体" w:cs="宋体"/>
                <w:snapToGrid w:val="0"/>
                <w:color w:val="auto"/>
                <w:sz w:val="24"/>
                <w:szCs w:val="24"/>
                <w:highlight w:val="none"/>
                <w:lang w:val="en-US" w:eastAsia="zh-CN" w:bidi="ar-SA"/>
              </w:rPr>
            </w:pPr>
          </w:p>
        </w:tc>
      </w:tr>
    </w:tbl>
    <w:p w14:paraId="0FEBF3A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 </w:t>
      </w:r>
    </w:p>
    <w:p w14:paraId="56DD88D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工作组组长由卖方驻工地现场负责人担任，成员由卖方其他技术服务人员担任。</w:t>
      </w:r>
    </w:p>
    <w:p w14:paraId="0CD4012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现场工作组组长要求</w:t>
      </w:r>
    </w:p>
    <w:p w14:paraId="0B81463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7.2.1.1合同生效后，根据买方要求，卖方应任命一名在</w:t>
      </w:r>
      <w:r>
        <w:rPr>
          <w:rFonts w:hint="eastAsia" w:ascii="宋体" w:hAnsi="宋体" w:eastAsia="宋体" w:cs="宋体"/>
          <w:color w:val="auto"/>
          <w:sz w:val="24"/>
          <w:szCs w:val="24"/>
          <w:highlight w:val="none"/>
          <w:lang w:val="en-US" w:eastAsia="zh-CN"/>
        </w:rPr>
        <w:t>浙江镜岭水库</w:t>
      </w:r>
      <w:r>
        <w:rPr>
          <w:rFonts w:hint="eastAsia" w:ascii="宋体" w:hAnsi="宋体" w:eastAsia="宋体" w:cs="宋体"/>
          <w:color w:val="auto"/>
          <w:sz w:val="24"/>
          <w:szCs w:val="24"/>
          <w:highlight w:val="none"/>
        </w:rPr>
        <w:t>工程现场工作组组长，应在其抵达工地30天前将其姓名及履历通知买方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并须征得买方同意。组长在现场全权代表卖方处理工地有关合同执行的事务，协调各厂家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负责与本合同设备有关的工程设计联络、协调、技术指导等服务工作，参与开箱检验、监督指导现场安装、参与调试、试验和试运行等工作，提供现场技术服务，并与买方、其它承包商协调解决与合同有关的技术和工作问题。</w:t>
      </w:r>
    </w:p>
    <w:p w14:paraId="213A4B3C">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7.2.1.2现场工作组组长应在合同范围内全面负责工地技术服务和培训工作，并与买方充分合作与协商，有效解决与合同有关的技术和工作问题，以及工地发现的交货设备任何缺陷与质量问题。现场工作组组长应由卖方书面授权，其一切行为必须由卖方负责。未经买方书面同意，卖方不得任意更换现场工作组组长。现场工作组组长若要离开工地，需经买方同意。</w:t>
      </w:r>
    </w:p>
    <w:p w14:paraId="4F93215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7.2.1.3卖方应对卖方委派现场工作组组长的一切行为负责。</w:t>
      </w:r>
    </w:p>
    <w:p w14:paraId="350E06D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卖方技术人员要求</w:t>
      </w:r>
    </w:p>
    <w:p w14:paraId="043F30A8">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7.2.2.1合同设备安装、调试和现场试验由安装单位完成。卖方应提供足够数量并能胜任现场安装、调试、试运行等的现场技术指导人员，对合同设备的拆卸、安装与调试方法和应注意事项等方面进行指导、监督服务。卖方派出的现场技术指导人员应具有相关专业资质和5年以上相关工作经验，具有处理与合同设备有关的设计、制造、运输、安装、调试、现场试验、试运行、验收试验和投入运行等问题的能力和良好的合作态度。</w:t>
      </w:r>
    </w:p>
    <w:p w14:paraId="3C1789F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7.2.2.2在合同设备安装、试验前90天，卖方应向买方提交8份详尽的安装和试验计划建议表，该表应提出建议</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安装和试验所需时间，以及安装单位所需的各工种人员、工具的类型和数量等。通过与买方协商确定卖方技术指导人员的准确专业人员数量、在现场服务的持续时间、以及到达和离开工地的日期，经买方同意后执行。若安装延期，卖方应根据买方要求，技术指导人员继续</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指导</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监督工作。未经买方同意，卖方不得擅自更换派至工地的技术服务人员。若确需换人时，必须保证不影响现场工作，事先征得买方同意，并保证接替人员的资质、能力满足招标文件要求。</w:t>
      </w:r>
    </w:p>
    <w:p w14:paraId="3372C27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7.2.2.3卖方应</w:t>
      </w:r>
      <w:r>
        <w:rPr>
          <w:rFonts w:hint="eastAsia" w:ascii="宋体" w:hAnsi="宋体" w:eastAsia="宋体" w:cs="宋体"/>
          <w:color w:val="auto"/>
          <w:sz w:val="24"/>
          <w:szCs w:val="24"/>
          <w:highlight w:val="none"/>
          <w:lang w:val="en-US" w:eastAsia="zh-CN"/>
        </w:rPr>
        <w:t>无条件</w:t>
      </w:r>
      <w:r>
        <w:rPr>
          <w:rFonts w:hint="eastAsia" w:ascii="宋体" w:hAnsi="宋体" w:eastAsia="宋体" w:cs="宋体"/>
          <w:color w:val="auto"/>
          <w:sz w:val="24"/>
          <w:szCs w:val="24"/>
          <w:highlight w:val="none"/>
        </w:rPr>
        <w:t>协调</w:t>
      </w:r>
      <w:r>
        <w:rPr>
          <w:rFonts w:hint="eastAsia" w:ascii="宋体" w:hAnsi="宋体" w:eastAsia="宋体" w:cs="宋体"/>
          <w:color w:val="auto"/>
          <w:sz w:val="24"/>
          <w:szCs w:val="24"/>
          <w:highlight w:val="none"/>
          <w:lang w:val="en-US" w:eastAsia="zh-CN"/>
        </w:rPr>
        <w:t>设备制造商、</w:t>
      </w:r>
      <w:r>
        <w:rPr>
          <w:rFonts w:hint="eastAsia" w:ascii="宋体" w:hAnsi="宋体" w:eastAsia="宋体" w:cs="宋体"/>
          <w:color w:val="auto"/>
          <w:sz w:val="24"/>
          <w:szCs w:val="24"/>
          <w:highlight w:val="none"/>
        </w:rPr>
        <w:t>外购外协件供货商在工地</w:t>
      </w:r>
      <w:r>
        <w:rPr>
          <w:rFonts w:hint="eastAsia" w:ascii="宋体" w:hAnsi="宋体" w:eastAsia="宋体" w:cs="宋体"/>
          <w:color w:val="auto"/>
          <w:sz w:val="24"/>
          <w:szCs w:val="24"/>
          <w:highlight w:val="none"/>
          <w:lang w:val="en-US" w:eastAsia="zh-CN"/>
        </w:rPr>
        <w:t>现场</w:t>
      </w:r>
      <w:r>
        <w:rPr>
          <w:rFonts w:hint="eastAsia" w:ascii="宋体" w:hAnsi="宋体" w:eastAsia="宋体" w:cs="宋体"/>
          <w:color w:val="auto"/>
          <w:sz w:val="24"/>
          <w:szCs w:val="24"/>
          <w:highlight w:val="none"/>
        </w:rPr>
        <w:t>提供指导、监督服务，服务内容及服务质量须</w:t>
      </w:r>
      <w:r>
        <w:rPr>
          <w:rFonts w:hint="eastAsia" w:ascii="宋体" w:hAnsi="宋体" w:eastAsia="宋体" w:cs="宋体"/>
          <w:color w:val="auto"/>
          <w:sz w:val="24"/>
          <w:szCs w:val="24"/>
          <w:highlight w:val="none"/>
          <w:lang w:val="en-US" w:eastAsia="zh-CN"/>
        </w:rPr>
        <w:t>无条件</w:t>
      </w:r>
      <w:r>
        <w:rPr>
          <w:rFonts w:hint="eastAsia" w:ascii="宋体" w:hAnsi="宋体" w:eastAsia="宋体" w:cs="宋体"/>
          <w:color w:val="auto"/>
          <w:sz w:val="24"/>
          <w:szCs w:val="24"/>
          <w:highlight w:val="none"/>
        </w:rPr>
        <w:t>满足买方合同设备安装、调试和现场试验需要，费用包含在合同价格内。卖方应对</w:t>
      </w:r>
      <w:r>
        <w:rPr>
          <w:rFonts w:hint="eastAsia" w:ascii="宋体" w:hAnsi="宋体" w:eastAsia="宋体" w:cs="宋体"/>
          <w:color w:val="auto"/>
          <w:sz w:val="24"/>
          <w:szCs w:val="24"/>
          <w:highlight w:val="none"/>
          <w:lang w:val="en-US" w:eastAsia="zh-CN"/>
        </w:rPr>
        <w:t>设备制造商、</w:t>
      </w:r>
      <w:r>
        <w:rPr>
          <w:rFonts w:hint="eastAsia" w:ascii="宋体" w:hAnsi="宋体" w:eastAsia="宋体" w:cs="宋体"/>
          <w:color w:val="auto"/>
          <w:sz w:val="24"/>
          <w:szCs w:val="24"/>
          <w:highlight w:val="none"/>
        </w:rPr>
        <w:t>外购、外协件供货商的服务内容及服务质量负责；若因其</w:t>
      </w:r>
      <w:r>
        <w:rPr>
          <w:rFonts w:hint="eastAsia" w:ascii="宋体" w:hAnsi="宋体" w:eastAsia="宋体" w:cs="宋体"/>
          <w:color w:val="auto"/>
          <w:sz w:val="24"/>
          <w:szCs w:val="24"/>
          <w:highlight w:val="none"/>
          <w:lang w:val="en-US" w:eastAsia="zh-CN"/>
        </w:rPr>
        <w:t>设备制造商、</w:t>
      </w:r>
      <w:r>
        <w:rPr>
          <w:rFonts w:hint="eastAsia" w:ascii="宋体" w:hAnsi="宋体" w:eastAsia="宋体" w:cs="宋体"/>
          <w:color w:val="auto"/>
          <w:sz w:val="24"/>
          <w:szCs w:val="24"/>
          <w:highlight w:val="none"/>
        </w:rPr>
        <w:t>外购、外协件供货商服务不满足合同及工地现场需要，导致发生质量问题或进度延误，卖方应承担全部责任。</w:t>
      </w:r>
    </w:p>
    <w:p w14:paraId="07483A9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运维技术服务要求：自</w:t>
      </w:r>
      <w:r>
        <w:rPr>
          <w:rFonts w:hint="eastAsia" w:ascii="宋体" w:hAnsi="宋体" w:eastAsia="宋体" w:cs="宋体"/>
          <w:b w:val="0"/>
          <w:color w:val="auto"/>
          <w:sz w:val="24"/>
          <w:szCs w:val="24"/>
          <w:highlight w:val="none"/>
          <w:lang w:val="en-US" w:eastAsia="zh-CN"/>
        </w:rPr>
        <w:t>安装调试</w:t>
      </w:r>
      <w:r>
        <w:rPr>
          <w:rFonts w:hint="eastAsia" w:ascii="宋体" w:hAnsi="宋体" w:eastAsia="宋体" w:cs="宋体"/>
          <w:b w:val="0"/>
          <w:color w:val="auto"/>
          <w:sz w:val="24"/>
          <w:szCs w:val="24"/>
          <w:highlight w:val="none"/>
        </w:rPr>
        <w:t>完成后，</w:t>
      </w:r>
      <w:r>
        <w:rPr>
          <w:rFonts w:hint="eastAsia" w:ascii="宋体" w:hAnsi="宋体" w:eastAsia="宋体" w:cs="宋体"/>
          <w:b w:val="0"/>
          <w:color w:val="auto"/>
          <w:sz w:val="24"/>
          <w:szCs w:val="24"/>
          <w:highlight w:val="none"/>
          <w:lang w:val="en-US" w:eastAsia="zh-CN"/>
        </w:rPr>
        <w:t>卖方应协调设备制造</w:t>
      </w:r>
      <w:r>
        <w:rPr>
          <w:rFonts w:hint="eastAsia" w:ascii="宋体" w:hAnsi="宋体" w:eastAsia="宋体" w:cs="宋体"/>
          <w:b w:val="0"/>
          <w:color w:val="auto"/>
          <w:sz w:val="24"/>
          <w:szCs w:val="24"/>
          <w:highlight w:val="none"/>
        </w:rPr>
        <w:t>商</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外购外协件供货商</w:t>
      </w:r>
      <w:r>
        <w:rPr>
          <w:rFonts w:hint="eastAsia" w:ascii="宋体" w:hAnsi="宋体" w:eastAsia="宋体" w:cs="宋体"/>
          <w:b w:val="0"/>
          <w:color w:val="auto"/>
          <w:sz w:val="24"/>
          <w:szCs w:val="24"/>
          <w:highlight w:val="none"/>
        </w:rPr>
        <w:t>在质保期内提供技术服务支持，根据</w:t>
      </w:r>
      <w:r>
        <w:rPr>
          <w:rFonts w:hint="eastAsia" w:ascii="宋体" w:hAnsi="宋体" w:eastAsia="宋体" w:cs="宋体"/>
          <w:b w:val="0"/>
          <w:color w:val="auto"/>
          <w:sz w:val="24"/>
          <w:szCs w:val="24"/>
          <w:highlight w:val="none"/>
          <w:lang w:val="en-US" w:eastAsia="zh-CN"/>
        </w:rPr>
        <w:t>买方</w:t>
      </w:r>
      <w:r>
        <w:rPr>
          <w:rFonts w:hint="eastAsia" w:ascii="宋体" w:hAnsi="宋体" w:eastAsia="宋体" w:cs="宋体"/>
          <w:b w:val="0"/>
          <w:color w:val="auto"/>
          <w:sz w:val="24"/>
          <w:szCs w:val="24"/>
          <w:highlight w:val="none"/>
        </w:rPr>
        <w:t>要求无条件配合</w:t>
      </w:r>
      <w:r>
        <w:rPr>
          <w:rFonts w:hint="eastAsia" w:ascii="宋体" w:hAnsi="宋体" w:eastAsia="宋体" w:cs="宋体"/>
          <w:b w:val="0"/>
          <w:color w:val="auto"/>
          <w:sz w:val="24"/>
          <w:szCs w:val="24"/>
          <w:highlight w:val="none"/>
          <w:lang w:val="en-US" w:eastAsia="zh-CN"/>
        </w:rPr>
        <w:t>买方</w:t>
      </w:r>
      <w:r>
        <w:rPr>
          <w:rFonts w:hint="eastAsia" w:ascii="宋体" w:hAnsi="宋体" w:eastAsia="宋体" w:cs="宋体"/>
          <w:b w:val="0"/>
          <w:color w:val="auto"/>
          <w:sz w:val="24"/>
          <w:szCs w:val="24"/>
          <w:highlight w:val="none"/>
        </w:rPr>
        <w:t>开展运行工作，工作内容包括但不限于对系统进行运维指导及运行分析</w:t>
      </w:r>
      <w:r>
        <w:rPr>
          <w:rFonts w:hint="eastAsia" w:ascii="宋体" w:hAnsi="宋体" w:eastAsia="宋体" w:cs="宋体"/>
          <w:b w:val="0"/>
          <w:color w:val="auto"/>
          <w:sz w:val="24"/>
          <w:szCs w:val="24"/>
          <w:highlight w:val="none"/>
          <w:lang w:eastAsia="zh-CN"/>
        </w:rPr>
        <w:t>、</w:t>
      </w:r>
      <w:r>
        <w:rPr>
          <w:rFonts w:hint="eastAsia" w:ascii="宋体" w:hAnsi="宋体" w:eastAsia="宋体" w:cs="宋体"/>
          <w:b w:val="0"/>
          <w:color w:val="auto"/>
          <w:sz w:val="24"/>
          <w:szCs w:val="24"/>
          <w:highlight w:val="none"/>
        </w:rPr>
        <w:t>技术支持等。</w:t>
      </w:r>
      <w:r>
        <w:rPr>
          <w:rFonts w:hint="eastAsia" w:ascii="宋体" w:hAnsi="宋体" w:eastAsia="宋体" w:cs="宋体"/>
          <w:color w:val="auto"/>
          <w:sz w:val="24"/>
          <w:szCs w:val="24"/>
          <w:highlight w:val="none"/>
        </w:rPr>
        <w:t>费用包含在合同价格内</w:t>
      </w:r>
      <w:r>
        <w:rPr>
          <w:rFonts w:hint="eastAsia" w:ascii="宋体" w:hAnsi="宋体" w:eastAsia="宋体" w:cs="宋体"/>
          <w:color w:val="auto"/>
          <w:sz w:val="24"/>
          <w:szCs w:val="24"/>
          <w:highlight w:val="none"/>
          <w:lang w:eastAsia="zh-CN"/>
        </w:rPr>
        <w:t>。</w:t>
      </w:r>
    </w:p>
    <w:p w14:paraId="4CDDFBF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7.2.2.4卖方技术指导人员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代表卖方提供技术服务，完成按合同规定</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设备组装、安装、检查、调试和试验、试运行等技术指导和监督，并代表卖方承担相应责任。</w:t>
      </w:r>
    </w:p>
    <w:p w14:paraId="262650B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7.2.2.5卖方应负责监督和指导合同设备的正确校正、调整、清理、检查、检测和现场试验，负责合同设备安装调试质量的认定和现场试验有关的其它事项，并服从工地安装施工进度要求。</w:t>
      </w:r>
    </w:p>
    <w:p w14:paraId="53CCD0D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7.2.2.6卖方技术指导人员如发现安装工作未按照</w:t>
      </w:r>
      <w:r>
        <w:rPr>
          <w:rFonts w:hint="eastAsia" w:ascii="宋体" w:hAnsi="宋体" w:eastAsia="宋体" w:cs="宋体"/>
          <w:color w:val="auto"/>
          <w:sz w:val="24"/>
          <w:szCs w:val="24"/>
          <w:highlight w:val="none"/>
          <w:lang w:val="en-US" w:eastAsia="zh-CN"/>
        </w:rPr>
        <w:t>交底等规定</w:t>
      </w:r>
      <w:r>
        <w:rPr>
          <w:rFonts w:hint="eastAsia" w:ascii="宋体" w:hAnsi="宋体" w:eastAsia="宋体" w:cs="宋体"/>
          <w:color w:val="auto"/>
          <w:sz w:val="24"/>
          <w:szCs w:val="24"/>
          <w:highlight w:val="none"/>
        </w:rPr>
        <w:t>执行，应要求安装单位立即停止安装工作，并书面通知买方。卖方工地技术指导人员应对合同设备的启动和试运行的指导工作负责。</w:t>
      </w:r>
    </w:p>
    <w:p w14:paraId="2062B86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7.2.2.7卖方技术指导人员应详细解释技术文件、图纸、运行和维护手册、设备特性、分析方法和有关注意事项，解答和解决买方与安装单位提出的属于合同范围的技术问题。</w:t>
      </w:r>
    </w:p>
    <w:p w14:paraId="4F3F355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7.2.2.8卖方技术指导人员应向买方和安装单位提供全面正确的技术服务和必要的示范操作。</w:t>
      </w:r>
    </w:p>
    <w:p w14:paraId="311DCCA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7.2.2.9卖方技术指导人员应协助买方在现场培训买方技术人员，培训内容包括但不限于合同设备组装、安装、调试、试运行、验收试验、运行和维护等。</w:t>
      </w:r>
    </w:p>
    <w:p w14:paraId="4DF0881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7.2.2.10卖方技术指导人员应对设备安装方法、安装质量、设备试验、试运行和特性试验指导的正确性负责。若因卖方技术指导人员的原因（包括但不限于指导错误、失误、未进行指导、指导不详细、指导漏项等），使合同设备损坏，卖方应自费修复或更换，造成工期延误的，还应按合同约定支付违约金。</w:t>
      </w:r>
    </w:p>
    <w:p w14:paraId="32FA95A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7.2.2.11卖方技术指导人员对现场发现交货合同设备的任何缺陷和质量问题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有义务进行</w:t>
      </w:r>
      <w:r>
        <w:rPr>
          <w:rFonts w:hint="eastAsia" w:ascii="宋体" w:hAnsi="宋体" w:eastAsia="宋体" w:cs="宋体"/>
          <w:color w:val="auto"/>
          <w:sz w:val="24"/>
          <w:szCs w:val="24"/>
          <w:highlight w:val="none"/>
          <w:lang w:eastAsia="zh-CN"/>
        </w:rPr>
        <w:t>主动</w:t>
      </w:r>
      <w:r>
        <w:rPr>
          <w:rFonts w:hint="eastAsia" w:ascii="宋体" w:hAnsi="宋体" w:eastAsia="宋体" w:cs="宋体"/>
          <w:color w:val="auto"/>
          <w:sz w:val="24"/>
          <w:szCs w:val="24"/>
          <w:highlight w:val="none"/>
        </w:rPr>
        <w:t>检查，及时提出适合现场施工进度要求的技术处理方案和措施，并积极配合买方和安装单位采取措施。</w:t>
      </w:r>
    </w:p>
    <w:p w14:paraId="6271C0D0">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 技术服务</w:t>
      </w:r>
    </w:p>
    <w:p w14:paraId="51A9B38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w:t>
      </w:r>
      <w:r>
        <w:rPr>
          <w:rFonts w:hint="eastAsia" w:ascii="宋体" w:hAnsi="宋体" w:eastAsia="宋体" w:cs="宋体"/>
          <w:color w:val="auto"/>
          <w:sz w:val="24"/>
          <w:szCs w:val="24"/>
          <w:highlight w:val="none"/>
          <w:lang w:val="en-US" w:eastAsia="zh-CN"/>
        </w:rPr>
        <w:t xml:space="preserve">1 </w:t>
      </w:r>
      <w:r>
        <w:rPr>
          <w:rFonts w:hint="eastAsia" w:ascii="宋体" w:hAnsi="宋体" w:eastAsia="宋体" w:cs="宋体"/>
          <w:color w:val="auto"/>
          <w:sz w:val="24"/>
          <w:szCs w:val="24"/>
          <w:highlight w:val="none"/>
        </w:rPr>
        <w:t>设计联络会、协调会、技术培训及工厂检验：</w:t>
      </w:r>
    </w:p>
    <w:p w14:paraId="1AC0835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卖方应</w:t>
      </w:r>
      <w:r>
        <w:rPr>
          <w:rFonts w:hint="eastAsia" w:ascii="宋体" w:hAnsi="宋体" w:eastAsia="宋体" w:cs="宋体"/>
          <w:color w:val="auto"/>
          <w:sz w:val="24"/>
          <w:szCs w:val="24"/>
          <w:highlight w:val="none"/>
          <w:lang w:val="en-US" w:eastAsia="zh-CN"/>
        </w:rPr>
        <w:t>积极</w:t>
      </w:r>
      <w:r>
        <w:rPr>
          <w:rFonts w:hint="eastAsia" w:ascii="宋体" w:hAnsi="宋体" w:eastAsia="宋体" w:cs="宋体"/>
          <w:color w:val="auto"/>
          <w:sz w:val="24"/>
          <w:szCs w:val="24"/>
          <w:highlight w:val="none"/>
        </w:rPr>
        <w:t>组织</w:t>
      </w:r>
      <w:r>
        <w:rPr>
          <w:rFonts w:hint="eastAsia" w:ascii="宋体" w:hAnsi="宋体" w:eastAsia="宋体" w:cs="宋体"/>
          <w:color w:val="auto"/>
          <w:sz w:val="24"/>
          <w:szCs w:val="24"/>
          <w:highlight w:val="none"/>
          <w:lang w:val="en-US" w:eastAsia="zh-CN"/>
        </w:rPr>
        <w:t>召开或参加</w:t>
      </w:r>
      <w:r>
        <w:rPr>
          <w:rFonts w:hint="eastAsia" w:ascii="宋体" w:hAnsi="宋体" w:eastAsia="宋体" w:cs="宋体"/>
          <w:color w:val="auto"/>
          <w:sz w:val="24"/>
          <w:szCs w:val="24"/>
          <w:highlight w:val="none"/>
        </w:rPr>
        <w:t>设计联络会、协调会、技术培训及工厂检验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由此产生费用已包含在</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中，买方不再另行支付费用。</w:t>
      </w:r>
    </w:p>
    <w:p w14:paraId="42940C1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w:t>
      </w:r>
      <w:r>
        <w:rPr>
          <w:rFonts w:hint="eastAsia" w:ascii="宋体" w:hAnsi="宋体" w:eastAsia="宋体" w:cs="宋体"/>
          <w:color w:val="auto"/>
          <w:sz w:val="24"/>
          <w:szCs w:val="24"/>
          <w:highlight w:val="none"/>
          <w:lang w:val="en-US" w:eastAsia="zh-CN"/>
        </w:rPr>
        <w:t xml:space="preserve">2 </w:t>
      </w:r>
      <w:r>
        <w:rPr>
          <w:rFonts w:hint="eastAsia" w:ascii="宋体" w:hAnsi="宋体" w:eastAsia="宋体" w:cs="宋体"/>
          <w:color w:val="auto"/>
          <w:sz w:val="24"/>
          <w:szCs w:val="24"/>
          <w:highlight w:val="none"/>
        </w:rPr>
        <w:t>由于下列原因，买方将追究卖方因此而造成的一切损失和责任：</w:t>
      </w:r>
    </w:p>
    <w:p w14:paraId="2CDDE5DC">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（1）由于卖方技术指导人员指导不正确或指导错误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导致返工处理；</w:t>
      </w:r>
    </w:p>
    <w:p w14:paraId="70CC5B3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（2）由于卖方原因造成设备缺陷处理和指导工作；</w:t>
      </w:r>
    </w:p>
    <w:p w14:paraId="270C7382">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（3）其它因卖方原因造成的技术指导人员在现场的额外工作。</w:t>
      </w:r>
    </w:p>
    <w:p w14:paraId="258C347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卖方技术指导人员在工地的工作</w:t>
      </w:r>
    </w:p>
    <w:p w14:paraId="741651E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7.4.1卖方在其技术指导人员来工地前30天，应将技术指导人员的详细个人履历通知买方。卖方应负责其技术指导人员进出</w:t>
      </w:r>
      <w:r>
        <w:rPr>
          <w:rFonts w:hint="eastAsia" w:ascii="宋体" w:hAnsi="宋体" w:eastAsia="宋体" w:cs="宋体"/>
          <w:color w:val="auto"/>
          <w:sz w:val="24"/>
          <w:szCs w:val="24"/>
          <w:highlight w:val="none"/>
          <w:lang w:val="en-US" w:eastAsia="zh-CN"/>
        </w:rPr>
        <w:t>浙江镜岭水库</w:t>
      </w:r>
      <w:r>
        <w:rPr>
          <w:rFonts w:hint="eastAsia" w:ascii="宋体" w:hAnsi="宋体" w:eastAsia="宋体" w:cs="宋体"/>
          <w:color w:val="auto"/>
          <w:sz w:val="24"/>
          <w:szCs w:val="24"/>
          <w:highlight w:val="none"/>
        </w:rPr>
        <w:t>工程工地的所有手续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买方可提供必要的协助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，并且承担其交通、食宿和有关费用。</w:t>
      </w:r>
    </w:p>
    <w:p w14:paraId="7A5AC79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7.4.2在卖方技术指导人员到达工地前，买卖双方应共同协商制定总工作进度计划和月计划，卖方技术指导人员应根据</w:t>
      </w:r>
      <w:r>
        <w:rPr>
          <w:rFonts w:hint="eastAsia" w:ascii="宋体" w:hAnsi="宋体" w:eastAsia="宋体" w:cs="宋体"/>
          <w:color w:val="auto"/>
          <w:sz w:val="24"/>
          <w:szCs w:val="24"/>
          <w:highlight w:val="none"/>
          <w:lang w:val="en-US" w:eastAsia="zh-CN"/>
        </w:rPr>
        <w:t>总</w:t>
      </w:r>
      <w:r>
        <w:rPr>
          <w:rFonts w:hint="eastAsia" w:ascii="宋体" w:hAnsi="宋体" w:eastAsia="宋体" w:cs="宋体"/>
          <w:color w:val="auto"/>
          <w:sz w:val="24"/>
          <w:szCs w:val="24"/>
          <w:highlight w:val="none"/>
        </w:rPr>
        <w:t>工作进度和月计划进行工作。工作进度和月计划任何修改应由双方协商修改。卖方技术指导人员在现场的指导、指示、意见、建议、问题处理技术方案等应向买方提供书面文件。</w:t>
      </w:r>
    </w:p>
    <w:p w14:paraId="1C6C3C1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技术指导人员应以合适的工作方式提供技术指导服务，以满足买方对合同设备安装、调试、试运行和验收试验的要求。若卖方技术指导人员的工作方式不能适应现场工作和买方要求，买方相关负责人应通知现场工作组组长和卖方技术指导人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要求其限期改进工作方式。卖方技术指导人员应与买方人员友好合作，所提供的服务和行为应使买方满意。</w:t>
      </w:r>
    </w:p>
    <w:p w14:paraId="4DC345A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7.4.4</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卖方技术指导人员应遵守现场作息规定。在服务期间，卖方技术指导人员应对其行为负责，卖方及卖方技术指导人员不得要求额外增加费用。</w:t>
      </w:r>
    </w:p>
    <w:p w14:paraId="4E8986A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工作进度、每日工作、发生问题以及解决办法，应用中文</w:t>
      </w:r>
      <w:r>
        <w:rPr>
          <w:rFonts w:hint="eastAsia" w:ascii="宋体" w:hAnsi="宋体" w:eastAsia="宋体" w:cs="宋体"/>
          <w:color w:val="auto"/>
          <w:sz w:val="24"/>
          <w:szCs w:val="24"/>
          <w:highlight w:val="none"/>
          <w:lang w:eastAsia="zh-CN"/>
        </w:rPr>
        <w:t>一式两份</w:t>
      </w:r>
      <w:r>
        <w:rPr>
          <w:rFonts w:hint="eastAsia" w:ascii="宋体" w:hAnsi="宋体" w:eastAsia="宋体" w:cs="宋体"/>
          <w:color w:val="auto"/>
          <w:sz w:val="24"/>
          <w:szCs w:val="24"/>
          <w:highlight w:val="none"/>
        </w:rPr>
        <w:t>记录在“工作日志”中，每日由卖方现场工作组组长签字。每周/月工作进度、工作内容、需要协调问题等应用中文记录在工作周报、工作月报中，并提交给监理单位及买方审核。</w:t>
      </w:r>
    </w:p>
    <w:p w14:paraId="4C50E46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在完成技术服务以后，卖方应向买方提供一式陆份书面最终报告，概括卖方</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服务表现以及不正常情况和特别说明。最终报告编制格式和详细内容应经买方同意。</w:t>
      </w:r>
    </w:p>
    <w:p w14:paraId="6ABB6AE8">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卖方技术服务人员在工地的交通、食宿应自行解决。</w:t>
      </w:r>
    </w:p>
    <w:p w14:paraId="50FF4A9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卖方技术指导人员在当地居留期间，应遵守国家的法律和条例，以及工地的规章和制度。</w:t>
      </w:r>
    </w:p>
    <w:p w14:paraId="707F4E0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 休假</w:t>
      </w:r>
    </w:p>
    <w:p w14:paraId="76ED824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卖方技术指导人员休假具体时间应以工地工作不受影响或不拖期为前提，休假时间须由买方批准，休假期间应指定其他技术人员暂代其履行职责与合同义务。</w:t>
      </w:r>
    </w:p>
    <w:p w14:paraId="22523B7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卖方同意在卖方技术指导人员休假期间，不减轻其承担</w:t>
      </w:r>
      <w:r>
        <w:rPr>
          <w:rFonts w:hint="eastAsia" w:ascii="宋体" w:hAnsi="宋体" w:eastAsia="宋体" w:cs="宋体"/>
          <w:color w:val="auto"/>
          <w:sz w:val="24"/>
          <w:szCs w:val="24"/>
          <w:highlight w:val="none"/>
          <w:lang w:val="en-US" w:eastAsia="zh-CN"/>
        </w:rPr>
        <w:t>合同</w:t>
      </w:r>
      <w:r>
        <w:rPr>
          <w:rFonts w:hint="eastAsia" w:ascii="宋体" w:hAnsi="宋体" w:eastAsia="宋体" w:cs="宋体"/>
          <w:color w:val="auto"/>
          <w:sz w:val="24"/>
          <w:szCs w:val="24"/>
          <w:highlight w:val="none"/>
        </w:rPr>
        <w:t>任何义务。</w:t>
      </w:r>
    </w:p>
    <w:p w14:paraId="26EE5E2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 人员更换</w:t>
      </w:r>
    </w:p>
    <w:p w14:paraId="3A16428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7.6.1 如买方认为卖方委派的人员不能胜任工作而要求卖方更换，卖方应在10个工作日内予以更换</w:t>
      </w:r>
      <w:r>
        <w:rPr>
          <w:rFonts w:hint="eastAsia" w:ascii="宋体" w:hAnsi="宋体" w:eastAsia="宋体" w:cs="宋体"/>
          <w:strike w:val="0"/>
          <w:color w:val="auto"/>
          <w:sz w:val="24"/>
          <w:szCs w:val="24"/>
          <w:highlight w:val="none"/>
          <w:lang w:eastAsia="zh-CN"/>
        </w:rPr>
        <w:t>。</w:t>
      </w:r>
      <w:r>
        <w:rPr>
          <w:rFonts w:hint="eastAsia" w:ascii="宋体" w:hAnsi="宋体" w:eastAsia="宋体" w:cs="宋体"/>
          <w:strike w:val="0"/>
          <w:color w:val="auto"/>
          <w:sz w:val="24"/>
          <w:szCs w:val="24"/>
          <w:highlight w:val="none"/>
        </w:rPr>
        <w:t>卖方不按要求更换的，视为卖方违约，买方可按本合同约定处理</w:t>
      </w:r>
      <w:r>
        <w:rPr>
          <w:rFonts w:hint="eastAsia" w:ascii="宋体" w:hAnsi="宋体" w:eastAsia="宋体" w:cs="宋体"/>
          <w:color w:val="auto"/>
          <w:sz w:val="24"/>
          <w:szCs w:val="24"/>
          <w:highlight w:val="none"/>
        </w:rPr>
        <w:t>；买方认为现场人员不足时，卖方应根据买方要求增加，合同价格不予调整。</w:t>
      </w:r>
    </w:p>
    <w:p w14:paraId="7324590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7.6.2 合同履行过程中，卖方未经买方同意擅自更换现场工作组组长、其他工作小组成员或技术指导人员，视为卖方违约，</w:t>
      </w:r>
      <w:r>
        <w:rPr>
          <w:rFonts w:hint="eastAsia" w:ascii="宋体" w:hAnsi="宋体" w:eastAsia="宋体" w:cs="宋体"/>
          <w:strike w:val="0"/>
          <w:color w:val="auto"/>
          <w:sz w:val="24"/>
          <w:szCs w:val="24"/>
          <w:highlight w:val="none"/>
        </w:rPr>
        <w:t>买方可按本合同约定处理</w:t>
      </w:r>
      <w:r>
        <w:rPr>
          <w:rFonts w:hint="eastAsia" w:ascii="宋体" w:hAnsi="宋体" w:eastAsia="宋体" w:cs="宋体"/>
          <w:color w:val="auto"/>
          <w:sz w:val="24"/>
          <w:szCs w:val="24"/>
          <w:highlight w:val="none"/>
        </w:rPr>
        <w:t>。卖方现场工作小组成员由于合理原因无法继续在现场服务时，卖方可提出人员更换申请，经买方同意后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方可更换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更换的人员资历和条件需满足招标文件要求，否则卖方应按照擅自更换支付违约金。</w:t>
      </w:r>
    </w:p>
    <w:p w14:paraId="5DC4A70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7.6.3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买方无须提供任何说明，有权要求卖方更换卖方技术指导人员，更换的全部费用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应由卖方承担。</w:t>
      </w:r>
    </w:p>
    <w:p w14:paraId="04E879D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 买方技术人员在卖方的培训</w:t>
      </w:r>
    </w:p>
    <w:p w14:paraId="28BB602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为保证合同设备顺利安装调试和正常运行，卖方</w:t>
      </w:r>
      <w:r>
        <w:rPr>
          <w:rFonts w:hint="eastAsia" w:ascii="宋体" w:hAnsi="宋体" w:eastAsia="宋体" w:cs="宋体"/>
          <w:color w:val="auto"/>
          <w:sz w:val="24"/>
          <w:szCs w:val="24"/>
          <w:highlight w:val="none"/>
          <w:lang w:val="en-US" w:eastAsia="zh-CN"/>
        </w:rPr>
        <w:t>应负责对</w:t>
      </w:r>
      <w:r>
        <w:rPr>
          <w:rFonts w:hint="eastAsia" w:ascii="宋体" w:hAnsi="宋体" w:eastAsia="宋体" w:cs="宋体"/>
          <w:color w:val="auto"/>
          <w:sz w:val="24"/>
          <w:szCs w:val="24"/>
          <w:highlight w:val="none"/>
        </w:rPr>
        <w:t>安装和运行维护的买方人员进行技术培训。</w:t>
      </w:r>
    </w:p>
    <w:p w14:paraId="50C5884E">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7.7.2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培训结束时，卖方应出具具有培训内容的证明书，并由买、卖双方代表签字。</w:t>
      </w:r>
    </w:p>
    <w:p w14:paraId="3EFA4F3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7.8 其他</w:t>
      </w:r>
    </w:p>
    <w:p w14:paraId="3AA190C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质量保证期</w:t>
      </w:r>
      <w:r>
        <w:rPr>
          <w:rFonts w:hint="eastAsia" w:ascii="宋体" w:hAnsi="宋体" w:eastAsia="宋体" w:cs="宋体"/>
          <w:color w:val="auto"/>
          <w:sz w:val="24"/>
          <w:szCs w:val="24"/>
          <w:highlight w:val="none"/>
          <w:lang w:val="en-US" w:eastAsia="zh-CN"/>
        </w:rPr>
        <w:t>满</w:t>
      </w:r>
      <w:r>
        <w:rPr>
          <w:rFonts w:hint="eastAsia" w:ascii="宋体" w:hAnsi="宋体" w:eastAsia="宋体" w:cs="宋体"/>
          <w:color w:val="auto"/>
          <w:sz w:val="24"/>
          <w:szCs w:val="24"/>
          <w:highlight w:val="none"/>
        </w:rPr>
        <w:t>后，卖方应继续履行售后服务义务，帮助合同设备的完善和技术更新；以优惠的价格提供买方所需的零部件、材料；参加由买方组织的合同设备重要技术问题的处理。</w:t>
      </w:r>
      <w:bookmarkEnd w:id="768"/>
      <w:bookmarkEnd w:id="769"/>
    </w:p>
    <w:p w14:paraId="0303513D">
      <w:pPr>
        <w:kinsoku/>
        <w:topLinePunct/>
        <w:spacing w:beforeLines="0" w:afterLines="0" w:line="360" w:lineRule="auto"/>
        <w:ind w:firstLine="482" w:firstLineChars="200"/>
        <w:outlineLvl w:val="2"/>
        <w:rPr>
          <w:rFonts w:hint="eastAsia" w:ascii="宋体" w:hAnsi="宋体" w:eastAsia="宋体" w:cs="宋体"/>
          <w:color w:val="auto"/>
          <w:sz w:val="24"/>
          <w:szCs w:val="24"/>
          <w:highlight w:val="none"/>
        </w:rPr>
      </w:pPr>
      <w:bookmarkStart w:id="770" w:name="_Toc530566100"/>
      <w:bookmarkStart w:id="771" w:name="_Toc28550499"/>
      <w:r>
        <w:rPr>
          <w:rFonts w:hint="eastAsia" w:ascii="宋体" w:hAnsi="宋体" w:eastAsia="宋体" w:cs="宋体"/>
          <w:b/>
          <w:color w:val="auto"/>
          <w:kern w:val="2"/>
          <w:sz w:val="24"/>
          <w:szCs w:val="24"/>
          <w:highlight w:val="none"/>
        </w:rPr>
        <w:t>8  质量保证期</w:t>
      </w:r>
      <w:bookmarkEnd w:id="770"/>
      <w:bookmarkEnd w:id="771"/>
    </w:p>
    <w:p w14:paraId="11E8A6D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（修改）本款修改为以下内容：</w:t>
      </w:r>
    </w:p>
    <w:p w14:paraId="3814750C">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质量保证期不少于</w:t>
      </w:r>
      <w:r>
        <w:rPr>
          <w:rFonts w:hint="eastAsia" w:ascii="宋体" w:hAnsi="宋体" w:eastAsia="宋体" w:cs="宋体"/>
          <w:color w:val="auto"/>
          <w:sz w:val="24"/>
          <w:szCs w:val="24"/>
          <w:highlight w:val="none"/>
          <w:u w:val="single"/>
          <w:lang w:val="en-US" w:eastAsia="zh-CN"/>
        </w:rPr>
        <w:t>24</w:t>
      </w:r>
      <w:r>
        <w:rPr>
          <w:rFonts w:hint="eastAsia" w:ascii="宋体" w:hAnsi="宋体" w:eastAsia="宋体" w:cs="宋体"/>
          <w:color w:val="auto"/>
          <w:sz w:val="24"/>
          <w:szCs w:val="24"/>
          <w:highlight w:val="none"/>
        </w:rPr>
        <w:t>个月，</w:t>
      </w:r>
      <w:r>
        <w:rPr>
          <w:rFonts w:hint="eastAsia" w:ascii="宋体" w:hAnsi="宋体" w:eastAsia="宋体" w:cs="宋体"/>
          <w:color w:val="auto"/>
          <w:sz w:val="24"/>
          <w:szCs w:val="24"/>
          <w:highlight w:val="none"/>
          <w:lang w:eastAsia="zh-CN"/>
        </w:rPr>
        <w:t>时间从浙江镜岭水库工程通过试运行之日起算</w:t>
      </w:r>
      <w:r>
        <w:rPr>
          <w:rFonts w:hint="eastAsia" w:ascii="宋体" w:hAnsi="宋体" w:eastAsia="宋体" w:cs="宋体"/>
          <w:color w:val="auto"/>
          <w:sz w:val="24"/>
          <w:szCs w:val="24"/>
          <w:highlight w:val="none"/>
        </w:rPr>
        <w:t>。</w:t>
      </w:r>
    </w:p>
    <w:p w14:paraId="0D1EF07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8.7</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（补充）潜在缺陷的质量保证期：在正常保证期内一旦发现</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的任何部分有潜在缺陷，则此部分的保证期从缺陷发现日起重新计算。本条款所提的“潜在缺陷”是指上述正常</w:t>
      </w:r>
      <w:r>
        <w:rPr>
          <w:rFonts w:hint="eastAsia" w:ascii="宋体" w:hAnsi="宋体" w:eastAsia="宋体" w:cs="宋体"/>
          <w:color w:val="auto"/>
          <w:sz w:val="24"/>
          <w:szCs w:val="24"/>
          <w:highlight w:val="none"/>
          <w:lang w:val="en-US" w:eastAsia="zh-CN"/>
        </w:rPr>
        <w:t>质</w:t>
      </w:r>
      <w:r>
        <w:rPr>
          <w:rFonts w:hint="eastAsia" w:ascii="宋体" w:hAnsi="宋体" w:eastAsia="宋体" w:cs="宋体"/>
          <w:color w:val="auto"/>
          <w:sz w:val="24"/>
          <w:szCs w:val="24"/>
          <w:highlight w:val="none"/>
        </w:rPr>
        <w:t>保期满之前，正常检验时未被发现的由于工艺粗糙、设计错误或材料缺陷和其他因</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之过失所造成的缺陷。</w:t>
      </w:r>
    </w:p>
    <w:p w14:paraId="6F049257">
      <w:pPr>
        <w:kinsoku/>
        <w:topLinePunct/>
        <w:spacing w:beforeLines="0" w:afterLines="0" w:line="360" w:lineRule="auto"/>
        <w:ind w:firstLine="480" w:firstLineChars="200"/>
        <w:rPr>
          <w:rFonts w:hint="eastAsia" w:ascii="宋体" w:hAnsi="宋体" w:eastAsia="宋体" w:cs="宋体"/>
          <w:color w:val="auto"/>
          <w:sz w:val="24"/>
          <w:szCs w:val="24"/>
          <w:highlight w:val="none"/>
        </w:rPr>
      </w:pPr>
      <w:bookmarkStart w:id="772" w:name="_Toc28550500"/>
      <w:r>
        <w:rPr>
          <w:rFonts w:hint="eastAsia" w:ascii="宋体" w:hAnsi="宋体" w:eastAsia="宋体" w:cs="宋体"/>
          <w:color w:val="auto"/>
          <w:sz w:val="24"/>
          <w:szCs w:val="24"/>
          <w:highlight w:val="none"/>
        </w:rPr>
        <w:t>8.8</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（补充）保证义务</w:t>
      </w:r>
      <w:bookmarkEnd w:id="772"/>
    </w:p>
    <w:p w14:paraId="1A54ECE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（1）若在</w:t>
      </w:r>
      <w:r>
        <w:rPr>
          <w:rFonts w:hint="eastAsia" w:ascii="宋体" w:hAnsi="宋体" w:eastAsia="宋体" w:cs="宋体"/>
          <w:color w:val="auto"/>
          <w:sz w:val="24"/>
          <w:szCs w:val="24"/>
          <w:highlight w:val="none"/>
          <w:lang w:val="en-US" w:eastAsia="zh-CN"/>
        </w:rPr>
        <w:t>质保</w:t>
      </w:r>
      <w:r>
        <w:rPr>
          <w:rFonts w:hint="eastAsia" w:ascii="宋体" w:hAnsi="宋体" w:eastAsia="宋体" w:cs="宋体"/>
          <w:color w:val="auto"/>
          <w:sz w:val="24"/>
          <w:szCs w:val="24"/>
          <w:highlight w:val="none"/>
        </w:rPr>
        <w:t>期内有缺陷或损坏发生，</w:t>
      </w:r>
      <w:r>
        <w:rPr>
          <w:rFonts w:hint="eastAsia" w:ascii="宋体" w:hAnsi="宋体" w:eastAsia="宋体" w:cs="宋体"/>
          <w:color w:val="auto"/>
          <w:sz w:val="24"/>
          <w:szCs w:val="24"/>
          <w:highlight w:val="none"/>
          <w:lang w:eastAsia="zh-CN"/>
        </w:rPr>
        <w:t>买方</w:t>
      </w:r>
      <w:r>
        <w:rPr>
          <w:rFonts w:hint="eastAsia" w:ascii="宋体" w:hAnsi="宋体" w:eastAsia="宋体" w:cs="宋体"/>
          <w:color w:val="auto"/>
          <w:sz w:val="24"/>
          <w:szCs w:val="24"/>
          <w:highlight w:val="none"/>
        </w:rPr>
        <w:t>应以书面形式通知</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缺陷或损坏的性质及程度。如</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的任何一部分出现缺陷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卖方应对</w:t>
      </w:r>
      <w:r>
        <w:rPr>
          <w:rFonts w:hint="eastAsia" w:ascii="宋体" w:hAnsi="宋体" w:eastAsia="宋体" w:cs="宋体"/>
          <w:color w:val="auto"/>
          <w:sz w:val="24"/>
          <w:szCs w:val="24"/>
          <w:highlight w:val="none"/>
        </w:rPr>
        <w:t>所有</w:t>
      </w:r>
      <w:r>
        <w:rPr>
          <w:rFonts w:hint="eastAsia" w:ascii="宋体" w:hAnsi="宋体" w:eastAsia="宋体" w:cs="宋体"/>
          <w:color w:val="auto"/>
          <w:sz w:val="24"/>
          <w:szCs w:val="24"/>
          <w:highlight w:val="none"/>
          <w:lang w:val="en-US" w:eastAsia="zh-CN"/>
        </w:rPr>
        <w:t>缺陷</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修理或更</w:t>
      </w:r>
      <w:r>
        <w:rPr>
          <w:rFonts w:hint="eastAsia" w:ascii="宋体" w:hAnsi="宋体" w:eastAsia="宋体" w:cs="宋体"/>
          <w:color w:val="auto"/>
          <w:sz w:val="24"/>
          <w:szCs w:val="24"/>
          <w:highlight w:val="none"/>
          <w:lang w:val="en-US" w:eastAsia="zh-CN"/>
        </w:rPr>
        <w:t>换</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承担全部费用，包括搬运、重新安装、运输和保险费</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w:t>
      </w:r>
    </w:p>
    <w:p w14:paraId="1CE0CD6E">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（2）在</w:t>
      </w:r>
      <w:r>
        <w:rPr>
          <w:rFonts w:hint="eastAsia" w:ascii="宋体" w:hAnsi="宋体" w:eastAsia="宋体" w:cs="宋体"/>
          <w:color w:val="auto"/>
          <w:sz w:val="24"/>
          <w:szCs w:val="24"/>
          <w:highlight w:val="none"/>
          <w:lang w:val="en-US" w:eastAsia="zh-CN"/>
        </w:rPr>
        <w:t>质保</w:t>
      </w:r>
      <w:r>
        <w:rPr>
          <w:rFonts w:hint="eastAsia" w:ascii="宋体" w:hAnsi="宋体" w:eastAsia="宋体" w:cs="宋体"/>
          <w:color w:val="auto"/>
          <w:sz w:val="24"/>
          <w:szCs w:val="24"/>
          <w:highlight w:val="none"/>
        </w:rPr>
        <w:t>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的任何部分进行更换、重新设计、修改或更新，</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的更换、重新设计、修改或更新部分</w:t>
      </w:r>
      <w:r>
        <w:rPr>
          <w:rFonts w:hint="eastAsia" w:ascii="宋体" w:hAnsi="宋体" w:eastAsia="宋体" w:cs="宋体"/>
          <w:color w:val="auto"/>
          <w:sz w:val="24"/>
          <w:szCs w:val="24"/>
          <w:highlight w:val="none"/>
          <w:lang w:val="en-US" w:eastAsia="zh-CN"/>
        </w:rPr>
        <w:t>的质</w:t>
      </w:r>
      <w:r>
        <w:rPr>
          <w:rFonts w:hint="eastAsia" w:ascii="宋体" w:hAnsi="宋体" w:eastAsia="宋体" w:cs="宋体"/>
          <w:color w:val="auto"/>
          <w:sz w:val="24"/>
          <w:szCs w:val="24"/>
          <w:highlight w:val="none"/>
        </w:rPr>
        <w:t>保期从更换、重新设计、修改或更新完成之日起</w:t>
      </w:r>
      <w:r>
        <w:rPr>
          <w:rFonts w:hint="eastAsia" w:ascii="宋体" w:hAnsi="宋体" w:eastAsia="宋体" w:cs="宋体"/>
          <w:color w:val="auto"/>
          <w:sz w:val="24"/>
          <w:szCs w:val="24"/>
          <w:highlight w:val="none"/>
          <w:lang w:val="en-US" w:eastAsia="zh-CN"/>
        </w:rPr>
        <w:t>算。</w:t>
      </w:r>
    </w:p>
    <w:p w14:paraId="7417E35E">
      <w:pPr>
        <w:pStyle w:val="3"/>
        <w:kinsoku/>
        <w:wordWrap/>
        <w:overflowPunct w:val="0"/>
        <w:topLinePunct/>
        <w:autoSpaceDE/>
        <w:autoSpaceDN/>
        <w:spacing w:beforeLines="0" w:afterLines="0" w:line="360" w:lineRule="auto"/>
        <w:ind w:firstLine="482" w:firstLineChars="200"/>
        <w:rPr>
          <w:rFonts w:hint="eastAsia" w:ascii="宋体" w:hAnsi="宋体" w:eastAsia="宋体" w:cs="宋体"/>
          <w:b/>
          <w:bCs w:val="0"/>
          <w:color w:val="auto"/>
          <w:kern w:val="2"/>
          <w:szCs w:val="24"/>
          <w:highlight w:val="none"/>
        </w:rPr>
      </w:pPr>
      <w:r>
        <w:rPr>
          <w:rFonts w:hint="eastAsia" w:ascii="宋体" w:hAnsi="宋体" w:eastAsia="宋体" w:cs="宋体"/>
          <w:b/>
          <w:bCs w:val="0"/>
          <w:color w:val="auto"/>
          <w:kern w:val="2"/>
          <w:szCs w:val="24"/>
          <w:highlight w:val="none"/>
        </w:rPr>
        <w:t>10  履约保证金</w:t>
      </w:r>
    </w:p>
    <w:p w14:paraId="1658B341">
      <w:pPr>
        <w:widowControl w:val="0"/>
        <w:kinsoku/>
        <w:wordWrap/>
        <w:overflowPunct w:val="0"/>
        <w:topLinePunct/>
        <w:autoSpaceDE/>
        <w:autoSpaceDN/>
        <w:adjustRightInd w:val="0"/>
        <w:snapToGrid w:val="0"/>
        <w:spacing w:beforeLines="0" w:afterLines="0" w:line="360" w:lineRule="auto"/>
        <w:ind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履约保证金为合同总价的2%。如果卖方不履行合同约定义务或其履行不符合合同约定，买方有权扣划相应金额的履约保证金。</w:t>
      </w:r>
    </w:p>
    <w:p w14:paraId="6840EA47">
      <w:pPr>
        <w:widowControl w:val="0"/>
        <w:kinsoku/>
        <w:wordWrap/>
        <w:overflowPunct w:val="0"/>
        <w:topLinePunct/>
        <w:autoSpaceDE/>
        <w:autoSpaceDN/>
        <w:adjustRightInd w:val="0"/>
        <w:snapToGrid w:val="0"/>
        <w:spacing w:beforeLines="0" w:afterLines="0" w:line="360" w:lineRule="auto"/>
        <w:ind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履约担保的方式、金额、提交时间及期限：合同签订前提交合同价格的2%的履约担保。形式：经买方认可的银行保函或保险机构保险保证保单或融资担保公司保函或现金。提交时间：合同签订前7天提交。期限：履约担保期限自担保提交之日起至工程完工验收通过后90个日历天。</w:t>
      </w:r>
    </w:p>
    <w:p w14:paraId="1D8B0864">
      <w:pPr>
        <w:widowControl w:val="0"/>
        <w:kinsoku/>
        <w:wordWrap/>
        <w:overflowPunct w:val="0"/>
        <w:topLinePunct/>
        <w:autoSpaceDE/>
        <w:autoSpaceDN/>
        <w:adjustRightInd w:val="0"/>
        <w:snapToGrid w:val="0"/>
        <w:spacing w:beforeLines="0" w:afterLines="0" w:line="360" w:lineRule="auto"/>
        <w:ind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履约担保扣除及补足：</w:t>
      </w:r>
    </w:p>
    <w:p w14:paraId="6A107466">
      <w:pPr>
        <w:widowControl w:val="0"/>
        <w:kinsoku/>
        <w:wordWrap/>
        <w:overflowPunct w:val="0"/>
        <w:topLinePunct/>
        <w:autoSpaceDE/>
        <w:autoSpaceDN/>
        <w:adjustRightInd w:val="0"/>
        <w:snapToGrid w:val="0"/>
        <w:spacing w:beforeLines="0" w:afterLines="0" w:line="360" w:lineRule="auto"/>
        <w:ind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卖方出现违约情形以买方或买方现场代表出具的书面意见为准，买方直接以此为索赔依据，要求卖方承担违约责任；并从履约担保金额或者应支付货款中直接扣除本合同规定的卖方应承担的费用、违约金、赔偿金等任何款项。卖方若以保函形式向买方提供履约担保的，买方有权向出具前述保函的机构，要求无条件支付相应部分履约担保金额；拒绝支付的，买方有权直接从卖方工程款中扣除或提存相应数额的履约担保金额。</w:t>
      </w:r>
    </w:p>
    <w:p w14:paraId="64AC6EB1">
      <w:pPr>
        <w:widowControl w:val="0"/>
        <w:kinsoku/>
        <w:wordWrap/>
        <w:overflowPunct w:val="0"/>
        <w:topLinePunct/>
        <w:autoSpaceDE/>
        <w:autoSpaceDN/>
        <w:adjustRightInd w:val="0"/>
        <w:snapToGrid w:val="0"/>
        <w:spacing w:beforeLines="0" w:afterLines="0" w:line="360" w:lineRule="auto"/>
        <w:ind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2）本合同履行过程中，因卖方违约，买方扣除全部或部分履约担保的，则自买方书面通知之日起5天内，卖方应以经买方认可的银行保函方式向买方补足该履约担保金额；逾期补足的，卖方应向买方按未补足金额的千分之一每日计付违约金。逾期【60】日仍不补足的，买方有权解除本合同，且扣除剩余的履约担保金额，并要求卖方赔偿由此给买方造成的实际损失。</w:t>
      </w:r>
    </w:p>
    <w:p w14:paraId="54A870D4">
      <w:pPr>
        <w:widowControl w:val="0"/>
        <w:kinsoku/>
        <w:wordWrap/>
        <w:overflowPunct w:val="0"/>
        <w:topLinePunct/>
        <w:autoSpaceDE/>
        <w:autoSpaceDN/>
        <w:adjustRightInd w:val="0"/>
        <w:snapToGrid w:val="0"/>
        <w:spacing w:beforeLines="0" w:afterLines="0" w:line="360" w:lineRule="auto"/>
        <w:ind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（3）如工期拖延，则卖方必须在保函有效期满前一个月内办理保函有效期顺延事宜，否则视作违约，买方暂停支付工程款，且卖方须承担其他相关违约责任。</w:t>
      </w:r>
    </w:p>
    <w:p w14:paraId="29C66C0E">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snapToGrid w:val="0"/>
          <w:color w:val="auto"/>
          <w:kern w:val="2"/>
          <w:sz w:val="24"/>
          <w:szCs w:val="24"/>
          <w:highlight w:val="none"/>
          <w:lang w:val="en-US" w:eastAsia="zh-CN" w:bidi="ar-SA"/>
        </w:rPr>
        <w:t>卖方应保证其履约担保在工程完工结算前一直有效。买方应在扣留质量保证金时，将履约担保退还给卖方。</w:t>
      </w:r>
    </w:p>
    <w:p w14:paraId="5D65F346">
      <w:pPr>
        <w:kinsoku/>
        <w:topLinePunct/>
        <w:spacing w:beforeLines="0" w:afterLines="0" w:line="360" w:lineRule="auto"/>
        <w:ind w:firstLine="482" w:firstLineChars="200"/>
        <w:outlineLvl w:val="2"/>
        <w:rPr>
          <w:rFonts w:hint="eastAsia" w:ascii="宋体" w:hAnsi="宋体" w:eastAsia="宋体" w:cs="宋体"/>
          <w:color w:val="auto"/>
          <w:sz w:val="24"/>
          <w:szCs w:val="24"/>
          <w:highlight w:val="none"/>
        </w:rPr>
      </w:pPr>
      <w:bookmarkStart w:id="773" w:name="_Toc28550502"/>
      <w:r>
        <w:rPr>
          <w:rFonts w:hint="eastAsia" w:ascii="宋体" w:hAnsi="宋体" w:eastAsia="宋体" w:cs="宋体"/>
          <w:b/>
          <w:color w:val="auto"/>
          <w:kern w:val="2"/>
          <w:sz w:val="24"/>
          <w:szCs w:val="24"/>
          <w:highlight w:val="none"/>
        </w:rPr>
        <w:t>11  保 证</w:t>
      </w:r>
      <w:bookmarkEnd w:id="773"/>
    </w:p>
    <w:p w14:paraId="31AA9E6C">
      <w:pPr>
        <w:keepNext w:val="0"/>
        <w:keepLines w:val="0"/>
        <w:pageBreakBefore w:val="0"/>
        <w:widowControl/>
        <w:kinsoku/>
        <w:wordWrap/>
        <w:overflowPunct w:val="0"/>
        <w:topLinePunct/>
        <w:autoSpaceDE/>
        <w:autoSpaceDN/>
        <w:bidi w:val="0"/>
        <w:adjustRightInd w:val="0"/>
        <w:snapToGrid w:val="0"/>
        <w:spacing w:beforeLines="0" w:afterLines="0" w:line="360" w:lineRule="auto"/>
        <w:ind w:firstLine="480" w:firstLineChars="200"/>
        <w:textAlignment w:val="baseline"/>
        <w:outlineLvl w:val="9"/>
        <w:rPr>
          <w:rFonts w:hint="eastAsia" w:ascii="宋体" w:hAnsi="宋体" w:eastAsia="宋体" w:cs="宋体"/>
          <w:color w:val="auto"/>
          <w:sz w:val="24"/>
          <w:szCs w:val="24"/>
          <w:highlight w:val="none"/>
        </w:rPr>
      </w:pPr>
      <w:bookmarkStart w:id="774" w:name="_Toc28550503"/>
      <w:r>
        <w:rPr>
          <w:rFonts w:hint="eastAsia" w:ascii="宋体" w:hAnsi="宋体" w:eastAsia="宋体" w:cs="宋体"/>
          <w:color w:val="auto"/>
          <w:sz w:val="24"/>
          <w:szCs w:val="24"/>
          <w:highlight w:val="none"/>
        </w:rPr>
        <w:t>11.9</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（增加）</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保证：</w:t>
      </w:r>
    </w:p>
    <w:p w14:paraId="026250D4">
      <w:pPr>
        <w:numPr>
          <w:ilvl w:val="0"/>
          <w:numId w:val="4"/>
        </w:numPr>
        <w:kinsoku/>
        <w:wordWrap/>
        <w:overflowPunct w:val="0"/>
        <w:topLinePunct/>
        <w:autoSpaceDE/>
        <w:autoSpaceDN/>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货物在安装、调试、试运行期</w:t>
      </w:r>
      <w:r>
        <w:rPr>
          <w:rFonts w:hint="eastAsia" w:ascii="宋体" w:hAnsi="宋体" w:eastAsia="宋体" w:cs="宋体"/>
          <w:color w:val="auto"/>
          <w:sz w:val="24"/>
          <w:szCs w:val="24"/>
          <w:highlight w:val="none"/>
          <w:lang w:val="en-US" w:eastAsia="zh-CN"/>
        </w:rPr>
        <w:t>间</w:t>
      </w:r>
      <w:r>
        <w:rPr>
          <w:rFonts w:hint="eastAsia" w:ascii="宋体" w:hAnsi="宋体" w:eastAsia="宋体" w:cs="宋体"/>
          <w:color w:val="auto"/>
          <w:sz w:val="24"/>
          <w:szCs w:val="24"/>
          <w:highlight w:val="none"/>
        </w:rPr>
        <w:t>出现任何</w:t>
      </w:r>
      <w:r>
        <w:rPr>
          <w:rFonts w:hint="eastAsia" w:ascii="宋体" w:hAnsi="宋体" w:eastAsia="宋体" w:cs="宋体"/>
          <w:color w:val="auto"/>
          <w:sz w:val="24"/>
          <w:szCs w:val="24"/>
          <w:highlight w:val="none"/>
          <w:lang w:val="en-US" w:eastAsia="zh-CN"/>
        </w:rPr>
        <w:t>因所供货物自身质量而引起的</w:t>
      </w:r>
      <w:r>
        <w:rPr>
          <w:rFonts w:hint="eastAsia" w:ascii="宋体" w:hAnsi="宋体" w:eastAsia="宋体" w:cs="宋体"/>
          <w:color w:val="auto"/>
          <w:sz w:val="24"/>
          <w:szCs w:val="24"/>
          <w:highlight w:val="none"/>
        </w:rPr>
        <w:t>问题，应及时采取包括维修、更换在内所有可能的修补措施，确保所有货物验收合格。</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采取保证措施的费用由</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承担。</w:t>
      </w:r>
    </w:p>
    <w:p w14:paraId="68CE39C8">
      <w:pPr>
        <w:numPr>
          <w:ilvl w:val="0"/>
          <w:numId w:val="4"/>
        </w:numPr>
        <w:kinsoku/>
        <w:wordWrap/>
        <w:overflowPunct w:val="0"/>
        <w:topLinePunct/>
        <w:autoSpaceDE/>
        <w:autoSpaceDN/>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质保期间，货物出现任何</w:t>
      </w:r>
      <w:r>
        <w:rPr>
          <w:rFonts w:hint="eastAsia" w:ascii="宋体" w:hAnsi="宋体" w:eastAsia="宋体" w:cs="宋体"/>
          <w:color w:val="auto"/>
          <w:sz w:val="24"/>
          <w:szCs w:val="24"/>
          <w:highlight w:val="none"/>
          <w:lang w:val="en-US" w:eastAsia="zh-CN"/>
        </w:rPr>
        <w:t>因所供货物自身质量而引起的</w:t>
      </w:r>
      <w:r>
        <w:rPr>
          <w:rFonts w:hint="eastAsia" w:ascii="宋体" w:hAnsi="宋体" w:eastAsia="宋体" w:cs="宋体"/>
          <w:color w:val="auto"/>
          <w:sz w:val="24"/>
          <w:szCs w:val="24"/>
          <w:highlight w:val="none"/>
        </w:rPr>
        <w:t>问题，</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应及时采取包括维修、更换在内所有可能的修补措施</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采取保证措施的费用由</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承担。</w:t>
      </w:r>
    </w:p>
    <w:p w14:paraId="259FA82C">
      <w:pPr>
        <w:keepNext w:val="0"/>
        <w:keepLines w:val="0"/>
        <w:pageBreakBefore w:val="0"/>
        <w:widowControl/>
        <w:kinsoku/>
        <w:wordWrap/>
        <w:overflowPunct w:val="0"/>
        <w:topLinePunct/>
        <w:autoSpaceDE/>
        <w:autoSpaceDN/>
        <w:bidi w:val="0"/>
        <w:adjustRightInd w:val="0"/>
        <w:snapToGrid w:val="0"/>
        <w:spacing w:beforeLines="0" w:afterLines="0" w:line="360" w:lineRule="auto"/>
        <w:ind w:firstLine="480" w:firstLineChars="200"/>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 xml:space="preserve">0 </w:t>
      </w:r>
      <w:r>
        <w:rPr>
          <w:rFonts w:hint="eastAsia" w:ascii="宋体" w:hAnsi="宋体" w:eastAsia="宋体" w:cs="宋体"/>
          <w:color w:val="auto"/>
          <w:sz w:val="24"/>
          <w:szCs w:val="24"/>
          <w:highlight w:val="none"/>
          <w:lang w:eastAsia="zh-CN"/>
        </w:rPr>
        <w:t>卖方</w:t>
      </w:r>
      <w:r>
        <w:rPr>
          <w:rFonts w:hint="eastAsia" w:ascii="宋体" w:hAnsi="宋体" w:eastAsia="宋体" w:cs="宋体"/>
          <w:color w:val="auto"/>
          <w:sz w:val="24"/>
          <w:szCs w:val="24"/>
          <w:highlight w:val="none"/>
        </w:rPr>
        <w:t>保证：</w:t>
      </w:r>
    </w:p>
    <w:p w14:paraId="1B713258">
      <w:pPr>
        <w:numPr>
          <w:ilvl w:val="0"/>
          <w:numId w:val="0"/>
        </w:numPr>
        <w:kinsoku/>
        <w:wordWrap/>
        <w:overflowPunct w:val="0"/>
        <w:topLinePunct/>
        <w:autoSpaceDE/>
        <w:autoSpaceDN/>
        <w:spacing w:beforeLines="0" w:afterLines="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卖</w:t>
      </w:r>
      <w:r>
        <w:rPr>
          <w:rFonts w:hint="eastAsia" w:ascii="宋体" w:hAnsi="宋体" w:eastAsia="宋体" w:cs="宋体"/>
          <w:color w:val="auto"/>
          <w:sz w:val="24"/>
          <w:szCs w:val="24"/>
          <w:highlight w:val="none"/>
        </w:rPr>
        <w:t>方应保证所有货物是全新、未使用的、无假冒、伪劣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并完全符合招标文件和本合同规定质量、规格要求。</w:t>
      </w:r>
    </w:p>
    <w:p w14:paraId="012AD9E5">
      <w:pPr>
        <w:kinsoku/>
        <w:topLinePunct/>
        <w:spacing w:beforeLines="0" w:afterLines="0" w:line="360" w:lineRule="auto"/>
        <w:ind w:firstLine="482" w:firstLineChars="200"/>
        <w:outlineLvl w:val="2"/>
        <w:rPr>
          <w:rFonts w:hint="eastAsia" w:ascii="宋体" w:hAnsi="宋体" w:eastAsia="宋体" w:cs="宋体"/>
          <w:b/>
          <w:color w:val="auto"/>
          <w:kern w:val="2"/>
          <w:sz w:val="24"/>
          <w:szCs w:val="24"/>
          <w:highlight w:val="none"/>
        </w:rPr>
      </w:pPr>
      <w:r>
        <w:rPr>
          <w:rFonts w:hint="eastAsia" w:ascii="宋体" w:hAnsi="宋体" w:eastAsia="宋体" w:cs="宋体"/>
          <w:b/>
          <w:color w:val="auto"/>
          <w:kern w:val="2"/>
          <w:sz w:val="24"/>
          <w:szCs w:val="24"/>
          <w:highlight w:val="none"/>
        </w:rPr>
        <w:t>14  违约责任</w:t>
      </w:r>
      <w:bookmarkEnd w:id="774"/>
    </w:p>
    <w:p w14:paraId="56C15356">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删除本节全文代之以：</w:t>
      </w:r>
    </w:p>
    <w:p w14:paraId="68AF6C2C">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在本合同履行过程中，卖方发生以下任何一种行为之一者均属违约，买方将按本合同有关规定向卖方收取违约金：</w:t>
      </w:r>
    </w:p>
    <w:p w14:paraId="335A287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（1）卖方未按本合同约定擅自分包；</w:t>
      </w:r>
    </w:p>
    <w:p w14:paraId="0774EBC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（2）卖方所提供合同设备技术特性</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性能指标及质量不符合合同规定；</w:t>
      </w:r>
    </w:p>
    <w:p w14:paraId="3011D692">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（3）卖方未经买方许可，采购的外购件与招投标时外购件承诺的厂家或品牌不一致；</w:t>
      </w:r>
    </w:p>
    <w:p w14:paraId="57F571AC">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（4）在本合同履行期间，卖方拒绝按合同规定修复合同设备缺陷或更换损坏设备（或部件）；</w:t>
      </w:r>
    </w:p>
    <w:p w14:paraId="225D7C9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（5）因卖方未及时提供技术服务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包括但不限于设备安装指导、调试指导等技术服务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或提供技术服务疏忽或错误而致使工期延误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或未按合同约定提供质保服务；</w:t>
      </w:r>
    </w:p>
    <w:p w14:paraId="52FD2B5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（6）合同履行过程中，卖方未经买方同意擅自更换现场工作组组长或技术支持人员，或者经买方同意后，更换后的人员不满足招标文件要求；</w:t>
      </w:r>
    </w:p>
    <w:p w14:paraId="4EBCDFF8">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（7）卖方服务人员出现未按约定及时到位的情况；</w:t>
      </w:r>
    </w:p>
    <w:p w14:paraId="6D5BC40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（8）未经买方书面同意，卖方以所服务的工程名义对外发布相关宣传内容；</w:t>
      </w:r>
    </w:p>
    <w:p w14:paraId="680972A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卖方提供的技术支持人员或派驻现场工作人员的服务或数量，或对驻厂监造人员提供的服务未能满足合同约定或买方要求的，买方有权要求增加或更换，卖方拒不执行，或增加更换后人员服务仍不能达到要求；</w:t>
      </w:r>
    </w:p>
    <w:p w14:paraId="53F5978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（10）卖方未完全履行本合同规定的其它义务和责任。</w:t>
      </w:r>
    </w:p>
    <w:p w14:paraId="174FCD5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卖方如发生上述（1）、（3）情况时，买方可拒收及要求更换外，还可从本合同相应价款中扣回相应违约合同设备（含外购、外协件）价格的10%作为违约金，由此造成的交货期延误由卖方负责。</w:t>
      </w:r>
    </w:p>
    <w:p w14:paraId="284D8B59">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2）情况时，买方可拒收并要求更换，卖方应按买方要求更换符合合同要求的设备，买方从本合同相应价款中扣回相应违约合同设备（含外购、外协件）价格的10%作为违约金，由此造成的交货期延误由卖方负责。</w:t>
      </w:r>
    </w:p>
    <w:p w14:paraId="52BA2BFC">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卖方如发生上述（4）情况时，每次按设备总价的1%向买方支付违约金，并且买方</w:t>
      </w:r>
      <w:r>
        <w:rPr>
          <w:rFonts w:hint="eastAsia" w:ascii="宋体" w:hAnsi="宋体" w:eastAsia="宋体" w:cs="宋体"/>
          <w:color w:val="auto"/>
          <w:sz w:val="24"/>
          <w:szCs w:val="24"/>
          <w:highlight w:val="none"/>
          <w:lang w:val="en-US" w:eastAsia="zh-CN"/>
        </w:rPr>
        <w:t>有权</w:t>
      </w:r>
      <w:r>
        <w:rPr>
          <w:rFonts w:hint="eastAsia" w:ascii="宋体" w:hAnsi="宋体" w:eastAsia="宋体" w:cs="宋体"/>
          <w:color w:val="auto"/>
          <w:sz w:val="24"/>
          <w:szCs w:val="24"/>
          <w:highlight w:val="none"/>
        </w:rPr>
        <w:t>自行或委托他人解决相关问题或查找和解决合同设备的故障，卖方应承担由此发生的全部费用，买方从未付款中直接扣除。如果造成工程延误的，卖方按10000元/天</w:t>
      </w:r>
      <w:r>
        <w:rPr>
          <w:rFonts w:hint="eastAsia" w:ascii="宋体" w:hAnsi="宋体" w:eastAsia="宋体" w:cs="宋体"/>
          <w:color w:val="auto"/>
          <w:sz w:val="24"/>
          <w:szCs w:val="24"/>
          <w:highlight w:val="none"/>
          <w:lang w:val="en-US" w:eastAsia="zh-CN"/>
        </w:rPr>
        <w:t>向买方</w:t>
      </w:r>
      <w:r>
        <w:rPr>
          <w:rFonts w:hint="eastAsia" w:ascii="宋体" w:hAnsi="宋体" w:eastAsia="宋体" w:cs="宋体"/>
          <w:color w:val="auto"/>
          <w:sz w:val="24"/>
          <w:szCs w:val="24"/>
          <w:highlight w:val="none"/>
        </w:rPr>
        <w:t>支付违约金。</w:t>
      </w:r>
    </w:p>
    <w:p w14:paraId="68EF2A5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卖方如发生上述（5）情况时，</w:t>
      </w:r>
      <w:r>
        <w:rPr>
          <w:rFonts w:hint="eastAsia" w:ascii="宋体" w:hAnsi="宋体" w:eastAsia="宋体" w:cs="宋体"/>
          <w:color w:val="auto"/>
          <w:sz w:val="24"/>
          <w:szCs w:val="24"/>
          <w:highlight w:val="none"/>
          <w:lang w:val="en-US" w:eastAsia="zh-CN"/>
        </w:rPr>
        <w:t>前3次</w:t>
      </w:r>
      <w:r>
        <w:rPr>
          <w:rFonts w:hint="eastAsia" w:ascii="宋体" w:hAnsi="宋体" w:eastAsia="宋体" w:cs="宋体"/>
          <w:color w:val="auto"/>
          <w:sz w:val="24"/>
          <w:szCs w:val="24"/>
          <w:highlight w:val="none"/>
        </w:rPr>
        <w:t>卖方按</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0000元/天</w:t>
      </w:r>
      <w:r>
        <w:rPr>
          <w:rFonts w:hint="eastAsia" w:ascii="宋体" w:hAnsi="宋体" w:eastAsia="宋体" w:cs="宋体"/>
          <w:color w:val="auto"/>
          <w:sz w:val="24"/>
          <w:szCs w:val="24"/>
          <w:highlight w:val="none"/>
          <w:lang w:val="en-US" w:eastAsia="zh-CN"/>
        </w:rPr>
        <w:t>向买方</w:t>
      </w:r>
      <w:r>
        <w:rPr>
          <w:rFonts w:hint="eastAsia" w:ascii="宋体" w:hAnsi="宋体" w:eastAsia="宋体" w:cs="宋体"/>
          <w:color w:val="auto"/>
          <w:sz w:val="24"/>
          <w:szCs w:val="24"/>
          <w:highlight w:val="none"/>
        </w:rPr>
        <w:t>支付违约金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从第4次起</w:t>
      </w:r>
      <w:r>
        <w:rPr>
          <w:rFonts w:hint="eastAsia" w:ascii="宋体" w:hAnsi="宋体" w:eastAsia="宋体" w:cs="宋体"/>
          <w:color w:val="auto"/>
          <w:sz w:val="24"/>
          <w:szCs w:val="24"/>
          <w:highlight w:val="none"/>
        </w:rPr>
        <w:t>卖方按</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0000元/天</w:t>
      </w:r>
      <w:r>
        <w:rPr>
          <w:rFonts w:hint="eastAsia" w:ascii="宋体" w:hAnsi="宋体" w:eastAsia="宋体" w:cs="宋体"/>
          <w:color w:val="auto"/>
          <w:sz w:val="24"/>
          <w:szCs w:val="24"/>
          <w:highlight w:val="none"/>
          <w:lang w:val="en-US" w:eastAsia="zh-CN"/>
        </w:rPr>
        <w:t>向买方</w:t>
      </w:r>
      <w:r>
        <w:rPr>
          <w:rFonts w:hint="eastAsia" w:ascii="宋体" w:hAnsi="宋体" w:eastAsia="宋体" w:cs="宋体"/>
          <w:color w:val="auto"/>
          <w:sz w:val="24"/>
          <w:szCs w:val="24"/>
          <w:highlight w:val="none"/>
        </w:rPr>
        <w:t>支付违约金。</w:t>
      </w:r>
    </w:p>
    <w:p w14:paraId="1FB5091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卖方如发生上述（6）情况时，如卖方未经买方书面同意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擅自更换现场工作组组长，卖方按10</w:t>
      </w:r>
      <w:r>
        <w:rPr>
          <w:rFonts w:hint="eastAsia" w:ascii="宋体" w:hAnsi="宋体" w:eastAsia="宋体" w:cs="宋体"/>
          <w:color w:val="auto"/>
          <w:sz w:val="24"/>
          <w:szCs w:val="24"/>
          <w:highlight w:val="none"/>
          <w:lang w:val="en-US" w:eastAsia="zh-CN"/>
        </w:rPr>
        <w:t>0000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/人·次的</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lang w:val="en-US" w:eastAsia="zh-CN"/>
        </w:rPr>
        <w:t>向买方</w:t>
      </w:r>
      <w:r>
        <w:rPr>
          <w:rFonts w:hint="eastAsia" w:ascii="宋体" w:hAnsi="宋体" w:eastAsia="宋体" w:cs="宋体"/>
          <w:color w:val="auto"/>
          <w:sz w:val="24"/>
          <w:szCs w:val="24"/>
          <w:highlight w:val="none"/>
        </w:rPr>
        <w:t>支付违约金；卖方擅自更换其他人员，卖方按</w:t>
      </w:r>
      <w:r>
        <w:rPr>
          <w:rFonts w:hint="eastAsia" w:ascii="宋体" w:hAnsi="宋体" w:eastAsia="宋体" w:cs="宋体"/>
          <w:color w:val="auto"/>
          <w:sz w:val="24"/>
          <w:szCs w:val="24"/>
          <w:highlight w:val="none"/>
          <w:lang w:val="en-US" w:eastAsia="zh-CN"/>
        </w:rPr>
        <w:t>50000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/人·次的</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lang w:val="en-US" w:eastAsia="zh-CN"/>
        </w:rPr>
        <w:t>向买方</w:t>
      </w:r>
      <w:r>
        <w:rPr>
          <w:rFonts w:hint="eastAsia" w:ascii="宋体" w:hAnsi="宋体" w:eastAsia="宋体" w:cs="宋体"/>
          <w:color w:val="auto"/>
          <w:sz w:val="24"/>
          <w:szCs w:val="24"/>
          <w:highlight w:val="none"/>
        </w:rPr>
        <w:t>支付违约金。买方同意卖方人员更换的，更换后的人员资历和条件需满足招标文件要求，否则卖方应按照擅自更换支付违约金。</w:t>
      </w:r>
    </w:p>
    <w:p w14:paraId="73DC3AD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卖方如发生上述（7）、（9）情况时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卖方按2000元/人/天</w:t>
      </w:r>
      <w:r>
        <w:rPr>
          <w:rFonts w:hint="eastAsia" w:ascii="宋体" w:hAnsi="宋体" w:eastAsia="宋体" w:cs="宋体"/>
          <w:color w:val="auto"/>
          <w:sz w:val="24"/>
          <w:szCs w:val="24"/>
          <w:highlight w:val="none"/>
          <w:lang w:val="en-US" w:eastAsia="zh-CN"/>
        </w:rPr>
        <w:t>的标准向买方</w:t>
      </w:r>
      <w:r>
        <w:rPr>
          <w:rFonts w:hint="eastAsia" w:ascii="宋体" w:hAnsi="宋体" w:eastAsia="宋体" w:cs="宋体"/>
          <w:color w:val="auto"/>
          <w:sz w:val="24"/>
          <w:szCs w:val="24"/>
          <w:highlight w:val="none"/>
        </w:rPr>
        <w:t>支付违约金。</w:t>
      </w:r>
    </w:p>
    <w:p w14:paraId="2C84A17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卖方如发生上述（8）情况时，</w:t>
      </w:r>
      <w:r>
        <w:rPr>
          <w:rFonts w:hint="eastAsia" w:ascii="宋体" w:hAnsi="宋体" w:eastAsia="宋体" w:cs="宋体"/>
          <w:color w:val="auto"/>
          <w:sz w:val="24"/>
          <w:szCs w:val="24"/>
          <w:highlight w:val="none"/>
          <w:lang w:val="en-US" w:eastAsia="zh-CN"/>
        </w:rPr>
        <w:t>卖方</w:t>
      </w:r>
      <w:r>
        <w:rPr>
          <w:rFonts w:hint="eastAsia" w:ascii="宋体" w:hAnsi="宋体" w:eastAsia="宋体" w:cs="宋体"/>
          <w:color w:val="auto"/>
          <w:sz w:val="24"/>
          <w:szCs w:val="24"/>
          <w:highlight w:val="none"/>
        </w:rPr>
        <w:t>每次按10</w:t>
      </w:r>
      <w:r>
        <w:rPr>
          <w:rFonts w:hint="eastAsia" w:ascii="宋体" w:hAnsi="宋体" w:eastAsia="宋体" w:cs="宋体"/>
          <w:color w:val="auto"/>
          <w:sz w:val="24"/>
          <w:szCs w:val="24"/>
          <w:highlight w:val="none"/>
          <w:lang w:val="en-US" w:eastAsia="zh-CN"/>
        </w:rPr>
        <w:t>0000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的标准向买方</w:t>
      </w:r>
      <w:r>
        <w:rPr>
          <w:rFonts w:hint="eastAsia" w:ascii="宋体" w:hAnsi="宋体" w:eastAsia="宋体" w:cs="宋体"/>
          <w:color w:val="auto"/>
          <w:sz w:val="24"/>
          <w:szCs w:val="24"/>
          <w:highlight w:val="none"/>
        </w:rPr>
        <w:t>支付违约金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造成不良影响的，每次按20</w:t>
      </w:r>
      <w:r>
        <w:rPr>
          <w:rFonts w:hint="eastAsia" w:ascii="宋体" w:hAnsi="宋体" w:eastAsia="宋体" w:cs="宋体"/>
          <w:color w:val="auto"/>
          <w:sz w:val="24"/>
          <w:szCs w:val="24"/>
          <w:highlight w:val="none"/>
          <w:lang w:val="en-US" w:eastAsia="zh-CN"/>
        </w:rPr>
        <w:t>0000</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val="en-US" w:eastAsia="zh-CN"/>
        </w:rPr>
        <w:t>的标准向买方</w:t>
      </w:r>
      <w:r>
        <w:rPr>
          <w:rFonts w:hint="eastAsia" w:ascii="宋体" w:hAnsi="宋体" w:eastAsia="宋体" w:cs="宋体"/>
          <w:color w:val="auto"/>
          <w:sz w:val="24"/>
          <w:szCs w:val="24"/>
          <w:highlight w:val="none"/>
        </w:rPr>
        <w:t>支付违约金；买方要求限期撤回而卖方未按照要求撤回的，逾期每日卖方按10000元</w:t>
      </w:r>
      <w:r>
        <w:rPr>
          <w:rFonts w:hint="eastAsia" w:ascii="宋体" w:hAnsi="宋体" w:eastAsia="宋体" w:cs="宋体"/>
          <w:color w:val="auto"/>
          <w:sz w:val="24"/>
          <w:szCs w:val="24"/>
          <w:highlight w:val="none"/>
          <w:lang w:val="en-US" w:eastAsia="zh-CN"/>
        </w:rPr>
        <w:t>的标准</w:t>
      </w:r>
      <w:r>
        <w:rPr>
          <w:rFonts w:hint="eastAsia" w:ascii="宋体" w:hAnsi="宋体" w:eastAsia="宋体" w:cs="宋体"/>
          <w:color w:val="auto"/>
          <w:sz w:val="24"/>
          <w:szCs w:val="24"/>
          <w:highlight w:val="none"/>
        </w:rPr>
        <w:t>向买方支付违约金。</w:t>
      </w:r>
    </w:p>
    <w:p w14:paraId="23B07155">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卖方如发生上述（10）情况时，除合同另有约定外，买方每次根据情节严重情况（以买方认定为准）要求卖方在2000元至20000元范围内向买方支付违约金。</w:t>
      </w:r>
    </w:p>
    <w:p w14:paraId="617BF7D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如果由于卖方原因未能按合同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的交货期或经买方同意的交货期交货时（包括迟延交付设备的附件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专用工具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技术资料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w:t>
      </w:r>
      <w:r>
        <w:rPr>
          <w:rFonts w:hint="eastAsia" w:ascii="宋体" w:hAnsi="宋体" w:eastAsia="宋体" w:cs="宋体"/>
          <w:color w:val="auto"/>
          <w:sz w:val="24"/>
          <w:szCs w:val="24"/>
          <w:highlight w:val="none"/>
        </w:rPr>
        <w:t>足以导致合同阀门等</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安装、验收工作推迟的），应向买方支付迟延交付违约金。迟延交付违约金的计算方法如下：</w:t>
      </w:r>
    </w:p>
    <w:p w14:paraId="244F7F7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（1）从迟交的第一周到第四周，每天迟延交付违约金为10000元；</w:t>
      </w:r>
    </w:p>
    <w:p w14:paraId="53E7A8D7">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（2）从迟交的第五周到第八周，每天迟延交付违约金为20000元；</w:t>
      </w:r>
    </w:p>
    <w:p w14:paraId="52BEC63F">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（3）从迟交第九周起，每天迟延交付违约金为50000元。</w:t>
      </w:r>
    </w:p>
    <w:p w14:paraId="46B90656">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在计算迟延交付违约金时，迟交不足一周的按一周计算。迟延交付违约金的总额不超过合同</w:t>
      </w:r>
      <w:r>
        <w:rPr>
          <w:rFonts w:hint="eastAsia" w:ascii="宋体" w:hAnsi="宋体" w:eastAsia="宋体" w:cs="宋体"/>
          <w:color w:val="auto"/>
          <w:sz w:val="24"/>
          <w:szCs w:val="24"/>
          <w:highlight w:val="none"/>
          <w:lang w:val="en-US" w:eastAsia="zh-CN"/>
        </w:rPr>
        <w:t>总价的</w:t>
      </w:r>
      <w:r>
        <w:rPr>
          <w:rFonts w:hint="eastAsia" w:ascii="宋体" w:hAnsi="宋体" w:eastAsia="宋体" w:cs="宋体"/>
          <w:color w:val="auto"/>
          <w:sz w:val="24"/>
          <w:szCs w:val="24"/>
          <w:highlight w:val="none"/>
        </w:rPr>
        <w:t>10%。迟延交付违约金</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支付</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不能免除卖方继续交付相关合同设备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的义务，但如迟延交付必然导致合同设备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安装、调试、考核、验收工作推迟的，相关工作应相应顺延</w:t>
      </w:r>
      <w:r>
        <w:rPr>
          <w:rFonts w:hint="eastAsia" w:ascii="宋体" w:hAnsi="宋体" w:eastAsia="宋体" w:cs="宋体"/>
          <w:color w:val="auto"/>
          <w:sz w:val="24"/>
          <w:szCs w:val="24"/>
          <w:highlight w:val="none"/>
          <w:lang w:eastAsia="zh-CN"/>
        </w:rPr>
        <w:t>。</w:t>
      </w:r>
    </w:p>
    <w:p w14:paraId="19DC2E34">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如果由于卖方原因导致技术文件或相关管理文件未能按本合同规定时间提交，则每个图号或每种手册每延误一天，卖方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向买方支付1000元人民币违约金。卖方支付迟交违约金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并不解除其继续交付技术文件或相关管理文件义务。</w:t>
      </w:r>
    </w:p>
    <w:p w14:paraId="1771328A">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由于卖方责任造成设备修理或换货，导致合同设备安装、调试、试运行和验收试验等时间延误，卖方虽已承担了修理或换货的义务与费用，还应按合同第14.2款规定支付设备迟交违约金，时间从发现缺陷之日开始计算至该设备消除缺陷后</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日期为止。</w:t>
      </w:r>
    </w:p>
    <w:p w14:paraId="444C5081">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上述卖方应承担的违约金，买方可从应付卖方款项中直接扣除。本合同</w:t>
      </w:r>
      <w:r>
        <w:rPr>
          <w:rFonts w:hint="eastAsia" w:ascii="宋体" w:hAnsi="宋体" w:eastAsia="宋体" w:cs="宋体"/>
          <w:color w:val="auto"/>
          <w:sz w:val="24"/>
          <w:szCs w:val="24"/>
          <w:highlight w:val="none"/>
          <w:lang w:val="en-US" w:eastAsia="zh-CN"/>
        </w:rPr>
        <w:t>条款</w:t>
      </w:r>
      <w:r>
        <w:rPr>
          <w:rFonts w:hint="eastAsia" w:ascii="宋体" w:hAnsi="宋体" w:eastAsia="宋体" w:cs="宋体"/>
          <w:color w:val="auto"/>
          <w:sz w:val="24"/>
          <w:szCs w:val="24"/>
          <w:highlight w:val="none"/>
        </w:rPr>
        <w:t>就卖方同一违约行为设置不同违约责任的，不同违约责任约定可同时适用的，各</w:t>
      </w:r>
      <w:r>
        <w:rPr>
          <w:rFonts w:hint="eastAsia" w:ascii="宋体" w:hAnsi="宋体" w:eastAsia="宋体" w:cs="宋体"/>
          <w:color w:val="auto"/>
          <w:sz w:val="24"/>
          <w:szCs w:val="24"/>
          <w:highlight w:val="none"/>
          <w:lang w:val="en-US" w:eastAsia="zh-CN"/>
        </w:rPr>
        <w:t>合同条款</w:t>
      </w:r>
      <w:r>
        <w:rPr>
          <w:rFonts w:hint="eastAsia" w:ascii="宋体" w:hAnsi="宋体" w:eastAsia="宋体" w:cs="宋体"/>
          <w:color w:val="auto"/>
          <w:sz w:val="24"/>
          <w:szCs w:val="24"/>
          <w:highlight w:val="none"/>
        </w:rPr>
        <w:t>项约定卖方均应执行；不同违约责任约定设置存在矛盾的，卖方应按责任较重约定执行。</w:t>
      </w:r>
    </w:p>
    <w:p w14:paraId="0727DC0E">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买方根据违约情形严重程度，要求卖方经营班子会或董事会或股东会研究制定整改方案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并向买方书面反馈整改方案。若卖方不履行义务，视卖方违约，卖方按10</w:t>
      </w:r>
      <w:r>
        <w:rPr>
          <w:rFonts w:hint="eastAsia" w:ascii="宋体" w:hAnsi="宋体" w:eastAsia="宋体" w:cs="宋体"/>
          <w:color w:val="auto"/>
          <w:sz w:val="24"/>
          <w:szCs w:val="24"/>
          <w:highlight w:val="none"/>
          <w:lang w:val="en-US" w:eastAsia="zh-CN"/>
        </w:rPr>
        <w:t>0000</w:t>
      </w:r>
      <w:r>
        <w:rPr>
          <w:rFonts w:hint="eastAsia" w:ascii="宋体" w:hAnsi="宋体" w:eastAsia="宋体" w:cs="宋体"/>
          <w:color w:val="auto"/>
          <w:sz w:val="24"/>
          <w:szCs w:val="24"/>
          <w:highlight w:val="none"/>
        </w:rPr>
        <w:t>元/次标准</w:t>
      </w:r>
      <w:r>
        <w:rPr>
          <w:rFonts w:hint="eastAsia" w:ascii="宋体" w:hAnsi="宋体" w:eastAsia="宋体" w:cs="宋体"/>
          <w:color w:val="auto"/>
          <w:sz w:val="24"/>
          <w:szCs w:val="24"/>
          <w:highlight w:val="none"/>
          <w:lang w:val="en-US" w:eastAsia="zh-CN"/>
        </w:rPr>
        <w:t>向买方</w:t>
      </w:r>
      <w:r>
        <w:rPr>
          <w:rFonts w:hint="eastAsia" w:ascii="宋体" w:hAnsi="宋体" w:eastAsia="宋体" w:cs="宋体"/>
          <w:color w:val="auto"/>
          <w:sz w:val="24"/>
          <w:szCs w:val="24"/>
          <w:highlight w:val="none"/>
        </w:rPr>
        <w:t>支付违约金。</w:t>
      </w:r>
    </w:p>
    <w:p w14:paraId="503DC8F7">
      <w:pPr>
        <w:kinsoku/>
        <w:topLinePunct/>
        <w:spacing w:beforeLines="0" w:afterLines="0"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卖方投标时对所供应的阀门承诺随时满足国家权威检测机构抽检合格，如国家权威检测机构对卖方供应的蝶阀、偏心半球阀、</w:t>
      </w:r>
      <w:r>
        <w:rPr>
          <w:rFonts w:hint="eastAsia" w:ascii="宋体" w:hAnsi="宋体" w:eastAsia="宋体" w:cs="宋体"/>
          <w:color w:val="auto"/>
          <w:sz w:val="24"/>
          <w:szCs w:val="24"/>
          <w:highlight w:val="none"/>
        </w:rPr>
        <w:t>活塞调流阀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固定锥阀抽检不合格时，视为卖方违约，</w:t>
      </w:r>
      <w:r>
        <w:rPr>
          <w:rFonts w:hint="eastAsia" w:ascii="宋体" w:hAnsi="宋体" w:eastAsia="宋体" w:cs="宋体"/>
          <w:color w:val="auto"/>
          <w:sz w:val="24"/>
          <w:szCs w:val="24"/>
          <w:highlight w:val="none"/>
        </w:rPr>
        <w:t>卖方按</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0</w:t>
      </w:r>
      <w:r>
        <w:rPr>
          <w:rFonts w:hint="eastAsia" w:ascii="宋体" w:hAnsi="宋体" w:eastAsia="宋体" w:cs="宋体"/>
          <w:color w:val="auto"/>
          <w:sz w:val="24"/>
          <w:szCs w:val="24"/>
          <w:highlight w:val="none"/>
          <w:lang w:val="en-US" w:eastAsia="zh-CN"/>
        </w:rPr>
        <w:t>0000</w:t>
      </w:r>
      <w:r>
        <w:rPr>
          <w:rFonts w:hint="eastAsia" w:ascii="宋体" w:hAnsi="宋体" w:eastAsia="宋体" w:cs="宋体"/>
          <w:color w:val="auto"/>
          <w:sz w:val="24"/>
          <w:szCs w:val="24"/>
          <w:highlight w:val="none"/>
        </w:rPr>
        <w:t>元/次的标准</w:t>
      </w:r>
      <w:r>
        <w:rPr>
          <w:rFonts w:hint="eastAsia" w:ascii="宋体" w:hAnsi="宋体" w:eastAsia="宋体" w:cs="宋体"/>
          <w:color w:val="auto"/>
          <w:sz w:val="24"/>
          <w:szCs w:val="24"/>
          <w:highlight w:val="none"/>
          <w:lang w:val="en-US" w:eastAsia="zh-CN"/>
        </w:rPr>
        <w:t>向买方</w:t>
      </w:r>
      <w:r>
        <w:rPr>
          <w:rFonts w:hint="eastAsia" w:ascii="宋体" w:hAnsi="宋体" w:eastAsia="宋体" w:cs="宋体"/>
          <w:color w:val="auto"/>
          <w:sz w:val="24"/>
          <w:szCs w:val="24"/>
          <w:highlight w:val="none"/>
        </w:rPr>
        <w:t>支付违约金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并承担相应检测费用。</w:t>
      </w:r>
    </w:p>
    <w:p w14:paraId="36C87A7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 卖方违约时，如上述条款约定的违约金不足以弥补买方全部损失，卖方还应就不足部分进行赔偿。全部损失包括但不限于买方的直接损失、间接损失、仲裁、诉讼或与之有关的一切费用（包括但不限于诉讼费、仲裁费、律师费、公证费、交通费、咨询费、鉴定费、保全费、财产保全保险费和其他开支以及银行账户被冻结的损失，以及工程项目延误的损失、资金占用损失、重新组织招标的损失）等。相关赔偿费用买方有权直接从任意一次付款中扣除。卖方的一个行为同时符合本合同或本合同附件约定的两项以上违约情形的，买方有权选择要求卖方按责任较重的约定承担违约责任</w:t>
      </w:r>
      <w:r>
        <w:rPr>
          <w:rFonts w:hint="eastAsia" w:ascii="宋体" w:hAnsi="宋体" w:eastAsia="宋体" w:cs="宋体"/>
          <w:color w:val="auto"/>
          <w:sz w:val="24"/>
          <w:szCs w:val="24"/>
          <w:highlight w:val="none"/>
        </w:rPr>
        <w:t>。</w:t>
      </w:r>
    </w:p>
    <w:p w14:paraId="53F90582">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rPr>
        <w:t>索赔</w:t>
      </w:r>
    </w:p>
    <w:p w14:paraId="3164A65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如果合同设备</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材料在数量、质量、设计、规范、型式和技术性能等方面不符合合同规定，且买方已在检验、安装、调试、试运行、验收试验和合同第11条规定的保证期内提出索赔，卖方应根据买方的要求按以下一种或几种方式处理该索赔：</w:t>
      </w:r>
    </w:p>
    <w:p w14:paraId="7D3940B6">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卖方用合同规定的币种向买方偿还与被拒收合同设备价格相等的款额，并承担由此产生的相应损失和费用，包括但不限于利息、银行手续费用、运费、保险费、检验费、仓储费、合同设备装卸费、安装与拆卸费、检测试验费、工地现场施工工期损失费等以及为保管和维护拒收合同设备所必需的其它费用。被拒收的材料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包括已交付但被买方拒收的材料和设备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，买方将不予付款，或在已支付的情况下，卖方予以退款或买方从履约保证金中扣款。</w:t>
      </w:r>
    </w:p>
    <w:p w14:paraId="05463550">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（2）按有缺陷合同设备的低劣、损坏程度及买方遭受损失的金额，由双方协商对合同设备进行降价处理和赔付买方遭受的损失。</w:t>
      </w:r>
    </w:p>
    <w:p w14:paraId="6482A876">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买方规定的期限内用符合合同规定的规格、质量、性能的新部件、组件、材料和设备更换有缺陷的合同设备，和修好有缺陷的合同设备，并由卖方承担费用和风险，承担买方为此付出的全部费用，并赔偿买方遭受的损失。如更换发生在检验和安装期间，则这种更换不能影响合同设备安装总工期和预定的投运日期。</w:t>
      </w:r>
    </w:p>
    <w:p w14:paraId="56876DB3">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更换或增补的合同设备交货至买方指定地点，卖方应承担将合同设备运至工地和安装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的一切风险及费用，造成交货期延误的，应按合同约定承担违约责任。</w:t>
      </w:r>
    </w:p>
    <w:p w14:paraId="63CB5216">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如果合同设备技术特性不能满足合同规定要求，责任在卖方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卖方应在收到买方通知2个月内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自费采取有效措施达到合同要求，且卖方应按本合同第14条的规定向买方支付约定违约金。</w:t>
      </w:r>
    </w:p>
    <w:p w14:paraId="2F993DBD">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 xml:space="preserve"> 卖方</w:t>
      </w:r>
      <w:r>
        <w:rPr>
          <w:rFonts w:hint="eastAsia" w:ascii="宋体" w:hAnsi="宋体" w:eastAsia="宋体" w:cs="宋体"/>
          <w:color w:val="auto"/>
          <w:sz w:val="24"/>
          <w:szCs w:val="24"/>
          <w:highlight w:val="none"/>
        </w:rPr>
        <w:t>提供的任一合同设备由于有缺陷的设计、制造工艺和材料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使合同设备不能按规定工期投入运行，买方有权对卖方提出索赔。</w:t>
      </w:r>
    </w:p>
    <w:p w14:paraId="75B8C3AB">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.5</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卖方在接到买方索赔通知30天内未作答复，视为卖方已接受该索赔要求。如果卖方在接受买方索赔要求后30天内，未按买方要求的上述任一方式来处理索赔</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，买方</w:t>
      </w:r>
      <w:r>
        <w:rPr>
          <w:rFonts w:hint="eastAsia" w:ascii="宋体" w:hAnsi="宋体" w:eastAsia="宋体" w:cs="宋体"/>
          <w:color w:val="auto"/>
          <w:sz w:val="24"/>
          <w:szCs w:val="24"/>
          <w:highlight w:val="none"/>
          <w:lang w:val="en-US" w:eastAsia="zh-CN"/>
        </w:rPr>
        <w:t>有权</w:t>
      </w:r>
      <w:r>
        <w:rPr>
          <w:rFonts w:hint="eastAsia" w:ascii="宋体" w:hAnsi="宋体" w:eastAsia="宋体" w:cs="宋体"/>
          <w:color w:val="auto"/>
          <w:sz w:val="24"/>
          <w:szCs w:val="24"/>
          <w:highlight w:val="none"/>
        </w:rPr>
        <w:t>从支付款项或履约保证金或尾款中扣款。</w:t>
      </w:r>
    </w:p>
    <w:p w14:paraId="756ACA3E">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在合同设备质量保证期内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买方因发现有缺陷</w:t>
      </w:r>
      <w:r>
        <w:rPr>
          <w:rFonts w:hint="eastAsia" w:ascii="宋体" w:hAnsi="宋体" w:eastAsia="宋体" w:cs="宋体"/>
          <w:color w:val="auto"/>
          <w:sz w:val="24"/>
          <w:szCs w:val="24"/>
          <w:highlight w:val="none"/>
          <w:lang w:val="en-US" w:eastAsia="zh-CN"/>
        </w:rPr>
        <w:t>或</w:t>
      </w:r>
      <w:r>
        <w:rPr>
          <w:rFonts w:hint="eastAsia" w:ascii="宋体" w:hAnsi="宋体" w:eastAsia="宋体" w:cs="宋体"/>
          <w:color w:val="auto"/>
          <w:sz w:val="24"/>
          <w:szCs w:val="24"/>
          <w:highlight w:val="none"/>
        </w:rPr>
        <w:t>有损坏的合同设备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而向卖方提出索赔，最迟可在合同设备质量保证期满后的30天内提出。</w:t>
      </w:r>
    </w:p>
    <w:p w14:paraId="269FFA12">
      <w:pPr>
        <w:kinsoku/>
        <w:topLinePunct/>
        <w:spacing w:beforeLines="0" w:afterLines="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买方可将卖方拒不履行合同、不诚信行为或廉洁问题等情况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向卖方主管单位、信用评级机构及行业主管部门等披露或报告。</w:t>
      </w:r>
    </w:p>
    <w:p w14:paraId="2F479C3B">
      <w:pPr>
        <w:pStyle w:val="3"/>
        <w:kinsoku/>
        <w:wordWrap/>
        <w:overflowPunct w:val="0"/>
        <w:topLinePunct/>
        <w:autoSpaceDE/>
        <w:autoSpaceDN/>
        <w:spacing w:beforeLines="0" w:afterLines="0" w:line="360" w:lineRule="auto"/>
        <w:ind w:firstLine="482" w:firstLineChars="200"/>
        <w:rPr>
          <w:rFonts w:hint="eastAsia" w:ascii="宋体" w:hAnsi="宋体" w:eastAsia="宋体" w:cs="宋体"/>
          <w:b/>
          <w:bCs w:val="0"/>
          <w:color w:val="auto"/>
          <w:kern w:val="2"/>
          <w:szCs w:val="24"/>
          <w:highlight w:val="none"/>
          <w:lang w:val="en-US" w:eastAsia="zh-CN"/>
        </w:rPr>
      </w:pPr>
      <w:r>
        <w:rPr>
          <w:rFonts w:hint="eastAsia" w:ascii="宋体" w:hAnsi="宋体" w:eastAsia="宋体" w:cs="宋体"/>
          <w:b/>
          <w:bCs w:val="0"/>
          <w:color w:val="auto"/>
          <w:kern w:val="2"/>
          <w:szCs w:val="24"/>
          <w:highlight w:val="none"/>
          <w:lang w:val="en-US" w:eastAsia="zh-CN"/>
        </w:rPr>
        <w:t>15  合同的解除</w:t>
      </w:r>
    </w:p>
    <w:p w14:paraId="7D2AAD4E">
      <w:pPr>
        <w:pStyle w:val="21"/>
        <w:kinsoku/>
        <w:topLinePunct/>
        <w:spacing w:line="360" w:lineRule="auto"/>
        <w:ind w:firstLine="480" w:firstLineChars="20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lang w:val="en-US" w:eastAsia="zh-CN"/>
        </w:rPr>
        <w:t>6</w:t>
      </w:r>
      <w:r>
        <w:rPr>
          <w:rFonts w:hint="eastAsia" w:ascii="宋体"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终止合同的处理：</w:t>
      </w:r>
    </w:p>
    <w:p w14:paraId="6D25A555">
      <w:pPr>
        <w:pStyle w:val="21"/>
        <w:kinsoku/>
        <w:topLinePunct/>
        <w:spacing w:line="360" w:lineRule="auto"/>
        <w:ind w:firstLine="480" w:firstLineChars="200"/>
        <w:rPr>
          <w:rFonts w:hint="eastAsia" w:ascii="宋体" w:hAnsi="宋体" w:eastAsia="宋体" w:cs="宋体"/>
          <w:color w:val="auto"/>
          <w:spacing w:val="0"/>
          <w:sz w:val="24"/>
          <w:szCs w:val="24"/>
          <w:highlight w:val="none"/>
        </w:rPr>
      </w:pPr>
      <w:r>
        <w:rPr>
          <w:rFonts w:hint="eastAsia" w:hAnsi="宋体" w:eastAsia="宋体" w:cs="宋体"/>
          <w:color w:val="auto"/>
          <w:spacing w:val="0"/>
          <w:sz w:val="24"/>
          <w:szCs w:val="24"/>
          <w:highlight w:val="none"/>
          <w:lang w:val="en-US" w:eastAsia="zh-CN"/>
        </w:rPr>
        <w:t>15.</w:t>
      </w:r>
      <w:r>
        <w:rPr>
          <w:rFonts w:hint="eastAsia" w:ascii="宋体" w:hAnsi="宋体" w:eastAsia="宋体" w:cs="宋体"/>
          <w:color w:val="auto"/>
          <w:spacing w:val="0"/>
          <w:sz w:val="24"/>
          <w:szCs w:val="24"/>
          <w:highlight w:val="none"/>
          <w:lang w:eastAsia="zh-CN"/>
        </w:rPr>
        <w:t>6</w:t>
      </w:r>
      <w:r>
        <w:rPr>
          <w:rFonts w:hint="eastAsia" w:ascii="宋体" w:hAnsi="宋体" w:eastAsia="宋体" w:cs="宋体"/>
          <w:color w:val="auto"/>
          <w:spacing w:val="0"/>
          <w:sz w:val="24"/>
          <w:szCs w:val="24"/>
          <w:highlight w:val="none"/>
        </w:rPr>
        <w:t>.1</w:t>
      </w:r>
      <w:r>
        <w:rPr>
          <w:rFonts w:hint="eastAsia"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卖方应把一切与合同有关</w:t>
      </w:r>
      <w:r>
        <w:rPr>
          <w:rFonts w:hint="eastAsia"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应交的文件、资料（成品</w:t>
      </w:r>
      <w:r>
        <w:rPr>
          <w:rFonts w:hint="eastAsia" w:hAnsi="宋体" w:eastAsia="宋体" w:cs="宋体"/>
          <w:color w:val="auto"/>
          <w:spacing w:val="0"/>
          <w:sz w:val="24"/>
          <w:szCs w:val="24"/>
          <w:highlight w:val="none"/>
          <w:lang w:val="en-US" w:eastAsia="zh-CN"/>
        </w:rPr>
        <w:t>及</w:t>
      </w:r>
      <w:r>
        <w:rPr>
          <w:rFonts w:hint="eastAsia" w:ascii="宋体" w:hAnsi="宋体" w:eastAsia="宋体" w:cs="宋体"/>
          <w:color w:val="auto"/>
          <w:spacing w:val="0"/>
          <w:sz w:val="24"/>
          <w:szCs w:val="24"/>
          <w:highlight w:val="none"/>
        </w:rPr>
        <w:t>半成品）交付给买方，在买方未取走之前，卖方应负责存放并办理保险。</w:t>
      </w:r>
    </w:p>
    <w:p w14:paraId="53D130AA">
      <w:pPr>
        <w:pStyle w:val="21"/>
        <w:kinsoku/>
        <w:topLinePunct/>
        <w:spacing w:line="360" w:lineRule="auto"/>
        <w:ind w:firstLine="480" w:firstLineChars="200"/>
        <w:rPr>
          <w:rFonts w:hint="eastAsia" w:ascii="宋体" w:hAnsi="宋体" w:eastAsia="宋体" w:cs="宋体"/>
          <w:color w:val="auto"/>
          <w:spacing w:val="0"/>
          <w:sz w:val="24"/>
          <w:szCs w:val="24"/>
          <w:highlight w:val="none"/>
        </w:rPr>
      </w:pPr>
      <w:r>
        <w:rPr>
          <w:rFonts w:hint="eastAsia" w:hAnsi="宋体" w:eastAsia="宋体" w:cs="宋体"/>
          <w:color w:val="auto"/>
          <w:spacing w:val="0"/>
          <w:sz w:val="24"/>
          <w:szCs w:val="24"/>
          <w:highlight w:val="none"/>
          <w:lang w:val="en-US" w:eastAsia="zh-CN"/>
        </w:rPr>
        <w:t>15.</w:t>
      </w:r>
      <w:r>
        <w:rPr>
          <w:rFonts w:hint="eastAsia" w:ascii="宋体" w:hAnsi="宋体" w:eastAsia="宋体" w:cs="宋体"/>
          <w:color w:val="auto"/>
          <w:spacing w:val="0"/>
          <w:sz w:val="24"/>
          <w:szCs w:val="24"/>
          <w:highlight w:val="none"/>
          <w:lang w:eastAsia="zh-CN"/>
        </w:rPr>
        <w:t>6</w:t>
      </w:r>
      <w:r>
        <w:rPr>
          <w:rFonts w:hint="eastAsia" w:ascii="宋体" w:hAnsi="宋体" w:eastAsia="宋体" w:cs="宋体"/>
          <w:color w:val="auto"/>
          <w:spacing w:val="0"/>
          <w:sz w:val="24"/>
          <w:szCs w:val="24"/>
          <w:highlight w:val="none"/>
        </w:rPr>
        <w:t>.2</w:t>
      </w:r>
      <w:r>
        <w:rPr>
          <w:rFonts w:hint="eastAsia"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买方不承担任何由于终止合同</w:t>
      </w:r>
      <w:r>
        <w:rPr>
          <w:rFonts w:hint="eastAsia"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而由第三方向卖方提出的各项索赔。</w:t>
      </w:r>
    </w:p>
    <w:p w14:paraId="3875DD43">
      <w:pPr>
        <w:pStyle w:val="21"/>
        <w:kinsoku/>
        <w:topLinePunct/>
        <w:spacing w:line="360" w:lineRule="auto"/>
        <w:ind w:firstLine="480" w:firstLineChars="200"/>
        <w:rPr>
          <w:rFonts w:hint="eastAsia" w:ascii="宋体" w:hAnsi="宋体" w:eastAsia="宋体" w:cs="宋体"/>
          <w:color w:val="auto"/>
          <w:spacing w:val="0"/>
          <w:sz w:val="24"/>
          <w:szCs w:val="24"/>
          <w:highlight w:val="none"/>
        </w:rPr>
      </w:pPr>
      <w:r>
        <w:rPr>
          <w:rFonts w:hint="eastAsia" w:hAnsi="宋体" w:eastAsia="宋体" w:cs="宋体"/>
          <w:color w:val="auto"/>
          <w:spacing w:val="0"/>
          <w:sz w:val="24"/>
          <w:szCs w:val="24"/>
          <w:highlight w:val="none"/>
          <w:lang w:val="en-US" w:eastAsia="zh-CN"/>
        </w:rPr>
        <w:t>15.</w:t>
      </w:r>
      <w:r>
        <w:rPr>
          <w:rFonts w:hint="eastAsia" w:ascii="宋体" w:hAnsi="宋体" w:eastAsia="宋体" w:cs="宋体"/>
          <w:color w:val="auto"/>
          <w:spacing w:val="0"/>
          <w:sz w:val="24"/>
          <w:szCs w:val="24"/>
          <w:highlight w:val="none"/>
          <w:lang w:eastAsia="zh-CN"/>
        </w:rPr>
        <w:t>6</w:t>
      </w:r>
      <w:r>
        <w:rPr>
          <w:rFonts w:hint="eastAsia" w:ascii="宋体" w:hAnsi="宋体" w:eastAsia="宋体" w:cs="宋体"/>
          <w:color w:val="auto"/>
          <w:spacing w:val="0"/>
          <w:sz w:val="24"/>
          <w:szCs w:val="24"/>
          <w:highlight w:val="none"/>
        </w:rPr>
        <w:t>.3</w:t>
      </w:r>
      <w:r>
        <w:rPr>
          <w:rFonts w:hint="eastAsia"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如只是合同的一部分被终止，其它部分仍应继续执行。</w:t>
      </w:r>
    </w:p>
    <w:p w14:paraId="58F47EA8">
      <w:pPr>
        <w:pStyle w:val="21"/>
        <w:kinsoku/>
        <w:topLinePunct/>
        <w:spacing w:line="360" w:lineRule="auto"/>
        <w:ind w:firstLine="480" w:firstLineChars="200"/>
        <w:rPr>
          <w:rFonts w:hint="eastAsia" w:ascii="宋体" w:hAnsi="宋体" w:eastAsia="宋体" w:cs="宋体"/>
          <w:color w:val="auto"/>
          <w:spacing w:val="0"/>
          <w:sz w:val="24"/>
          <w:szCs w:val="24"/>
          <w:highlight w:val="none"/>
        </w:rPr>
      </w:pPr>
      <w:r>
        <w:rPr>
          <w:rFonts w:hint="eastAsia" w:hAnsi="宋体" w:eastAsia="宋体" w:cs="宋体"/>
          <w:color w:val="auto"/>
          <w:spacing w:val="0"/>
          <w:sz w:val="24"/>
          <w:szCs w:val="24"/>
          <w:highlight w:val="none"/>
          <w:lang w:val="en-US" w:eastAsia="zh-CN"/>
        </w:rPr>
        <w:t>15.</w:t>
      </w:r>
      <w:r>
        <w:rPr>
          <w:rFonts w:hint="eastAsia" w:ascii="宋体" w:hAnsi="宋体" w:eastAsia="宋体" w:cs="宋体"/>
          <w:color w:val="auto"/>
          <w:spacing w:val="0"/>
          <w:sz w:val="24"/>
          <w:szCs w:val="24"/>
          <w:highlight w:val="none"/>
          <w:lang w:eastAsia="zh-CN"/>
        </w:rPr>
        <w:t>6</w:t>
      </w:r>
      <w:r>
        <w:rPr>
          <w:rFonts w:hint="eastAsia" w:ascii="宋体" w:hAnsi="宋体" w:eastAsia="宋体" w:cs="宋体"/>
          <w:color w:val="auto"/>
          <w:spacing w:val="0"/>
          <w:sz w:val="24"/>
          <w:szCs w:val="24"/>
          <w:highlight w:val="none"/>
        </w:rPr>
        <w:t>.</w:t>
      </w:r>
      <w:r>
        <w:rPr>
          <w:rFonts w:hint="eastAsia" w:ascii="宋体" w:hAnsi="宋体" w:eastAsia="宋体" w:cs="宋体"/>
          <w:color w:val="auto"/>
          <w:spacing w:val="0"/>
          <w:sz w:val="24"/>
          <w:szCs w:val="24"/>
          <w:highlight w:val="none"/>
          <w:lang w:val="en-US" w:eastAsia="zh-CN"/>
        </w:rPr>
        <w:t>4</w:t>
      </w:r>
      <w:r>
        <w:rPr>
          <w:rFonts w:hint="eastAsia" w:hAnsi="宋体" w:eastAsia="宋体" w:cs="宋体"/>
          <w:color w:val="auto"/>
          <w:spacing w:val="0"/>
          <w:sz w:val="24"/>
          <w:szCs w:val="24"/>
          <w:highlight w:val="none"/>
          <w:lang w:val="en-US" w:eastAsia="zh-CN"/>
        </w:rPr>
        <w:t xml:space="preserve"> </w:t>
      </w:r>
      <w:r>
        <w:rPr>
          <w:rFonts w:hint="eastAsia" w:ascii="宋体" w:hAnsi="宋体" w:eastAsia="宋体" w:cs="宋体"/>
          <w:color w:val="auto"/>
          <w:spacing w:val="0"/>
          <w:sz w:val="24"/>
          <w:szCs w:val="24"/>
          <w:highlight w:val="none"/>
        </w:rPr>
        <w:t>本合同终止时</w:t>
      </w:r>
      <w:r>
        <w:rPr>
          <w:rFonts w:hint="eastAsia" w:hAnsi="宋体" w:eastAsia="宋体" w:cs="宋体"/>
          <w:color w:val="auto"/>
          <w:spacing w:val="0"/>
          <w:sz w:val="24"/>
          <w:szCs w:val="24"/>
          <w:highlight w:val="none"/>
          <w:lang w:eastAsia="zh-CN"/>
        </w:rPr>
        <w:t>，</w:t>
      </w:r>
      <w:r>
        <w:rPr>
          <w:rFonts w:hint="eastAsia" w:ascii="宋体" w:hAnsi="宋体" w:eastAsia="宋体" w:cs="宋体"/>
          <w:color w:val="auto"/>
          <w:spacing w:val="0"/>
          <w:sz w:val="24"/>
          <w:szCs w:val="24"/>
          <w:highlight w:val="none"/>
        </w:rPr>
        <w:t>双方未了的债权和债务不受合同终止影响，债务人应对债权人继续偿还未了债务。</w:t>
      </w:r>
    </w:p>
    <w:p w14:paraId="03CC0EC4">
      <w:pPr>
        <w:pStyle w:val="3"/>
        <w:kinsoku/>
        <w:wordWrap/>
        <w:overflowPunct w:val="0"/>
        <w:topLinePunct/>
        <w:autoSpaceDE/>
        <w:autoSpaceDN/>
        <w:spacing w:beforeLines="0" w:afterLines="0" w:line="360" w:lineRule="auto"/>
        <w:ind w:firstLine="482" w:firstLineChars="200"/>
        <w:rPr>
          <w:rFonts w:hint="eastAsia" w:ascii="宋体" w:hAnsi="宋体" w:eastAsia="宋体" w:cs="宋体"/>
          <w:b/>
          <w:bCs w:val="0"/>
          <w:color w:val="auto"/>
          <w:kern w:val="2"/>
          <w:szCs w:val="24"/>
          <w:highlight w:val="none"/>
          <w:lang w:val="en-US" w:eastAsia="zh-CN"/>
        </w:rPr>
      </w:pPr>
      <w:r>
        <w:rPr>
          <w:rFonts w:hint="eastAsia" w:ascii="宋体" w:hAnsi="宋体" w:eastAsia="宋体" w:cs="宋体"/>
          <w:b/>
          <w:bCs w:val="0"/>
          <w:color w:val="auto"/>
          <w:kern w:val="2"/>
          <w:szCs w:val="24"/>
          <w:highlight w:val="none"/>
          <w:lang w:val="en-US" w:eastAsia="zh-CN"/>
        </w:rPr>
        <w:t>17  争议的解决</w:t>
      </w:r>
    </w:p>
    <w:p w14:paraId="29E86EA5">
      <w:pPr>
        <w:pStyle w:val="44"/>
        <w:kinsoku/>
        <w:wordWrap/>
        <w:overflowPunct w:val="0"/>
        <w:topLinePunct/>
        <w:autoSpaceDE/>
        <w:autoSpaceDN/>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合同当事人友好协商解决不成、不愿提请争议评审或不接受争议评审组意见的，约定的合同争议解决方式：</w:t>
      </w:r>
      <w:r>
        <w:rPr>
          <w:rFonts w:hint="eastAsia" w:ascii="宋体" w:hAnsi="宋体" w:eastAsia="宋体" w:cs="宋体"/>
          <w:color w:val="auto"/>
          <w:szCs w:val="24"/>
          <w:highlight w:val="none"/>
          <w:lang w:val="en-US" w:eastAsia="zh-CN"/>
        </w:rPr>
        <w:t>提交</w:t>
      </w:r>
      <w:r>
        <w:rPr>
          <w:rFonts w:hint="eastAsia" w:ascii="宋体" w:hAnsi="宋体" w:eastAsia="宋体" w:cs="宋体"/>
          <w:color w:val="auto"/>
          <w:szCs w:val="24"/>
          <w:highlight w:val="none"/>
          <w:lang w:val="zh-CN"/>
        </w:rPr>
        <w:t>本工程</w:t>
      </w:r>
      <w:r>
        <w:rPr>
          <w:rFonts w:hint="eastAsia" w:ascii="宋体" w:hAnsi="宋体" w:eastAsia="宋体" w:cs="宋体"/>
          <w:color w:val="auto"/>
          <w:szCs w:val="24"/>
          <w:highlight w:val="none"/>
          <w:lang w:val="en-US" w:eastAsia="zh-CN"/>
        </w:rPr>
        <w:t>项目所在地、有管辖权的人民法院起诉判决。</w:t>
      </w:r>
    </w:p>
    <w:p w14:paraId="25E79878">
      <w:pPr>
        <w:kinsoku/>
        <w:topLinePunct/>
        <w:spacing w:beforeLines="0" w:afterLines="0" w:line="360" w:lineRule="auto"/>
        <w:ind w:firstLine="482" w:firstLineChars="200"/>
        <w:outlineLvl w:val="2"/>
        <w:rPr>
          <w:rFonts w:hint="eastAsia" w:ascii="宋体" w:hAnsi="宋体" w:eastAsia="宋体" w:cs="宋体"/>
          <w:color w:val="auto"/>
          <w:sz w:val="24"/>
          <w:szCs w:val="24"/>
          <w:highlight w:val="none"/>
          <w:lang w:val="en-US" w:eastAsia="zh-CN"/>
        </w:rPr>
      </w:pPr>
      <w:r>
        <w:rPr>
          <w:rFonts w:hint="eastAsia" w:ascii="宋体" w:hAnsi="宋体" w:eastAsia="宋体" w:cs="宋体"/>
          <w:b/>
          <w:color w:val="auto"/>
          <w:kern w:val="2"/>
          <w:sz w:val="24"/>
          <w:szCs w:val="24"/>
          <w:highlight w:val="none"/>
          <w:lang w:val="en-US" w:eastAsia="zh-CN"/>
        </w:rPr>
        <w:t>18  （增加）质量事故处理</w:t>
      </w:r>
    </w:p>
    <w:p w14:paraId="1431A789">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卖方原因发生《水利工程质量事故处理规定》（水利部令第57号）规定质量事故的，除按规定承担相应责任外，买方还将按以下原则进行处以违约金，相关违约金在进度款中扣除。发生特大质量事故的，每次处以500000元至1000000元违约金；发生重大质量事故的，每次处以200000至500000元违约金；发生较大质量事故的，每次处以100000至200000元违约金；发生一般事故的，每次处以50000至100000元违约金。</w:t>
      </w:r>
    </w:p>
    <w:p w14:paraId="5124FEE7">
      <w:pPr>
        <w:pStyle w:val="3"/>
        <w:kinsoku/>
        <w:wordWrap/>
        <w:overflowPunct w:val="0"/>
        <w:topLinePunct/>
        <w:autoSpaceDE/>
        <w:autoSpaceDN/>
        <w:spacing w:beforeLines="0" w:afterLines="0" w:line="360" w:lineRule="auto"/>
        <w:ind w:firstLine="482" w:firstLineChars="200"/>
        <w:rPr>
          <w:rFonts w:hint="eastAsia" w:ascii="宋体" w:hAnsi="宋体" w:eastAsia="宋体" w:cs="宋体"/>
          <w:b/>
          <w:bCs w:val="0"/>
          <w:color w:val="auto"/>
          <w:kern w:val="2"/>
          <w:szCs w:val="24"/>
          <w:highlight w:val="none"/>
          <w:lang w:val="en-US" w:eastAsia="zh-CN"/>
        </w:rPr>
      </w:pPr>
      <w:r>
        <w:rPr>
          <w:rFonts w:hint="eastAsia" w:ascii="宋体" w:hAnsi="宋体" w:eastAsia="宋体" w:cs="宋体"/>
          <w:b/>
          <w:bCs w:val="0"/>
          <w:color w:val="auto"/>
          <w:kern w:val="2"/>
          <w:szCs w:val="24"/>
          <w:highlight w:val="none"/>
        </w:rPr>
        <w:t>1</w:t>
      </w:r>
      <w:r>
        <w:rPr>
          <w:rFonts w:hint="eastAsia" w:ascii="宋体" w:hAnsi="宋体" w:eastAsia="宋体" w:cs="宋体"/>
          <w:b/>
          <w:bCs w:val="0"/>
          <w:color w:val="auto"/>
          <w:kern w:val="2"/>
          <w:szCs w:val="24"/>
          <w:highlight w:val="none"/>
          <w:lang w:val="en-US" w:eastAsia="zh-CN"/>
        </w:rPr>
        <w:t>9（增加）</w:t>
      </w:r>
      <w:r>
        <w:rPr>
          <w:rFonts w:hint="eastAsia" w:ascii="宋体" w:hAnsi="宋体" w:eastAsia="宋体" w:cs="宋体"/>
          <w:b/>
          <w:bCs w:val="0"/>
          <w:color w:val="auto"/>
          <w:kern w:val="2"/>
          <w:szCs w:val="24"/>
          <w:highlight w:val="none"/>
        </w:rPr>
        <w:t xml:space="preserve">  </w:t>
      </w:r>
      <w:r>
        <w:rPr>
          <w:rFonts w:hint="eastAsia" w:ascii="宋体" w:hAnsi="宋体" w:eastAsia="宋体" w:cs="宋体"/>
          <w:b/>
          <w:bCs w:val="0"/>
          <w:color w:val="auto"/>
          <w:kern w:val="2"/>
          <w:szCs w:val="24"/>
          <w:highlight w:val="none"/>
          <w:lang w:val="en-US" w:eastAsia="zh-CN"/>
        </w:rPr>
        <w:t>其他</w:t>
      </w:r>
    </w:p>
    <w:p w14:paraId="198C8CC4">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应按《水利水电工程生产通用安全技术规程》（SL398-2007）、《浙江省水利建设工程文明标化工地创建指导手册（2024年）》的规定等履行其文明生产和安全生产职责，对其职责范围内的文明生产和生产安全负责。</w:t>
      </w:r>
    </w:p>
    <w:p w14:paraId="4115F71B">
      <w:pPr>
        <w:kinsoku/>
        <w:topLinePunct/>
        <w:spacing w:beforeLines="0" w:afterLines="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2、遇重大技术问题，卖方应组织行业专家召开专题会议及时解决，相关费用由卖方承担。</w:t>
      </w:r>
    </w:p>
    <w:p w14:paraId="6DB61CB5">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3、如卖方投标时选用品牌为招标文件规定外的品牌，买方有权要求卖方从推荐品牌中选用，价格不变。卖方在投标文件中承诺的品牌，在供货过程中不得以产品品质无法达到设计要求、产品生产能力无法跟上工期进度、该品牌无此类产品等理由要求更换品牌；当出现不得不更换产品品牌时，该品牌应在招标文件规定的品牌、规格范围内，且买方需对其进行考察确认，单价不应高于原设备的投标报价</w:t>
      </w:r>
      <w:r>
        <w:rPr>
          <w:rFonts w:hint="eastAsia" w:ascii="宋体" w:hAnsi="宋体" w:eastAsia="宋体" w:cs="宋体"/>
          <w:color w:val="auto"/>
          <w:szCs w:val="24"/>
          <w:highlight w:val="none"/>
        </w:rPr>
        <w:t>。</w:t>
      </w:r>
    </w:p>
    <w:p w14:paraId="11D034DC">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4、</w:t>
      </w:r>
      <w:r>
        <w:rPr>
          <w:rFonts w:hint="eastAsia" w:ascii="宋体" w:hAnsi="宋体" w:eastAsia="宋体" w:cs="宋体"/>
          <w:color w:val="auto"/>
          <w:szCs w:val="24"/>
          <w:highlight w:val="none"/>
        </w:rPr>
        <w:t>因施工交叉干扰等问题影响到供货质量、供货进度时，</w:t>
      </w:r>
      <w:r>
        <w:rPr>
          <w:rFonts w:hint="eastAsia" w:ascii="宋体" w:hAnsi="宋体" w:eastAsia="宋体" w:cs="宋体"/>
          <w:color w:val="auto"/>
          <w:szCs w:val="24"/>
          <w:highlight w:val="none"/>
          <w:lang w:val="en-US" w:eastAsia="zh-CN"/>
        </w:rPr>
        <w:t>卖</w:t>
      </w:r>
      <w:r>
        <w:rPr>
          <w:rFonts w:hint="eastAsia" w:ascii="宋体" w:hAnsi="宋体" w:eastAsia="宋体" w:cs="宋体"/>
          <w:color w:val="auto"/>
          <w:szCs w:val="24"/>
          <w:highlight w:val="none"/>
        </w:rPr>
        <w:t>方应与相关标段的</w:t>
      </w:r>
      <w:r>
        <w:rPr>
          <w:rFonts w:hint="eastAsia" w:ascii="宋体" w:hAnsi="宋体" w:eastAsia="宋体" w:cs="宋体"/>
          <w:color w:val="auto"/>
          <w:szCs w:val="24"/>
          <w:highlight w:val="none"/>
          <w:lang w:eastAsia="zh-CN"/>
        </w:rPr>
        <w:t>卖方</w:t>
      </w:r>
      <w:r>
        <w:rPr>
          <w:rFonts w:hint="eastAsia" w:ascii="宋体" w:hAnsi="宋体" w:eastAsia="宋体" w:cs="宋体"/>
          <w:color w:val="auto"/>
          <w:szCs w:val="24"/>
          <w:highlight w:val="none"/>
        </w:rPr>
        <w:t>友好协商、自行解决，自行协商无法解决时，</w:t>
      </w:r>
      <w:r>
        <w:rPr>
          <w:rFonts w:hint="eastAsia" w:ascii="宋体" w:hAnsi="宋体" w:eastAsia="宋体" w:cs="宋体"/>
          <w:color w:val="auto"/>
          <w:szCs w:val="24"/>
          <w:highlight w:val="none"/>
          <w:lang w:eastAsia="zh-CN"/>
        </w:rPr>
        <w:t>卖方</w:t>
      </w:r>
      <w:r>
        <w:rPr>
          <w:rFonts w:hint="eastAsia" w:ascii="宋体" w:hAnsi="宋体" w:eastAsia="宋体" w:cs="宋体"/>
          <w:color w:val="auto"/>
          <w:szCs w:val="24"/>
          <w:highlight w:val="none"/>
        </w:rPr>
        <w:t>应无条件服从</w:t>
      </w:r>
      <w:r>
        <w:rPr>
          <w:rFonts w:hint="eastAsia" w:ascii="宋体" w:hAnsi="宋体" w:eastAsia="宋体" w:cs="宋体"/>
          <w:color w:val="auto"/>
          <w:szCs w:val="24"/>
          <w:highlight w:val="none"/>
          <w:lang w:eastAsia="zh-CN"/>
        </w:rPr>
        <w:t>买方</w:t>
      </w:r>
      <w:r>
        <w:rPr>
          <w:rFonts w:hint="eastAsia" w:ascii="宋体" w:hAnsi="宋体" w:eastAsia="宋体" w:cs="宋体"/>
          <w:color w:val="auto"/>
          <w:szCs w:val="24"/>
          <w:highlight w:val="none"/>
        </w:rPr>
        <w:t>的协调。</w:t>
      </w:r>
    </w:p>
    <w:p w14:paraId="1B6E5B38">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5、</w:t>
      </w:r>
      <w:r>
        <w:rPr>
          <w:rFonts w:hint="eastAsia" w:ascii="宋体" w:hAnsi="宋体" w:eastAsia="宋体" w:cs="宋体"/>
          <w:color w:val="auto"/>
          <w:szCs w:val="24"/>
          <w:highlight w:val="none"/>
        </w:rPr>
        <w:t>货物交接卸货过程中产生的问题</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由履行交接义务各方商议确定。</w:t>
      </w:r>
    </w:p>
    <w:p w14:paraId="2AF1B745">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6、</w:t>
      </w:r>
      <w:r>
        <w:rPr>
          <w:rFonts w:hint="eastAsia" w:ascii="宋体" w:hAnsi="宋体" w:eastAsia="宋体" w:cs="宋体"/>
          <w:color w:val="auto"/>
          <w:szCs w:val="24"/>
          <w:highlight w:val="none"/>
        </w:rPr>
        <w:t>质保期</w:t>
      </w:r>
    </w:p>
    <w:p w14:paraId="482609AF">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6.1 </w:t>
      </w:r>
      <w:r>
        <w:rPr>
          <w:rFonts w:hint="eastAsia" w:ascii="宋体" w:hAnsi="宋体" w:eastAsia="宋体" w:cs="宋体"/>
          <w:color w:val="auto"/>
          <w:szCs w:val="24"/>
          <w:highlight w:val="none"/>
        </w:rPr>
        <w:t>质保期内因设备本身缺陷造成各种故障</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应由</w:t>
      </w:r>
      <w:r>
        <w:rPr>
          <w:rFonts w:hint="eastAsia" w:ascii="宋体" w:hAnsi="宋体" w:eastAsia="宋体" w:cs="宋体"/>
          <w:color w:val="auto"/>
          <w:szCs w:val="24"/>
          <w:highlight w:val="none"/>
          <w:lang w:val="en-US" w:eastAsia="zh-CN"/>
        </w:rPr>
        <w:t>卖</w:t>
      </w:r>
      <w:r>
        <w:rPr>
          <w:rFonts w:hint="eastAsia" w:ascii="宋体" w:hAnsi="宋体" w:eastAsia="宋体" w:cs="宋体"/>
          <w:color w:val="auto"/>
          <w:szCs w:val="24"/>
          <w:highlight w:val="none"/>
        </w:rPr>
        <w:t>方免费技术服务和维修，包括设备、材料、零件等免费更换。设备在替换之日起应重新计算质保期，</w:t>
      </w:r>
      <w:r>
        <w:rPr>
          <w:rFonts w:hint="eastAsia" w:ascii="宋体" w:hAnsi="宋体" w:eastAsia="宋体" w:cs="宋体"/>
          <w:color w:val="auto"/>
          <w:szCs w:val="24"/>
          <w:highlight w:val="none"/>
          <w:lang w:val="en-US" w:eastAsia="zh-CN"/>
        </w:rPr>
        <w:t>卖</w:t>
      </w:r>
      <w:r>
        <w:rPr>
          <w:rFonts w:hint="eastAsia" w:ascii="宋体" w:hAnsi="宋体" w:eastAsia="宋体" w:cs="宋体"/>
          <w:color w:val="auto"/>
          <w:szCs w:val="24"/>
          <w:highlight w:val="none"/>
        </w:rPr>
        <w:t>方</w:t>
      </w:r>
      <w:r>
        <w:rPr>
          <w:rFonts w:hint="eastAsia" w:ascii="宋体" w:hAnsi="宋体" w:eastAsia="宋体" w:cs="宋体"/>
          <w:color w:val="auto"/>
          <w:szCs w:val="24"/>
          <w:highlight w:val="none"/>
          <w:lang w:val="en-US" w:eastAsia="zh-CN"/>
        </w:rPr>
        <w:t>应</w:t>
      </w:r>
      <w:r>
        <w:rPr>
          <w:rFonts w:hint="eastAsia" w:ascii="宋体" w:hAnsi="宋体" w:eastAsia="宋体" w:cs="宋体"/>
          <w:color w:val="auto"/>
          <w:szCs w:val="24"/>
          <w:highlight w:val="none"/>
        </w:rPr>
        <w:t>在质保期最后1个月对设备进行一次常规维护保养，</w:t>
      </w:r>
      <w:r>
        <w:rPr>
          <w:rFonts w:hint="eastAsia" w:ascii="宋体" w:hAnsi="宋体" w:eastAsia="宋体" w:cs="宋体"/>
          <w:color w:val="auto"/>
          <w:szCs w:val="24"/>
          <w:highlight w:val="none"/>
          <w:lang w:val="en-US" w:eastAsia="zh-CN"/>
        </w:rPr>
        <w:t>卖</w:t>
      </w:r>
      <w:r>
        <w:rPr>
          <w:rFonts w:hint="eastAsia" w:ascii="宋体" w:hAnsi="宋体" w:eastAsia="宋体" w:cs="宋体"/>
          <w:color w:val="auto"/>
          <w:szCs w:val="24"/>
          <w:highlight w:val="none"/>
        </w:rPr>
        <w:t>方对该期间所发生的设备维修、保养、更换费用负责。</w:t>
      </w:r>
    </w:p>
    <w:p w14:paraId="043A78B0">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6.2 </w:t>
      </w:r>
      <w:r>
        <w:rPr>
          <w:rFonts w:hint="eastAsia" w:ascii="宋体" w:hAnsi="宋体" w:eastAsia="宋体" w:cs="宋体"/>
          <w:color w:val="auto"/>
          <w:szCs w:val="24"/>
          <w:highlight w:val="none"/>
        </w:rPr>
        <w:t>质保期结束后1年内</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重复出现保修期内出现过的故障，仍属保修范围。</w:t>
      </w:r>
    </w:p>
    <w:p w14:paraId="62988581">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 xml:space="preserve">6.3 </w:t>
      </w:r>
      <w:r>
        <w:rPr>
          <w:rFonts w:hint="eastAsia" w:ascii="宋体" w:hAnsi="宋体" w:eastAsia="宋体" w:cs="宋体"/>
          <w:color w:val="auto"/>
          <w:szCs w:val="24"/>
          <w:highlight w:val="none"/>
        </w:rPr>
        <w:t>在质保期内故障停机时间累计超过1个月，</w:t>
      </w:r>
      <w:r>
        <w:rPr>
          <w:rFonts w:hint="eastAsia" w:ascii="宋体" w:hAnsi="宋体" w:eastAsia="宋体" w:cs="宋体"/>
          <w:color w:val="auto"/>
          <w:szCs w:val="24"/>
          <w:highlight w:val="none"/>
          <w:lang w:val="en-US" w:eastAsia="zh-CN"/>
        </w:rPr>
        <w:t>买方</w:t>
      </w:r>
      <w:r>
        <w:rPr>
          <w:rFonts w:hint="eastAsia" w:ascii="宋体" w:hAnsi="宋体" w:eastAsia="宋体" w:cs="宋体"/>
          <w:color w:val="auto"/>
          <w:szCs w:val="24"/>
          <w:highlight w:val="none"/>
        </w:rPr>
        <w:t>有向</w:t>
      </w:r>
      <w:r>
        <w:rPr>
          <w:rFonts w:hint="eastAsia" w:ascii="宋体" w:hAnsi="宋体" w:eastAsia="宋体" w:cs="宋体"/>
          <w:color w:val="auto"/>
          <w:szCs w:val="24"/>
          <w:highlight w:val="none"/>
          <w:lang w:val="en-US" w:eastAsia="zh-CN"/>
        </w:rPr>
        <w:t>卖方</w:t>
      </w:r>
      <w:r>
        <w:rPr>
          <w:rFonts w:hint="eastAsia" w:ascii="宋体" w:hAnsi="宋体" w:eastAsia="宋体" w:cs="宋体"/>
          <w:color w:val="auto"/>
          <w:szCs w:val="24"/>
          <w:highlight w:val="none"/>
        </w:rPr>
        <w:t>索赔的权力。</w:t>
      </w:r>
    </w:p>
    <w:p w14:paraId="72912290">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6.4 卖方应无条件提供设备终身技术支持和售后服务。质保期结束后，卖方向买方提供服务的，卖方只收成本费的维护服务</w:t>
      </w:r>
      <w:r>
        <w:rPr>
          <w:rFonts w:hint="eastAsia" w:ascii="宋体" w:hAnsi="宋体" w:eastAsia="宋体" w:cs="宋体"/>
          <w:color w:val="auto"/>
          <w:szCs w:val="24"/>
          <w:highlight w:val="none"/>
        </w:rPr>
        <w:t>。</w:t>
      </w:r>
    </w:p>
    <w:p w14:paraId="128B2EC7">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7、</w:t>
      </w:r>
      <w:r>
        <w:rPr>
          <w:rFonts w:hint="eastAsia" w:ascii="宋体" w:hAnsi="宋体" w:eastAsia="宋体" w:cs="宋体"/>
          <w:color w:val="auto"/>
          <w:szCs w:val="24"/>
          <w:highlight w:val="none"/>
          <w:lang w:eastAsia="zh-CN"/>
        </w:rPr>
        <w:t>卖方</w:t>
      </w:r>
      <w:r>
        <w:rPr>
          <w:rFonts w:hint="eastAsia" w:ascii="宋体" w:hAnsi="宋体" w:eastAsia="宋体" w:cs="宋体"/>
          <w:color w:val="auto"/>
          <w:szCs w:val="24"/>
          <w:highlight w:val="none"/>
        </w:rPr>
        <w:t>在分包（如有）或配套设备采购或主要部件（或成品）采购或委托试验时，须将分包内容、分包对象、主要部件（或成品）采购内容、采购品牌、委托试验、试验单位等书面报送</w:t>
      </w:r>
      <w:r>
        <w:rPr>
          <w:rFonts w:hint="eastAsia" w:ascii="宋体" w:hAnsi="宋体" w:eastAsia="宋体" w:cs="宋体"/>
          <w:color w:val="auto"/>
          <w:szCs w:val="24"/>
          <w:highlight w:val="none"/>
          <w:lang w:val="en-US" w:eastAsia="zh-CN"/>
        </w:rPr>
        <w:t>买</w:t>
      </w:r>
      <w:r>
        <w:rPr>
          <w:rFonts w:hint="eastAsia" w:ascii="宋体" w:hAnsi="宋体" w:eastAsia="宋体" w:cs="宋体"/>
          <w:color w:val="auto"/>
          <w:szCs w:val="24"/>
          <w:highlight w:val="none"/>
        </w:rPr>
        <w:t>方，经</w:t>
      </w:r>
      <w:r>
        <w:rPr>
          <w:rFonts w:hint="eastAsia" w:ascii="宋体" w:hAnsi="宋体" w:eastAsia="宋体" w:cs="宋体"/>
          <w:color w:val="auto"/>
          <w:szCs w:val="24"/>
          <w:highlight w:val="none"/>
          <w:lang w:val="en-US" w:eastAsia="zh-CN"/>
        </w:rPr>
        <w:t>买</w:t>
      </w:r>
      <w:r>
        <w:rPr>
          <w:rFonts w:hint="eastAsia" w:ascii="宋体" w:hAnsi="宋体" w:eastAsia="宋体" w:cs="宋体"/>
          <w:color w:val="auto"/>
          <w:szCs w:val="24"/>
          <w:highlight w:val="none"/>
        </w:rPr>
        <w:t>方书面同意后方可进行分包</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未经</w:t>
      </w:r>
      <w:r>
        <w:rPr>
          <w:rFonts w:hint="eastAsia" w:ascii="宋体" w:hAnsi="宋体" w:eastAsia="宋体" w:cs="宋体"/>
          <w:color w:val="auto"/>
          <w:szCs w:val="24"/>
          <w:highlight w:val="none"/>
          <w:lang w:val="en-US" w:eastAsia="zh-CN"/>
        </w:rPr>
        <w:t>买</w:t>
      </w:r>
      <w:r>
        <w:rPr>
          <w:rFonts w:hint="eastAsia" w:ascii="宋体" w:hAnsi="宋体" w:eastAsia="宋体" w:cs="宋体"/>
          <w:color w:val="auto"/>
          <w:szCs w:val="24"/>
          <w:highlight w:val="none"/>
        </w:rPr>
        <w:t>方同意的，</w:t>
      </w:r>
      <w:r>
        <w:rPr>
          <w:rFonts w:hint="eastAsia" w:ascii="宋体" w:hAnsi="宋体" w:eastAsia="宋体" w:cs="宋体"/>
          <w:color w:val="auto"/>
          <w:szCs w:val="24"/>
          <w:highlight w:val="none"/>
          <w:lang w:val="en-US" w:eastAsia="zh-CN"/>
        </w:rPr>
        <w:t>买</w:t>
      </w:r>
      <w:r>
        <w:rPr>
          <w:rFonts w:hint="eastAsia" w:ascii="宋体" w:hAnsi="宋体" w:eastAsia="宋体" w:cs="宋体"/>
          <w:color w:val="auto"/>
          <w:szCs w:val="24"/>
          <w:highlight w:val="none"/>
        </w:rPr>
        <w:t>方</w:t>
      </w:r>
      <w:r>
        <w:rPr>
          <w:rFonts w:hint="eastAsia" w:ascii="宋体" w:hAnsi="宋体" w:eastAsia="宋体" w:cs="宋体"/>
          <w:color w:val="auto"/>
          <w:szCs w:val="24"/>
          <w:highlight w:val="none"/>
          <w:lang w:val="en-US" w:eastAsia="zh-CN"/>
        </w:rPr>
        <w:t>有权</w:t>
      </w:r>
      <w:r>
        <w:rPr>
          <w:rFonts w:hint="eastAsia" w:ascii="宋体" w:hAnsi="宋体" w:eastAsia="宋体" w:cs="宋体"/>
          <w:color w:val="auto"/>
          <w:szCs w:val="24"/>
          <w:highlight w:val="none"/>
        </w:rPr>
        <w:t>拒绝接受相关设备、试验数据和试验成果等。</w:t>
      </w:r>
    </w:p>
    <w:p w14:paraId="6D0B20F0">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8、</w:t>
      </w:r>
      <w:r>
        <w:rPr>
          <w:rFonts w:hint="eastAsia" w:ascii="宋体" w:hAnsi="宋体" w:eastAsia="宋体" w:cs="宋体"/>
          <w:color w:val="auto"/>
          <w:szCs w:val="24"/>
          <w:highlight w:val="none"/>
          <w:lang w:eastAsia="zh-CN"/>
        </w:rPr>
        <w:t>卖方</w:t>
      </w:r>
      <w:r>
        <w:rPr>
          <w:rFonts w:hint="eastAsia" w:ascii="宋体" w:hAnsi="宋体" w:eastAsia="宋体" w:cs="宋体"/>
          <w:color w:val="auto"/>
          <w:szCs w:val="24"/>
          <w:highlight w:val="none"/>
        </w:rPr>
        <w:t>须自费协调所有分包商（如有）工作，以确保分包商提供的设备与材料之间的接口匹配、有效并可靠。</w:t>
      </w:r>
      <w:r>
        <w:rPr>
          <w:rFonts w:hint="eastAsia" w:ascii="宋体" w:hAnsi="宋体" w:eastAsia="宋体" w:cs="宋体"/>
          <w:color w:val="auto"/>
          <w:szCs w:val="24"/>
          <w:highlight w:val="none"/>
          <w:lang w:eastAsia="zh-CN"/>
        </w:rPr>
        <w:t>卖方</w:t>
      </w:r>
      <w:r>
        <w:rPr>
          <w:rFonts w:hint="eastAsia" w:ascii="宋体" w:hAnsi="宋体" w:eastAsia="宋体" w:cs="宋体"/>
          <w:color w:val="auto"/>
          <w:szCs w:val="24"/>
          <w:highlight w:val="none"/>
        </w:rPr>
        <w:t>有责任保证本合同下项目的完整性，在任何情况下，分包商的介入不减轻</w:t>
      </w:r>
      <w:r>
        <w:rPr>
          <w:rFonts w:hint="eastAsia" w:ascii="宋体" w:hAnsi="宋体" w:eastAsia="宋体" w:cs="宋体"/>
          <w:color w:val="auto"/>
          <w:szCs w:val="24"/>
          <w:highlight w:val="none"/>
          <w:lang w:val="en-US" w:eastAsia="zh-CN"/>
        </w:rPr>
        <w:t>卖方</w:t>
      </w:r>
      <w:r>
        <w:rPr>
          <w:rFonts w:hint="eastAsia" w:ascii="宋体" w:hAnsi="宋体" w:eastAsia="宋体" w:cs="宋体"/>
          <w:color w:val="auto"/>
          <w:szCs w:val="24"/>
          <w:highlight w:val="none"/>
        </w:rPr>
        <w:t>应承担的责任。</w:t>
      </w:r>
    </w:p>
    <w:p w14:paraId="21AC211B">
      <w:pPr>
        <w:pStyle w:val="44"/>
        <w:kinsoku/>
        <w:topLinePunct/>
        <w:spacing w:beforeLines="0" w:afterLines="0" w:line="360" w:lineRule="auto"/>
        <w:ind w:firstLine="1120"/>
        <w:rPr>
          <w:rFonts w:hint="eastAsia" w:ascii="宋体" w:hAnsi="宋体" w:eastAsia="宋体" w:cs="宋体"/>
          <w:color w:val="auto"/>
          <w:szCs w:val="24"/>
          <w:highlight w:val="none"/>
        </w:rPr>
      </w:pPr>
      <w:r>
        <w:rPr>
          <w:rFonts w:hint="eastAsia" w:ascii="宋体" w:hAnsi="宋体" w:eastAsia="宋体" w:cs="宋体"/>
          <w:color w:val="auto"/>
          <w:szCs w:val="24"/>
          <w:highlight w:val="none"/>
          <w:lang w:val="en-US" w:eastAsia="zh-CN"/>
        </w:rPr>
        <w:t>9、卖</w:t>
      </w:r>
      <w:r>
        <w:rPr>
          <w:rFonts w:hint="eastAsia" w:ascii="宋体" w:hAnsi="宋体" w:eastAsia="宋体" w:cs="宋体"/>
          <w:color w:val="auto"/>
          <w:szCs w:val="24"/>
          <w:highlight w:val="none"/>
        </w:rPr>
        <w:t>方保证</w:t>
      </w:r>
      <w:r>
        <w:rPr>
          <w:rFonts w:hint="eastAsia" w:ascii="宋体" w:hAnsi="宋体" w:eastAsia="宋体" w:cs="宋体"/>
          <w:color w:val="auto"/>
          <w:szCs w:val="24"/>
          <w:highlight w:val="none"/>
          <w:lang w:val="en-US" w:eastAsia="zh-CN"/>
        </w:rPr>
        <w:t>买</w:t>
      </w:r>
      <w:r>
        <w:rPr>
          <w:rFonts w:hint="eastAsia" w:ascii="宋体" w:hAnsi="宋体" w:eastAsia="宋体" w:cs="宋体"/>
          <w:color w:val="auto"/>
          <w:szCs w:val="24"/>
          <w:highlight w:val="none"/>
        </w:rPr>
        <w:t>方在使用其提供的货物、技术或者其中任何一部分时</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rPr>
        <w:t>不受第三人提出侵犯专利权、商标权、著作权、商业秘密和设计权的权利主张，否则由</w:t>
      </w:r>
      <w:r>
        <w:rPr>
          <w:rFonts w:hint="eastAsia" w:ascii="宋体" w:hAnsi="宋体" w:eastAsia="宋体" w:cs="宋体"/>
          <w:color w:val="auto"/>
          <w:szCs w:val="24"/>
          <w:highlight w:val="none"/>
          <w:lang w:val="en-US" w:eastAsia="zh-CN"/>
        </w:rPr>
        <w:t>卖</w:t>
      </w:r>
      <w:r>
        <w:rPr>
          <w:rFonts w:hint="eastAsia" w:ascii="宋体" w:hAnsi="宋体" w:eastAsia="宋体" w:cs="宋体"/>
          <w:color w:val="auto"/>
          <w:szCs w:val="24"/>
          <w:highlight w:val="none"/>
        </w:rPr>
        <w:t>方负全部责任</w:t>
      </w:r>
      <w:r>
        <w:rPr>
          <w:rFonts w:hint="eastAsia" w:ascii="宋体" w:hAnsi="宋体" w:eastAsia="宋体" w:cs="宋体"/>
          <w:color w:val="auto"/>
          <w:szCs w:val="24"/>
          <w:highlight w:val="none"/>
          <w:lang w:eastAsia="zh-CN"/>
        </w:rPr>
        <w:t>。</w:t>
      </w:r>
      <w:r>
        <w:rPr>
          <w:rFonts w:hint="eastAsia" w:ascii="宋体" w:hAnsi="宋体" w:eastAsia="宋体" w:cs="宋体"/>
          <w:color w:val="auto"/>
          <w:szCs w:val="24"/>
          <w:highlight w:val="none"/>
          <w:lang w:val="en-US" w:eastAsia="zh-CN"/>
        </w:rPr>
        <w:t>卖</w:t>
      </w:r>
      <w:r>
        <w:rPr>
          <w:rFonts w:hint="eastAsia" w:ascii="宋体" w:hAnsi="宋体" w:eastAsia="宋体" w:cs="宋体"/>
          <w:color w:val="auto"/>
          <w:szCs w:val="24"/>
          <w:highlight w:val="none"/>
        </w:rPr>
        <w:t>方承担的全部责任包括但不限于：</w:t>
      </w:r>
      <w:r>
        <w:rPr>
          <w:rFonts w:hint="eastAsia" w:ascii="宋体" w:hAnsi="宋体" w:eastAsia="宋体" w:cs="宋体"/>
          <w:color w:val="auto"/>
          <w:szCs w:val="24"/>
          <w:highlight w:val="none"/>
          <w:lang w:val="en-US" w:eastAsia="zh-CN"/>
        </w:rPr>
        <w:t>买</w:t>
      </w:r>
      <w:r>
        <w:rPr>
          <w:rFonts w:hint="eastAsia" w:ascii="宋体" w:hAnsi="宋体" w:eastAsia="宋体" w:cs="宋体"/>
          <w:color w:val="auto"/>
          <w:szCs w:val="24"/>
          <w:highlight w:val="none"/>
        </w:rPr>
        <w:t>方支付的律师费、调查取证费、差旅费及经裁判</w:t>
      </w:r>
      <w:r>
        <w:rPr>
          <w:rFonts w:hint="eastAsia" w:ascii="宋体" w:hAnsi="宋体" w:eastAsia="宋体" w:cs="宋体"/>
          <w:color w:val="auto"/>
          <w:szCs w:val="24"/>
          <w:highlight w:val="none"/>
          <w:lang w:val="en-US" w:eastAsia="zh-CN"/>
        </w:rPr>
        <w:t>买</w:t>
      </w:r>
      <w:r>
        <w:rPr>
          <w:rFonts w:hint="eastAsia" w:ascii="宋体" w:hAnsi="宋体" w:eastAsia="宋体" w:cs="宋体"/>
          <w:color w:val="auto"/>
          <w:szCs w:val="24"/>
          <w:highlight w:val="none"/>
        </w:rPr>
        <w:t>方应承担的赔偿款项及诉讼费等。</w:t>
      </w:r>
    </w:p>
    <w:p w14:paraId="2DF640B9">
      <w:pPr>
        <w:pStyle w:val="44"/>
        <w:kinsoku/>
        <w:topLinePunct/>
        <w:spacing w:beforeLines="0" w:afterLines="0" w:line="360" w:lineRule="auto"/>
        <w:ind w:firstLine="11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10、卖方应对其履行合同所雇佣的全部人员的工伤事故承担责任，但由于买方原因造成卖方人员工伤事故的，应由买方承担责任。</w:t>
      </w:r>
    </w:p>
    <w:p w14:paraId="4A46608C">
      <w:pPr>
        <w:pStyle w:val="44"/>
        <w:kinsoku/>
        <w:topLinePunct/>
        <w:spacing w:beforeLines="0" w:afterLines="0" w:line="360" w:lineRule="auto"/>
        <w:ind w:firstLine="1120"/>
        <w:rPr>
          <w:rFonts w:hint="eastAsia" w:ascii="宋体" w:hAnsi="宋体" w:eastAsia="宋体" w:cs="宋体"/>
          <w:color w:val="auto"/>
          <w:szCs w:val="24"/>
          <w:highlight w:val="none"/>
          <w:lang w:val="en-US" w:eastAsia="zh-CN"/>
        </w:rPr>
      </w:pPr>
      <w:r>
        <w:rPr>
          <w:rFonts w:hint="eastAsia" w:ascii="宋体" w:hAnsi="宋体" w:eastAsia="宋体" w:cs="宋体"/>
          <w:color w:val="auto"/>
          <w:szCs w:val="24"/>
          <w:highlight w:val="none"/>
          <w:lang w:val="en-US" w:eastAsia="zh-CN"/>
        </w:rPr>
        <w:t>11、由于卖方原因在施工场地内及其毗邻地带造成的第三者人员伤亡和财产损失，由卖方负责赔偿。</w:t>
      </w:r>
    </w:p>
    <w:p w14:paraId="04B47909">
      <w:pPr>
        <w:pStyle w:val="44"/>
        <w:kinsoku/>
        <w:topLinePunct/>
        <w:spacing w:beforeLines="0" w:afterLines="0" w:line="360" w:lineRule="auto"/>
        <w:ind w:firstLine="1120"/>
        <w:rPr>
          <w:rFonts w:hint="default" w:ascii="宋体" w:hAnsi="宋体" w:eastAsia="宋体" w:cs="宋体"/>
          <w:b/>
          <w:bCs/>
          <w:color w:val="auto"/>
          <w:szCs w:val="24"/>
          <w:highlight w:val="none"/>
          <w:lang w:val="en-US" w:eastAsia="zh-CN"/>
        </w:rPr>
      </w:pPr>
      <w:r>
        <w:rPr>
          <w:rFonts w:hint="eastAsia" w:cs="宋体"/>
          <w:b/>
          <w:bCs/>
          <w:color w:val="auto"/>
          <w:szCs w:val="24"/>
          <w:highlight w:val="none"/>
          <w:lang w:val="en-US" w:eastAsia="zh-CN"/>
        </w:rPr>
        <w:t>12.对设备主要参数响应性要求详见招标文件第六章技术标准。</w:t>
      </w:r>
    </w:p>
    <w:p w14:paraId="19EBC9D6">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33E82E98">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37078343">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489765B1">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4A12BB18">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12083A21">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4AEE4EC8">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2B7AF397">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2BFCE4D1">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360A9C5B">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56717960">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277B34CE">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3CFB3C5B">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1A641955">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4AE0970E">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05886A3B">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26D10CE5">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74DA42CA">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269946A7">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2D7C985D">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510B0CE5">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5FB24770">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6A233FE5">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72666D06">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3B94DCD0">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7A4444BC">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2E8CEFE1">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50888F2D">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1FE7498D">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7BEEAC39">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0E673758">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9"/>
        <w:rPr>
          <w:rFonts w:hint="eastAsia" w:ascii="宋体" w:hAnsi="宋体" w:eastAsia="宋体" w:cs="宋体"/>
          <w:color w:val="auto"/>
          <w:sz w:val="24"/>
          <w:szCs w:val="24"/>
          <w:highlight w:val="none"/>
        </w:rPr>
      </w:pPr>
    </w:p>
    <w:p w14:paraId="4170F7E4">
      <w:pPr>
        <w:keepNext w:val="0"/>
        <w:keepLines w:val="0"/>
        <w:pageBreakBefore w:val="0"/>
        <w:widowControl/>
        <w:kinsoku/>
        <w:wordWrap/>
        <w:overflowPunct/>
        <w:topLinePunct/>
        <w:autoSpaceDE/>
        <w:autoSpaceDN/>
        <w:bidi w:val="0"/>
        <w:adjustRightInd/>
        <w:snapToGrid/>
        <w:spacing w:beforeLines="0" w:afterLines="0" w:line="360" w:lineRule="auto"/>
        <w:jc w:val="center"/>
        <w:textAlignment w:val="auto"/>
        <w:outlineLvl w:val="1"/>
        <w:rPr>
          <w:rFonts w:hint="eastAsia" w:ascii="宋体" w:hAnsi="宋体" w:eastAsia="宋体" w:cs="宋体"/>
          <w:b/>
          <w:bCs/>
          <w:snapToGrid/>
          <w:color w:val="auto"/>
          <w:sz w:val="24"/>
          <w:szCs w:val="24"/>
          <w:highlight w:val="none"/>
        </w:rPr>
      </w:pPr>
      <w:bookmarkStart w:id="775" w:name="_Toc15304"/>
      <w:bookmarkStart w:id="776" w:name="_Toc3870"/>
      <w:bookmarkStart w:id="777" w:name="_Toc4670"/>
      <w:bookmarkStart w:id="778" w:name="_Toc1844"/>
      <w:bookmarkStart w:id="779" w:name="_Toc8926"/>
      <w:bookmarkStart w:id="780" w:name="_Toc8695"/>
      <w:bookmarkStart w:id="781" w:name="_Toc23219"/>
      <w:bookmarkStart w:id="782" w:name="_Toc24583"/>
      <w:bookmarkStart w:id="783" w:name="_Toc29925"/>
      <w:bookmarkStart w:id="784" w:name="_Toc25938"/>
      <w:bookmarkStart w:id="785" w:name="_Toc26136"/>
      <w:bookmarkStart w:id="786" w:name="_Toc4991"/>
      <w:bookmarkStart w:id="787" w:name="_Toc5250"/>
      <w:bookmarkStart w:id="788" w:name="_Toc20098"/>
      <w:bookmarkStart w:id="789" w:name="_Toc18788"/>
      <w:bookmarkStart w:id="790" w:name="_Toc4966"/>
      <w:bookmarkStart w:id="791" w:name="_Toc25192"/>
      <w:bookmarkStart w:id="792" w:name="_Toc32747"/>
      <w:bookmarkStart w:id="793" w:name="_Toc1956"/>
      <w:bookmarkStart w:id="794" w:name="_Toc17565"/>
      <w:bookmarkStart w:id="795" w:name="_Toc16973"/>
      <w:bookmarkStart w:id="796" w:name="_Toc29095"/>
      <w:bookmarkStart w:id="797" w:name="_Toc30661"/>
      <w:bookmarkStart w:id="798" w:name="_Toc17691"/>
      <w:bookmarkStart w:id="799" w:name="_Toc11845"/>
      <w:bookmarkStart w:id="800" w:name="_Toc7503"/>
      <w:bookmarkStart w:id="801" w:name="_Toc14020"/>
      <w:bookmarkStart w:id="802" w:name="_Toc31191"/>
      <w:r>
        <w:rPr>
          <w:rFonts w:hint="eastAsia" w:ascii="宋体" w:hAnsi="宋体" w:eastAsia="宋体" w:cs="宋体"/>
          <w:b/>
          <w:bCs/>
          <w:snapToGrid/>
          <w:color w:val="auto"/>
          <w:sz w:val="24"/>
          <w:szCs w:val="24"/>
          <w:highlight w:val="none"/>
        </w:rPr>
        <w:t>第</w:t>
      </w:r>
      <w:r>
        <w:rPr>
          <w:rFonts w:hint="eastAsia" w:ascii="宋体" w:hAnsi="宋体" w:eastAsia="宋体" w:cs="宋体"/>
          <w:b/>
          <w:bCs/>
          <w:snapToGrid/>
          <w:color w:val="auto"/>
          <w:sz w:val="24"/>
          <w:szCs w:val="24"/>
          <w:highlight w:val="none"/>
          <w:lang w:val="en-US" w:eastAsia="zh-CN"/>
        </w:rPr>
        <w:t xml:space="preserve">四部分  </w:t>
      </w:r>
      <w:r>
        <w:rPr>
          <w:rFonts w:hint="eastAsia" w:ascii="宋体" w:hAnsi="宋体" w:eastAsia="宋体" w:cs="宋体"/>
          <w:b/>
          <w:bCs/>
          <w:snapToGrid/>
          <w:color w:val="auto"/>
          <w:sz w:val="24"/>
          <w:szCs w:val="24"/>
          <w:highlight w:val="none"/>
        </w:rPr>
        <w:t>合同附件格式</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p w14:paraId="3E0DB73D">
      <w:pPr>
        <w:spacing w:before="101" w:line="360" w:lineRule="auto"/>
        <w:ind w:left="19"/>
        <w:outlineLvl w:val="2"/>
        <w:rPr>
          <w:rFonts w:hint="eastAsia" w:ascii="宋体" w:hAnsi="宋体" w:eastAsia="宋体" w:cs="宋体"/>
          <w:color w:val="auto"/>
          <w:spacing w:val="5"/>
          <w:sz w:val="24"/>
          <w:szCs w:val="24"/>
          <w:highlight w:val="none"/>
          <w:lang w:eastAsia="zh-CN"/>
        </w:rPr>
      </w:pPr>
      <w:bookmarkStart w:id="803" w:name="_Toc26979"/>
      <w:bookmarkStart w:id="804" w:name="_Toc17242"/>
      <w:bookmarkStart w:id="805" w:name="_Toc30464"/>
      <w:bookmarkStart w:id="806" w:name="_Toc19873"/>
      <w:bookmarkStart w:id="807" w:name="_Toc3559"/>
      <w:bookmarkStart w:id="808" w:name="_Toc17985"/>
      <w:bookmarkStart w:id="809" w:name="_Toc8101"/>
      <w:bookmarkStart w:id="810" w:name="_Toc30056"/>
      <w:bookmarkStart w:id="811" w:name="_Toc6996"/>
      <w:bookmarkStart w:id="812" w:name="_Toc22776"/>
      <w:bookmarkStart w:id="813" w:name="_Toc31668"/>
      <w:bookmarkStart w:id="814" w:name="_Toc32400"/>
      <w:bookmarkStart w:id="815" w:name="_Toc5937"/>
      <w:bookmarkStart w:id="816" w:name="_Toc25309"/>
      <w:bookmarkStart w:id="817" w:name="_Toc21109"/>
      <w:bookmarkStart w:id="818" w:name="_Toc13981"/>
      <w:bookmarkStart w:id="819" w:name="_Toc12637"/>
      <w:bookmarkStart w:id="820" w:name="_Toc26224"/>
      <w:bookmarkStart w:id="821" w:name="_Toc8096"/>
      <w:bookmarkStart w:id="822" w:name="_Toc19919"/>
      <w:bookmarkStart w:id="823" w:name="_Toc1747"/>
      <w:r>
        <w:rPr>
          <w:rFonts w:hint="eastAsia" w:ascii="宋体" w:hAnsi="宋体" w:eastAsia="宋体" w:cs="宋体"/>
          <w:color w:val="auto"/>
          <w:spacing w:val="5"/>
          <w:sz w:val="24"/>
          <w:szCs w:val="24"/>
          <w:highlight w:val="none"/>
          <w:lang w:eastAsia="zh-CN"/>
        </w:rPr>
        <w:t>附件一：廉政责任书</w:t>
      </w:r>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14:paraId="690E43BB">
      <w:pPr>
        <w:spacing w:before="114" w:line="360" w:lineRule="auto"/>
        <w:ind w:left="364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廉政责任书</w:t>
      </w:r>
    </w:p>
    <w:p w14:paraId="6A0E8AFE">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工程项目名称：</w:t>
      </w:r>
    </w:p>
    <w:p w14:paraId="3A5C798C">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工程项目地址：</w:t>
      </w:r>
    </w:p>
    <w:p w14:paraId="7D87C48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买方（买方）：</w:t>
      </w:r>
    </w:p>
    <w:p w14:paraId="03D4B1A2">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卖方（卖方）：</w:t>
      </w:r>
    </w:p>
    <w:p w14:paraId="3E0BF2F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17FB2D36">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第一条</w:t>
      </w:r>
      <w:r>
        <w:rPr>
          <w:rFonts w:hint="eastAsia" w:ascii="宋体" w:hAnsi="宋体" w:eastAsia="宋体" w:cs="宋体"/>
          <w:color w:val="auto"/>
          <w:spacing w:val="5"/>
          <w:sz w:val="24"/>
          <w:szCs w:val="24"/>
          <w:highlight w:val="none"/>
          <w:lang w:val="en-US" w:eastAsia="zh-CN"/>
        </w:rPr>
        <w:t>买卖</w:t>
      </w:r>
      <w:r>
        <w:rPr>
          <w:rFonts w:hint="eastAsia" w:ascii="宋体" w:hAnsi="宋体" w:eastAsia="宋体" w:cs="宋体"/>
          <w:color w:val="auto"/>
          <w:spacing w:val="5"/>
          <w:sz w:val="24"/>
          <w:szCs w:val="24"/>
          <w:highlight w:val="none"/>
          <w:lang w:eastAsia="zh-CN"/>
        </w:rPr>
        <w:t>双方责任</w:t>
      </w:r>
    </w:p>
    <w:p w14:paraId="729E672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（一）应严格遵守国家关于市场准入、项目招标投标、工程建设、施工安装和市场活动等有关法律、法规，相关政策，以及廉政建设的各项规定。</w:t>
      </w:r>
    </w:p>
    <w:p w14:paraId="2EC8087E">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（二）严格执行建设工程项目承发包合同文件，自觉按合同办事。</w:t>
      </w:r>
    </w:p>
    <w:p w14:paraId="26A25AB1">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（三）业务活动必须坚持公开、公平、公正、诚信、透明的原则（除法律法规另有规定者外），不得为获取不正当的利益，损害国家、集体和对方利益，不得违反工程建设管理、施工安装的规章制度。</w:t>
      </w:r>
    </w:p>
    <w:p w14:paraId="4C61774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（四）发现对方在业务活动中有违规、违纪、违法行为的，应及时提醒对方，情节严重的，应向其上级主管部门或纪检监察、司法等有关机关举报。</w:t>
      </w:r>
    </w:p>
    <w:p w14:paraId="3F17137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第二条买方的责任</w:t>
      </w:r>
    </w:p>
    <w:p w14:paraId="46CB0C8E">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买方的领导和从事该建设工程项目的工作人员，在工程建设的事前、事中、事后应遵守以下规定：</w:t>
      </w:r>
    </w:p>
    <w:p w14:paraId="63E87516">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（一）不准向卖方和相关单位索要或接受回扣、礼金、有价证券、贵重物品和好处费、感谢费等。</w:t>
      </w:r>
    </w:p>
    <w:p w14:paraId="6E4E325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（二）不准在卖方和相关单位报销任何应由买方或个人支付的费用。</w:t>
      </w:r>
    </w:p>
    <w:p w14:paraId="66B6D42A">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（三）不准要求、暗示和接受卖方和相关单位为个人装修住房、婚丧嫁娶、配偶子女的工作安排以及出国（境）、旅游等提供方便。</w:t>
      </w:r>
    </w:p>
    <w:p w14:paraId="34F34A32">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（四）不准参加有可能影响公正执行公务的卖方和相关单位的宴请和健身、娱乐等活动。</w:t>
      </w:r>
    </w:p>
    <w:p w14:paraId="20E4349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（五）不准向卖方介绍或为配偶、子女、亲属参与同买方项目采购合同有关的设备、工程分包、劳务等经济活动。不得以任何理由向卖方和相关单位推荐分包单位和要求卖方购买项目采购合同规定以外的设备等。</w:t>
      </w:r>
    </w:p>
    <w:p w14:paraId="5F4F2C29">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第三条卖方的责任</w:t>
      </w:r>
    </w:p>
    <w:p w14:paraId="4265A6A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应与买方保持正常的业务交往，按照有关法律法规和程序开展业务工作，严格执行工程建设的有关方针、政策，尤其是有关建筑施工安装的强制性标准和规范，并遵守以下规定：</w:t>
      </w:r>
    </w:p>
    <w:p w14:paraId="2D58CF1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（一）不准以任何理由向买方、相关单位及其工作人员索要、接受或赠送礼金、 有价证券、贵重物品和回扣、好处费、感谢费等。</w:t>
      </w:r>
    </w:p>
    <w:p w14:paraId="26142B2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（二）不准以任何理由为买方和相关单位报销应由对方或个人支付的费用。</w:t>
      </w:r>
    </w:p>
    <w:p w14:paraId="09E5EDA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（三）不准接受或暗示为买方、相关单位或个人装修住房、婚丧嫁娶、配偶子女的工作安排以及出国（境）、旅游等提供方便。</w:t>
      </w:r>
    </w:p>
    <w:p w14:paraId="1A9ED3C5">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（四）不准以任何理由为买方、相关单位或个人组织有可能影响公正执行公务的 宴请、健身、娱乐等活动。</w:t>
      </w:r>
    </w:p>
    <w:p w14:paraId="18CA97F6">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第四条违约责任</w:t>
      </w:r>
    </w:p>
    <w:p w14:paraId="715973E2">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买方工作人员有违反本责任书第一、二条责任行为的，按照管理权限，依据有关法律法规和规定给予党纪、政务处分或组织处理；涉嫌犯罪的，移交司法机关追究刑事责任；给卖方单位造成经济损失的，应予以赔偿。</w:t>
      </w:r>
    </w:p>
    <w:p w14:paraId="1FD7C7B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（二）卖方工作人员有违反本责任书第一、三条责任行为的，按照管理权限，依 据有关法律法规和规定给予党纪、政务处分或组织处理；涉嫌犯罪的，移交司法机关追究刑事责任；给买方单位造成经济损失的，应予以赔偿。</w:t>
      </w:r>
    </w:p>
    <w:p w14:paraId="534359E5">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第五条本责任书作为采购合同的附件，与采购合同具有同等法律效力。经双方签署后立即生效。</w:t>
      </w:r>
    </w:p>
    <w:p w14:paraId="0D00E17D">
      <w:pPr>
        <w:pStyle w:val="6"/>
        <w:spacing w:line="360" w:lineRule="auto"/>
        <w:ind w:firstLine="50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第六条本责任书的有效期为双方签署之日起至该工程项目完工验收合格时止。</w:t>
      </w:r>
    </w:p>
    <w:p w14:paraId="7540857B">
      <w:pPr>
        <w:pStyle w:val="6"/>
        <w:spacing w:line="360" w:lineRule="auto"/>
        <w:rPr>
          <w:rFonts w:hint="eastAsia" w:ascii="宋体" w:hAnsi="宋体" w:eastAsia="宋体" w:cs="宋体"/>
          <w:color w:val="auto"/>
          <w:sz w:val="24"/>
          <w:szCs w:val="24"/>
          <w:highlight w:val="none"/>
          <w:lang w:eastAsia="zh-CN"/>
        </w:rPr>
      </w:pPr>
    </w:p>
    <w:p w14:paraId="1D77AF7C">
      <w:pPr>
        <w:spacing w:before="78" w:line="360" w:lineRule="auto"/>
        <w:ind w:left="128"/>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买方（买方</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2"/>
          <w:sz w:val="24"/>
          <w:szCs w:val="24"/>
          <w:highlight w:val="none"/>
          <w:lang w:eastAsia="zh-CN"/>
        </w:rPr>
        <w:t>盖章</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卖方（卖方</w:t>
      </w:r>
      <w:r>
        <w:rPr>
          <w:rFonts w:hint="eastAsia" w:ascii="宋体" w:hAnsi="宋体" w:eastAsia="宋体" w:cs="宋体"/>
          <w:color w:val="auto"/>
          <w:spacing w:val="-8"/>
          <w:sz w:val="24"/>
          <w:szCs w:val="24"/>
          <w:highlight w:val="none"/>
          <w:lang w:eastAsia="zh-CN"/>
        </w:rPr>
        <w:t>）（</w:t>
      </w:r>
      <w:r>
        <w:rPr>
          <w:rFonts w:hint="eastAsia" w:ascii="宋体" w:hAnsi="宋体" w:eastAsia="宋体" w:cs="宋体"/>
          <w:color w:val="auto"/>
          <w:spacing w:val="2"/>
          <w:sz w:val="24"/>
          <w:szCs w:val="24"/>
          <w:highlight w:val="none"/>
          <w:lang w:eastAsia="zh-CN"/>
        </w:rPr>
        <w:t>盖章</w:t>
      </w:r>
      <w:r>
        <w:rPr>
          <w:rFonts w:hint="eastAsia" w:ascii="宋体" w:hAnsi="宋体" w:eastAsia="宋体" w:cs="宋体"/>
          <w:color w:val="auto"/>
          <w:spacing w:val="-8"/>
          <w:sz w:val="24"/>
          <w:szCs w:val="24"/>
          <w:highlight w:val="none"/>
          <w:lang w:eastAsia="zh-CN"/>
        </w:rPr>
        <w:t>）：</w:t>
      </w:r>
    </w:p>
    <w:p w14:paraId="757A81FE">
      <w:pPr>
        <w:spacing w:before="217" w:line="360" w:lineRule="auto"/>
        <w:ind w:left="11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地址：</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4"/>
          <w:sz w:val="24"/>
          <w:szCs w:val="24"/>
          <w:highlight w:val="none"/>
          <w:lang w:eastAsia="zh-CN"/>
        </w:rPr>
        <w:t>地址：</w:t>
      </w:r>
    </w:p>
    <w:p w14:paraId="18013ADD">
      <w:pPr>
        <w:spacing w:before="201" w:line="360" w:lineRule="auto"/>
        <w:ind w:left="12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法定代表人（签字或盖章</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法定代表人（签字或盖章</w:t>
      </w:r>
      <w:r>
        <w:rPr>
          <w:rFonts w:hint="eastAsia" w:ascii="宋体" w:hAnsi="宋体" w:eastAsia="宋体" w:cs="宋体"/>
          <w:color w:val="auto"/>
          <w:sz w:val="24"/>
          <w:szCs w:val="24"/>
          <w:highlight w:val="none"/>
          <w:lang w:eastAsia="zh-CN"/>
        </w:rPr>
        <w:t>）：</w:t>
      </w:r>
    </w:p>
    <w:p w14:paraId="5D378138">
      <w:pPr>
        <w:spacing w:before="214" w:line="360" w:lineRule="auto"/>
        <w:ind w:left="118"/>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委托代理人（签字或盖章</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委托代理人（签字或盖章</w:t>
      </w:r>
      <w:r>
        <w:rPr>
          <w:rFonts w:hint="eastAsia" w:ascii="宋体" w:hAnsi="宋体" w:eastAsia="宋体" w:cs="宋体"/>
          <w:color w:val="auto"/>
          <w:spacing w:val="1"/>
          <w:sz w:val="24"/>
          <w:szCs w:val="24"/>
          <w:highlight w:val="none"/>
          <w:lang w:eastAsia="zh-CN"/>
        </w:rPr>
        <w:t>）：</w:t>
      </w:r>
    </w:p>
    <w:p w14:paraId="5FD763F7">
      <w:pPr>
        <w:spacing w:before="218" w:line="360" w:lineRule="auto"/>
        <w:ind w:left="147"/>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电话：                                   电话：</w:t>
      </w:r>
    </w:p>
    <w:p w14:paraId="32DAB2E6">
      <w:pPr>
        <w:spacing w:before="210" w:line="360" w:lineRule="auto"/>
        <w:ind w:left="11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传真：                           </w:t>
      </w:r>
      <w:r>
        <w:rPr>
          <w:rFonts w:hint="eastAsia" w:ascii="宋体" w:hAnsi="宋体" w:eastAsia="宋体" w:cs="宋体"/>
          <w:color w:val="auto"/>
          <w:spacing w:val="-1"/>
          <w:sz w:val="24"/>
          <w:szCs w:val="24"/>
          <w:highlight w:val="none"/>
          <w:lang w:eastAsia="zh-CN"/>
        </w:rPr>
        <w:t xml:space="preserve">      传真：</w:t>
      </w:r>
    </w:p>
    <w:p w14:paraId="439A0775">
      <w:pPr>
        <w:spacing w:before="215" w:line="360" w:lineRule="auto"/>
        <w:ind w:left="12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开户银行：                      </w:t>
      </w:r>
      <w:r>
        <w:rPr>
          <w:rFonts w:hint="eastAsia" w:ascii="宋体" w:hAnsi="宋体" w:eastAsia="宋体" w:cs="宋体"/>
          <w:color w:val="auto"/>
          <w:spacing w:val="-1"/>
          <w:sz w:val="24"/>
          <w:szCs w:val="24"/>
          <w:highlight w:val="none"/>
          <w:lang w:eastAsia="zh-CN"/>
        </w:rPr>
        <w:t xml:space="preserve">       开户银行：</w:t>
      </w:r>
    </w:p>
    <w:p w14:paraId="4579DFF1">
      <w:pPr>
        <w:spacing w:before="215" w:line="360" w:lineRule="auto"/>
        <w:ind w:left="123"/>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账号：</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5"/>
          <w:sz w:val="24"/>
          <w:szCs w:val="24"/>
          <w:highlight w:val="none"/>
          <w:lang w:eastAsia="zh-CN"/>
        </w:rPr>
        <w:t>账号：</w:t>
      </w:r>
    </w:p>
    <w:p w14:paraId="7330CBDE">
      <w:pPr>
        <w:spacing w:before="212" w:line="360" w:lineRule="auto"/>
        <w:ind w:left="137"/>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邮政编码：</w:t>
      </w:r>
      <w:r>
        <w:rPr>
          <w:rFonts w:hint="eastAsia"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7"/>
          <w:sz w:val="24"/>
          <w:szCs w:val="24"/>
          <w:highlight w:val="none"/>
          <w:lang w:eastAsia="zh-CN"/>
        </w:rPr>
        <w:t>邮政编码</w:t>
      </w:r>
    </w:p>
    <w:p w14:paraId="5455CF08">
      <w:pPr>
        <w:spacing w:before="215" w:line="360" w:lineRule="auto"/>
        <w:ind w:left="120"/>
        <w:rPr>
          <w:rFonts w:hint="eastAsia" w:ascii="宋体" w:hAnsi="宋体" w:eastAsia="宋体" w:cs="宋体"/>
          <w:color w:val="auto"/>
          <w:spacing w:val="-17"/>
          <w:sz w:val="24"/>
          <w:szCs w:val="24"/>
          <w:highlight w:val="none"/>
          <w:lang w:eastAsia="zh-CN"/>
        </w:rPr>
      </w:pPr>
      <w:r>
        <w:rPr>
          <w:rFonts w:hint="eastAsia" w:ascii="宋体" w:hAnsi="宋体" w:eastAsia="宋体" w:cs="宋体"/>
          <w:color w:val="auto"/>
          <w:spacing w:val="-17"/>
          <w:sz w:val="24"/>
          <w:szCs w:val="24"/>
          <w:highlight w:val="none"/>
          <w:lang w:eastAsia="zh-CN"/>
        </w:rPr>
        <w:t>年</w:t>
      </w:r>
      <w:r>
        <w:rPr>
          <w:rFonts w:hint="eastAsia" w:ascii="宋体" w:hAnsi="宋体" w:eastAsia="宋体" w:cs="宋体"/>
          <w:color w:val="auto"/>
          <w:spacing w:val="3"/>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月</w:t>
      </w:r>
      <w:r>
        <w:rPr>
          <w:rFonts w:hint="eastAsia" w:ascii="宋体" w:hAnsi="宋体" w:eastAsia="宋体" w:cs="宋体"/>
          <w:color w:val="auto"/>
          <w:spacing w:val="13"/>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日</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年</w:t>
      </w:r>
      <w:r>
        <w:rPr>
          <w:rFonts w:hint="eastAsia" w:ascii="宋体" w:hAnsi="宋体" w:eastAsia="宋体" w:cs="宋体"/>
          <w:color w:val="auto"/>
          <w:spacing w:val="6"/>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月</w:t>
      </w:r>
      <w:r>
        <w:rPr>
          <w:rFonts w:hint="eastAsia" w:ascii="宋体" w:hAnsi="宋体" w:eastAsia="宋体" w:cs="宋体"/>
          <w:color w:val="auto"/>
          <w:spacing w:val="13"/>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日</w:t>
      </w:r>
    </w:p>
    <w:p w14:paraId="27E3D331">
      <w:pPr>
        <w:spacing w:before="215" w:line="360" w:lineRule="auto"/>
        <w:ind w:left="120"/>
        <w:rPr>
          <w:rFonts w:hint="eastAsia" w:ascii="宋体" w:hAnsi="宋体" w:eastAsia="宋体" w:cs="宋体"/>
          <w:color w:val="auto"/>
          <w:spacing w:val="-17"/>
          <w:sz w:val="24"/>
          <w:szCs w:val="24"/>
          <w:highlight w:val="none"/>
          <w:lang w:eastAsia="zh-CN"/>
        </w:rPr>
      </w:pPr>
    </w:p>
    <w:p w14:paraId="36DC444F">
      <w:pPr>
        <w:spacing w:before="215" w:line="360" w:lineRule="auto"/>
        <w:rPr>
          <w:rFonts w:hint="eastAsia" w:ascii="宋体" w:hAnsi="宋体" w:eastAsia="宋体" w:cs="宋体"/>
          <w:color w:val="auto"/>
          <w:spacing w:val="-17"/>
          <w:sz w:val="24"/>
          <w:szCs w:val="24"/>
          <w:highlight w:val="none"/>
          <w:lang w:eastAsia="zh-CN"/>
        </w:rPr>
      </w:pPr>
    </w:p>
    <w:p w14:paraId="5B866EA8">
      <w:pPr>
        <w:spacing w:before="215" w:line="360" w:lineRule="auto"/>
        <w:rPr>
          <w:rFonts w:hint="eastAsia" w:ascii="宋体" w:hAnsi="宋体" w:eastAsia="宋体" w:cs="宋体"/>
          <w:color w:val="auto"/>
          <w:spacing w:val="-17"/>
          <w:sz w:val="24"/>
          <w:szCs w:val="24"/>
          <w:highlight w:val="none"/>
          <w:lang w:eastAsia="zh-CN"/>
        </w:rPr>
      </w:pPr>
    </w:p>
    <w:p w14:paraId="5A342E21">
      <w:pPr>
        <w:spacing w:before="215" w:line="360" w:lineRule="auto"/>
        <w:rPr>
          <w:rFonts w:hint="eastAsia" w:ascii="宋体" w:hAnsi="宋体" w:eastAsia="宋体" w:cs="宋体"/>
          <w:color w:val="auto"/>
          <w:spacing w:val="-17"/>
          <w:sz w:val="24"/>
          <w:szCs w:val="24"/>
          <w:highlight w:val="none"/>
          <w:lang w:eastAsia="zh-CN"/>
        </w:rPr>
      </w:pPr>
    </w:p>
    <w:p w14:paraId="74267F5A">
      <w:pPr>
        <w:spacing w:before="215" w:line="360" w:lineRule="auto"/>
        <w:rPr>
          <w:rFonts w:hint="eastAsia" w:ascii="宋体" w:hAnsi="宋体" w:eastAsia="宋体" w:cs="宋体"/>
          <w:color w:val="auto"/>
          <w:spacing w:val="-17"/>
          <w:sz w:val="24"/>
          <w:szCs w:val="24"/>
          <w:highlight w:val="none"/>
          <w:lang w:eastAsia="zh-CN"/>
        </w:rPr>
      </w:pPr>
    </w:p>
    <w:p w14:paraId="77279663">
      <w:pPr>
        <w:spacing w:before="215" w:line="360" w:lineRule="auto"/>
        <w:rPr>
          <w:rFonts w:hint="eastAsia" w:ascii="宋体" w:hAnsi="宋体" w:eastAsia="宋体" w:cs="宋体"/>
          <w:color w:val="auto"/>
          <w:spacing w:val="-17"/>
          <w:sz w:val="24"/>
          <w:szCs w:val="24"/>
          <w:highlight w:val="none"/>
          <w:lang w:eastAsia="zh-CN"/>
        </w:rPr>
      </w:pPr>
    </w:p>
    <w:p w14:paraId="15F4DEEB">
      <w:pPr>
        <w:spacing w:before="215" w:line="360" w:lineRule="auto"/>
        <w:rPr>
          <w:rFonts w:hint="eastAsia" w:ascii="宋体" w:hAnsi="宋体" w:eastAsia="宋体" w:cs="宋体"/>
          <w:color w:val="auto"/>
          <w:spacing w:val="-17"/>
          <w:sz w:val="24"/>
          <w:szCs w:val="24"/>
          <w:highlight w:val="none"/>
          <w:lang w:eastAsia="zh-CN"/>
        </w:rPr>
      </w:pPr>
    </w:p>
    <w:p w14:paraId="6068AA0F">
      <w:pPr>
        <w:spacing w:before="215" w:line="360" w:lineRule="auto"/>
        <w:rPr>
          <w:rFonts w:hint="eastAsia" w:ascii="宋体" w:hAnsi="宋体" w:eastAsia="宋体" w:cs="宋体"/>
          <w:color w:val="auto"/>
          <w:spacing w:val="-17"/>
          <w:sz w:val="24"/>
          <w:szCs w:val="24"/>
          <w:highlight w:val="none"/>
          <w:lang w:eastAsia="zh-CN"/>
        </w:rPr>
      </w:pPr>
    </w:p>
    <w:p w14:paraId="05C47409">
      <w:pPr>
        <w:spacing w:before="215" w:line="360" w:lineRule="auto"/>
        <w:rPr>
          <w:rFonts w:hint="eastAsia" w:ascii="宋体" w:hAnsi="宋体" w:eastAsia="宋体" w:cs="宋体"/>
          <w:color w:val="auto"/>
          <w:spacing w:val="-17"/>
          <w:sz w:val="24"/>
          <w:szCs w:val="24"/>
          <w:highlight w:val="none"/>
          <w:lang w:eastAsia="zh-CN"/>
        </w:rPr>
      </w:pPr>
    </w:p>
    <w:p w14:paraId="0D4E0D62">
      <w:pPr>
        <w:spacing w:before="215" w:line="360" w:lineRule="auto"/>
        <w:rPr>
          <w:rFonts w:hint="eastAsia" w:ascii="宋体" w:hAnsi="宋体" w:eastAsia="宋体" w:cs="宋体"/>
          <w:color w:val="auto"/>
          <w:spacing w:val="-17"/>
          <w:sz w:val="24"/>
          <w:szCs w:val="24"/>
          <w:highlight w:val="none"/>
          <w:lang w:eastAsia="zh-CN"/>
        </w:rPr>
      </w:pPr>
    </w:p>
    <w:p w14:paraId="22990263">
      <w:pPr>
        <w:spacing w:before="215" w:line="360" w:lineRule="auto"/>
        <w:rPr>
          <w:rFonts w:hint="eastAsia" w:ascii="宋体" w:hAnsi="宋体" w:eastAsia="宋体" w:cs="宋体"/>
          <w:color w:val="auto"/>
          <w:spacing w:val="-17"/>
          <w:sz w:val="24"/>
          <w:szCs w:val="24"/>
          <w:highlight w:val="none"/>
          <w:lang w:eastAsia="zh-CN"/>
        </w:rPr>
      </w:pPr>
    </w:p>
    <w:p w14:paraId="7B5A309D">
      <w:pPr>
        <w:spacing w:before="215" w:line="360" w:lineRule="auto"/>
        <w:rPr>
          <w:rFonts w:hint="eastAsia" w:ascii="宋体" w:hAnsi="宋体" w:eastAsia="宋体" w:cs="宋体"/>
          <w:color w:val="auto"/>
          <w:spacing w:val="-17"/>
          <w:sz w:val="24"/>
          <w:szCs w:val="24"/>
          <w:highlight w:val="none"/>
          <w:lang w:eastAsia="zh-CN"/>
        </w:rPr>
      </w:pPr>
    </w:p>
    <w:p w14:paraId="0433C726">
      <w:pPr>
        <w:spacing w:before="215" w:line="360" w:lineRule="auto"/>
        <w:rPr>
          <w:rFonts w:hint="eastAsia" w:ascii="宋体" w:hAnsi="宋体" w:eastAsia="宋体" w:cs="宋体"/>
          <w:color w:val="auto"/>
          <w:spacing w:val="-17"/>
          <w:sz w:val="24"/>
          <w:szCs w:val="24"/>
          <w:highlight w:val="none"/>
          <w:lang w:eastAsia="zh-CN"/>
        </w:rPr>
      </w:pPr>
    </w:p>
    <w:p w14:paraId="29A9F614">
      <w:pPr>
        <w:spacing w:before="101" w:line="360" w:lineRule="auto"/>
        <w:ind w:left="19"/>
        <w:outlineLvl w:val="2"/>
        <w:rPr>
          <w:rFonts w:hint="eastAsia" w:ascii="宋体" w:hAnsi="宋体" w:eastAsia="宋体" w:cs="宋体"/>
          <w:color w:val="auto"/>
          <w:spacing w:val="2"/>
          <w:sz w:val="24"/>
          <w:szCs w:val="24"/>
          <w:highlight w:val="none"/>
          <w:lang w:eastAsia="zh-CN"/>
        </w:rPr>
      </w:pPr>
      <w:bookmarkStart w:id="824" w:name="_Toc12606"/>
      <w:bookmarkStart w:id="825" w:name="_Toc16704"/>
      <w:bookmarkStart w:id="826" w:name="_Toc20237"/>
      <w:bookmarkStart w:id="827" w:name="_Toc28324"/>
      <w:bookmarkStart w:id="828" w:name="_Toc1750"/>
      <w:bookmarkStart w:id="829" w:name="_Toc13430"/>
      <w:bookmarkStart w:id="830" w:name="_Toc603"/>
      <w:bookmarkStart w:id="831" w:name="_Toc3009"/>
      <w:bookmarkStart w:id="832" w:name="_Toc28783"/>
      <w:bookmarkStart w:id="833" w:name="_Toc23871"/>
      <w:bookmarkStart w:id="834" w:name="_Toc4714"/>
      <w:bookmarkStart w:id="835" w:name="_Toc26684"/>
      <w:bookmarkStart w:id="836" w:name="_Toc10852"/>
      <w:bookmarkStart w:id="837" w:name="_Toc30022"/>
      <w:bookmarkStart w:id="838" w:name="_Toc1839"/>
      <w:bookmarkStart w:id="839" w:name="_Toc18230"/>
      <w:bookmarkStart w:id="840" w:name="_Toc3586"/>
      <w:bookmarkStart w:id="841" w:name="_Toc9971"/>
      <w:bookmarkStart w:id="842" w:name="_Toc2261"/>
      <w:bookmarkStart w:id="843" w:name="_Toc21232"/>
      <w:bookmarkStart w:id="844" w:name="_Toc2556"/>
      <w:r>
        <w:rPr>
          <w:rFonts w:hint="eastAsia" w:ascii="宋体" w:hAnsi="宋体" w:eastAsia="宋体" w:cs="宋体"/>
          <w:color w:val="auto"/>
          <w:spacing w:val="2"/>
          <w:sz w:val="24"/>
          <w:szCs w:val="24"/>
          <w:highlight w:val="none"/>
          <w:lang w:eastAsia="zh-CN"/>
        </w:rPr>
        <w:t>附件二：履约担保</w:t>
      </w:r>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p>
    <w:p w14:paraId="4940AD36">
      <w:pPr>
        <w:spacing w:before="67" w:line="360" w:lineRule="auto"/>
        <w:ind w:left="3316"/>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3"/>
          <w:sz w:val="24"/>
          <w:szCs w:val="24"/>
          <w:highlight w:val="none"/>
          <w:lang w:eastAsia="zh-CN"/>
        </w:rPr>
        <w:t>履</w:t>
      </w:r>
      <w:r>
        <w:rPr>
          <w:rFonts w:hint="eastAsia" w:ascii="宋体" w:hAnsi="宋体" w:eastAsia="宋体" w:cs="宋体"/>
          <w:color w:val="auto"/>
          <w:spacing w:val="22"/>
          <w:sz w:val="24"/>
          <w:szCs w:val="24"/>
          <w:highlight w:val="none"/>
          <w:lang w:eastAsia="zh-CN"/>
        </w:rPr>
        <w:t xml:space="preserve"> </w:t>
      </w:r>
      <w:r>
        <w:rPr>
          <w:rFonts w:hint="eastAsia" w:ascii="宋体" w:hAnsi="宋体" w:eastAsia="宋体" w:cs="宋体"/>
          <w:color w:val="auto"/>
          <w:spacing w:val="-13"/>
          <w:sz w:val="24"/>
          <w:szCs w:val="24"/>
          <w:highlight w:val="none"/>
          <w:lang w:eastAsia="zh-CN"/>
        </w:rPr>
        <w:t>约</w:t>
      </w:r>
      <w:r>
        <w:rPr>
          <w:rFonts w:hint="eastAsia" w:ascii="宋体" w:hAnsi="宋体" w:eastAsia="宋体" w:cs="宋体"/>
          <w:color w:val="auto"/>
          <w:spacing w:val="12"/>
          <w:sz w:val="24"/>
          <w:szCs w:val="24"/>
          <w:highlight w:val="none"/>
          <w:lang w:eastAsia="zh-CN"/>
        </w:rPr>
        <w:t xml:space="preserve"> </w:t>
      </w:r>
      <w:r>
        <w:rPr>
          <w:rFonts w:hint="eastAsia" w:ascii="宋体" w:hAnsi="宋体" w:eastAsia="宋体" w:cs="宋体"/>
          <w:color w:val="auto"/>
          <w:spacing w:val="-13"/>
          <w:sz w:val="24"/>
          <w:szCs w:val="24"/>
          <w:highlight w:val="none"/>
          <w:lang w:eastAsia="zh-CN"/>
        </w:rPr>
        <w:t>担</w:t>
      </w:r>
      <w:r>
        <w:rPr>
          <w:rFonts w:hint="eastAsia" w:ascii="宋体" w:hAnsi="宋体" w:eastAsia="宋体" w:cs="宋体"/>
          <w:color w:val="auto"/>
          <w:spacing w:val="14"/>
          <w:sz w:val="24"/>
          <w:szCs w:val="24"/>
          <w:highlight w:val="none"/>
          <w:lang w:eastAsia="zh-CN"/>
        </w:rPr>
        <w:t xml:space="preserve"> </w:t>
      </w:r>
      <w:r>
        <w:rPr>
          <w:rFonts w:hint="eastAsia" w:ascii="宋体" w:hAnsi="宋体" w:eastAsia="宋体" w:cs="宋体"/>
          <w:color w:val="auto"/>
          <w:spacing w:val="-13"/>
          <w:sz w:val="24"/>
          <w:szCs w:val="24"/>
          <w:highlight w:val="none"/>
          <w:lang w:eastAsia="zh-CN"/>
        </w:rPr>
        <w:t>保</w:t>
      </w:r>
    </w:p>
    <w:p w14:paraId="09E0F38F">
      <w:pPr>
        <w:tabs>
          <w:tab w:val="left" w:pos="1440"/>
        </w:tabs>
        <w:spacing w:before="78"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（买方名称）</w:t>
      </w:r>
    </w:p>
    <w:p w14:paraId="4F1847F3">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鉴于             （买方名称，以下简称“买方”）接受        （卖方名称，以下简称“卖方 ”）于   年    月    日递交的          （项目名称）      （标段名称）的投标文件。我方愿意无条件地、不可撤销地就卖方履行与你方订立的合</w:t>
      </w:r>
    </w:p>
    <w:p w14:paraId="07B7E74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同，向你方提供担保。</w:t>
      </w:r>
    </w:p>
    <w:p w14:paraId="69C3EDC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1．担保金额人民币（大写）             元(¥                        )。</w:t>
      </w:r>
    </w:p>
    <w:p w14:paraId="08A32809">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2．担保有效期自买方与卖方签订的合同生效之日起至买方签发合同工程完工证书 之日止。</w:t>
      </w:r>
    </w:p>
    <w:p w14:paraId="11AAFA7A">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3．在本担保有效期内，因卖方违反合同约定的义务给你方造成经济损失时，我方在收到你方以书面形式提出的在担保金额内的赔偿要求后，无条件地在7天内予以支付。</w:t>
      </w:r>
    </w:p>
    <w:p w14:paraId="5725A35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4．买方和卖方按《通用合同条款》第1.4条变更合同时，我方承担本担保规定的义务不变。</w:t>
      </w:r>
    </w:p>
    <w:p w14:paraId="3A2A9E6D">
      <w:pPr>
        <w:spacing w:before="213" w:line="360" w:lineRule="auto"/>
        <w:ind w:left="361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担保人</w:t>
      </w:r>
      <w:r>
        <w:rPr>
          <w:rFonts w:hint="eastAsia" w:ascii="宋体" w:hAnsi="宋体" w:eastAsia="宋体" w:cs="宋体"/>
          <w:color w:val="auto"/>
          <w:spacing w:val="-18"/>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pacing w:val="-18"/>
          <w:sz w:val="24"/>
          <w:szCs w:val="24"/>
          <w:highlight w:val="none"/>
          <w:lang w:eastAsia="zh-CN"/>
        </w:rPr>
        <w:t>（</w:t>
      </w:r>
      <w:r>
        <w:rPr>
          <w:rFonts w:hint="eastAsia" w:ascii="宋体" w:hAnsi="宋体" w:eastAsia="宋体" w:cs="宋体"/>
          <w:color w:val="auto"/>
          <w:spacing w:val="3"/>
          <w:sz w:val="24"/>
          <w:szCs w:val="24"/>
          <w:highlight w:val="none"/>
          <w:lang w:eastAsia="zh-CN"/>
        </w:rPr>
        <w:t>盖单位章）</w:t>
      </w:r>
    </w:p>
    <w:p w14:paraId="64CC7DC9">
      <w:pPr>
        <w:spacing w:before="218" w:line="360" w:lineRule="auto"/>
        <w:ind w:left="361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法定代表人或其委托代理人</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pacing w:val="-14"/>
          <w:sz w:val="24"/>
          <w:szCs w:val="24"/>
          <w:highlight w:val="none"/>
          <w:lang w:eastAsia="zh-CN"/>
        </w:rPr>
        <w:t>（</w:t>
      </w:r>
      <w:r>
        <w:rPr>
          <w:rFonts w:hint="eastAsia" w:ascii="宋体" w:hAnsi="宋体" w:eastAsia="宋体" w:cs="宋体"/>
          <w:color w:val="auto"/>
          <w:spacing w:val="1"/>
          <w:sz w:val="24"/>
          <w:szCs w:val="24"/>
          <w:highlight w:val="none"/>
          <w:lang w:eastAsia="zh-CN"/>
        </w:rPr>
        <w:t>签字）</w:t>
      </w:r>
    </w:p>
    <w:p w14:paraId="2ABC3CFB">
      <w:pPr>
        <w:spacing w:before="214" w:line="360" w:lineRule="auto"/>
        <w:ind w:left="360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7"/>
          <w:sz w:val="24"/>
          <w:szCs w:val="24"/>
          <w:highlight w:val="none"/>
          <w:lang w:eastAsia="zh-CN"/>
        </w:rPr>
        <w:t>地</w:t>
      </w:r>
      <w:r>
        <w:rPr>
          <w:rFonts w:hint="eastAsia" w:ascii="宋体" w:hAnsi="宋体" w:eastAsia="宋体" w:cs="宋体"/>
          <w:color w:val="auto"/>
          <w:spacing w:val="10"/>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址</w:t>
      </w:r>
      <w:r>
        <w:rPr>
          <w:rFonts w:hint="eastAsia" w:ascii="宋体" w:hAnsi="宋体" w:eastAsia="宋体" w:cs="宋体"/>
          <w:color w:val="auto"/>
          <w:spacing w:val="-90"/>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w:t>
      </w:r>
      <w:r>
        <w:rPr>
          <w:rFonts w:hint="eastAsia" w:ascii="宋体" w:hAnsi="宋体" w:eastAsia="宋体" w:cs="宋体"/>
          <w:color w:val="auto"/>
          <w:sz w:val="24"/>
          <w:szCs w:val="24"/>
          <w:highlight w:val="none"/>
          <w:u w:val="single"/>
          <w:lang w:eastAsia="zh-CN"/>
        </w:rPr>
        <w:t xml:space="preserve">                   </w:t>
      </w:r>
    </w:p>
    <w:p w14:paraId="27916293">
      <w:pPr>
        <w:spacing w:before="202" w:line="360" w:lineRule="auto"/>
        <w:ind w:left="3627"/>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 xml:space="preserve">邮政编码： </w:t>
      </w:r>
      <w:r>
        <w:rPr>
          <w:rFonts w:hint="eastAsia" w:ascii="宋体" w:hAnsi="宋体" w:eastAsia="宋体" w:cs="宋体"/>
          <w:color w:val="auto"/>
          <w:sz w:val="24"/>
          <w:szCs w:val="24"/>
          <w:highlight w:val="none"/>
          <w:u w:val="single"/>
          <w:lang w:eastAsia="zh-CN"/>
        </w:rPr>
        <w:t xml:space="preserve">                 </w:t>
      </w:r>
    </w:p>
    <w:p w14:paraId="122FFCCA">
      <w:pPr>
        <w:spacing w:before="217" w:line="360" w:lineRule="auto"/>
        <w:ind w:left="363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0288" behindDoc="0" locked="0" layoutInCell="1" allowOverlap="1">
                <wp:simplePos x="0" y="0"/>
                <wp:positionH relativeFrom="column">
                  <wp:posOffset>2823210</wp:posOffset>
                </wp:positionH>
                <wp:positionV relativeFrom="paragraph">
                  <wp:posOffset>287020</wp:posOffset>
                </wp:positionV>
                <wp:extent cx="838200" cy="0"/>
                <wp:effectExtent l="0" t="4445" r="0" b="5080"/>
                <wp:wrapNone/>
                <wp:docPr id="2" name="任意多边形 7"/>
                <wp:cNvGraphicFramePr/>
                <a:graphic xmlns:a="http://schemas.openxmlformats.org/drawingml/2006/main">
                  <a:graphicData uri="http://schemas.microsoft.com/office/word/2010/wordprocessingShape">
                    <wps:wsp>
                      <wps:cNvSpPr/>
                      <wps:spPr>
                        <a:xfrm>
                          <a:off x="0" y="0"/>
                          <a:ext cx="838200" cy="0"/>
                        </a:xfrm>
                        <a:custGeom>
                          <a:avLst/>
                          <a:gdLst/>
                          <a:ahLst/>
                          <a:cxnLst>
                            <a:cxn ang="0">
                              <a:pos x="0" y="168010"/>
                            </a:cxn>
                            <a:cxn ang="0">
                              <a:pos x="2147483646" y="168010"/>
                            </a:cxn>
                          </a:cxnLst>
                          <a:pathLst>
                            <a:path w="1320" h="12">
                              <a:moveTo>
                                <a:pt x="0" y="0"/>
                              </a:moveTo>
                              <a:lnTo>
                                <a:pt x="1320" y="0"/>
                              </a:lnTo>
                            </a:path>
                          </a:pathLst>
                        </a:custGeom>
                        <a:noFill/>
                        <a:ln w="7620" cap="flat" cmpd="sng">
                          <a:solidFill>
                            <a:srgbClr val="000000"/>
                          </a:solidFill>
                          <a:prstDash val="solid"/>
                          <a:bevel/>
                          <a:headEnd type="none" w="med" len="med"/>
                          <a:tailEnd type="none" w="med" len="med"/>
                        </a:ln>
                      </wps:spPr>
                      <wps:bodyPr wrap="square" upright="1"/>
                    </wps:wsp>
                  </a:graphicData>
                </a:graphic>
              </wp:anchor>
            </w:drawing>
          </mc:Choice>
          <mc:Fallback>
            <w:pict>
              <v:shape id="任意多边形 7" o:spid="_x0000_s1026" o:spt="100" style="position:absolute;left:0pt;margin-left:222.3pt;margin-top:22.6pt;height:0pt;width:66pt;z-index:251660288;mso-width-relative:page;mso-height-relative:page;" filled="f" stroked="t" coordsize="1320,12" o:gfxdata="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F3mPq3VAAAACQEAAA8AAAAAAAAAAQAgAAAAIgAAAGRycy9kb3ducmV2LnhtbFBLAQIUABQA&#10;AAAIAIdO4kBwDbX/ZQIAABMFAAAOAAAAAAAAAAEAIAAAACQBAABkcnMvZTJvRG9jLnhtbFBLBQYA&#10;AAAABgAGAFkBAAD7BQAAAAA=&#10;" path="m0,0l1320,0e">
                <v:path o:connectlocs="0,168010;2147483646,168010" o:connectangles="0,0"/>
                <v:fill on="f" focussize="0,0"/>
                <v:stroke weight="0.6pt" color="#000000" joinstyle="bevel"/>
                <v:imagedata o:title=""/>
                <o:lock v:ext="edit" aspectratio="f"/>
              </v:shape>
            </w:pict>
          </mc:Fallback>
        </mc:AlternateContent>
      </w:r>
      <w:r>
        <w:rPr>
          <w:rFonts w:hint="eastAsia" w:ascii="宋体" w:hAnsi="宋体" w:eastAsia="宋体" w:cs="宋体"/>
          <w:color w:val="auto"/>
          <w:spacing w:val="-16"/>
          <w:sz w:val="24"/>
          <w:szCs w:val="24"/>
          <w:highlight w:val="none"/>
          <w:lang w:eastAsia="zh-CN"/>
        </w:rPr>
        <w:t>电</w:t>
      </w:r>
      <w:r>
        <w:rPr>
          <w:rFonts w:hint="eastAsia" w:ascii="宋体" w:hAnsi="宋体" w:eastAsia="宋体" w:cs="宋体"/>
          <w:color w:val="auto"/>
          <w:spacing w:val="9"/>
          <w:sz w:val="24"/>
          <w:szCs w:val="24"/>
          <w:highlight w:val="none"/>
          <w:lang w:eastAsia="zh-CN"/>
        </w:rPr>
        <w:t xml:space="preserve"> </w:t>
      </w:r>
      <w:r>
        <w:rPr>
          <w:rFonts w:hint="eastAsia" w:ascii="宋体" w:hAnsi="宋体" w:eastAsia="宋体" w:cs="宋体"/>
          <w:color w:val="auto"/>
          <w:spacing w:val="-16"/>
          <w:sz w:val="24"/>
          <w:szCs w:val="24"/>
          <w:highlight w:val="none"/>
          <w:lang w:eastAsia="zh-CN"/>
        </w:rPr>
        <w:t>话：</w:t>
      </w:r>
    </w:p>
    <w:p w14:paraId="02DB787D">
      <w:pPr>
        <w:spacing w:before="211" w:line="360" w:lineRule="auto"/>
        <w:ind w:left="3607"/>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2823210</wp:posOffset>
                </wp:positionH>
                <wp:positionV relativeFrom="paragraph">
                  <wp:posOffset>286385</wp:posOffset>
                </wp:positionV>
                <wp:extent cx="762000" cy="0"/>
                <wp:effectExtent l="0" t="4445" r="0" b="5080"/>
                <wp:wrapNone/>
                <wp:docPr id="3" name="任意多边形 8"/>
                <wp:cNvGraphicFramePr/>
                <a:graphic xmlns:a="http://schemas.openxmlformats.org/drawingml/2006/main">
                  <a:graphicData uri="http://schemas.microsoft.com/office/word/2010/wordprocessingShape">
                    <wps:wsp>
                      <wps:cNvSpPr/>
                      <wps:spPr>
                        <a:xfrm>
                          <a:off x="0" y="0"/>
                          <a:ext cx="762000" cy="0"/>
                        </a:xfrm>
                        <a:custGeom>
                          <a:avLst/>
                          <a:gdLst/>
                          <a:ahLst/>
                          <a:cxnLst>
                            <a:cxn ang="0">
                              <a:pos x="0" y="168010"/>
                            </a:cxn>
                            <a:cxn ang="0">
                              <a:pos x="2147483646" y="168010"/>
                            </a:cxn>
                          </a:cxnLst>
                          <a:pathLst>
                            <a:path w="1200" h="12">
                              <a:moveTo>
                                <a:pt x="0" y="0"/>
                              </a:moveTo>
                              <a:lnTo>
                                <a:pt x="1200" y="0"/>
                              </a:lnTo>
                            </a:path>
                          </a:pathLst>
                        </a:custGeom>
                        <a:noFill/>
                        <a:ln w="7620" cap="flat" cmpd="sng">
                          <a:solidFill>
                            <a:srgbClr val="000000"/>
                          </a:solidFill>
                          <a:prstDash val="solid"/>
                          <a:bevel/>
                          <a:headEnd type="none" w="med" len="med"/>
                          <a:tailEnd type="none" w="med" len="med"/>
                        </a:ln>
                      </wps:spPr>
                      <wps:bodyPr wrap="square" upright="1"/>
                    </wps:wsp>
                  </a:graphicData>
                </a:graphic>
              </wp:anchor>
            </w:drawing>
          </mc:Choice>
          <mc:Fallback>
            <w:pict>
              <v:shape id="任意多边形 8" o:spid="_x0000_s1026" o:spt="100" style="position:absolute;left:0pt;margin-left:222.3pt;margin-top:22.55pt;height:0pt;width:60pt;z-index:251661312;mso-width-relative:page;mso-height-relative:page;" filled="f" stroked="t" coordsize="1200,12" o:gfxdata="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mZpoLdcAAAAJAQAADwAAAAAAAAABACAAAAAiAAAAZHJzL2Rvd25yZXYueG1sUEsBAhQAFAAA&#10;AAgAh07iQJY9OPFiAgAAEwUAAA4AAAAAAAAAAQAgAAAAJgEAAGRycy9lMm9Eb2MueG1sUEsFBgAA&#10;AAAGAAYAWQEAAPoFAAAAAA==&#10;" path="m0,0l1200,0e">
                <v:path o:connectlocs="0,168010;2147483646,168010" o:connectangles="0,0"/>
                <v:fill on="f" focussize="0,0"/>
                <v:stroke weight="0.6pt" color="#000000" joinstyle="bevel"/>
                <v:imagedata o:title=""/>
                <o:lock v:ext="edit" aspectratio="f"/>
              </v:shape>
            </w:pict>
          </mc:Fallback>
        </mc:AlternateContent>
      </w:r>
      <w:r>
        <w:rPr>
          <w:rFonts w:hint="eastAsia" w:ascii="宋体" w:hAnsi="宋体" w:eastAsia="宋体" w:cs="宋体"/>
          <w:color w:val="auto"/>
          <w:spacing w:val="-7"/>
          <w:sz w:val="24"/>
          <w:szCs w:val="24"/>
          <w:highlight w:val="none"/>
          <w:lang w:eastAsia="zh-CN"/>
        </w:rPr>
        <w:t>传</w:t>
      </w:r>
      <w:r>
        <w:rPr>
          <w:rFonts w:hint="eastAsia" w:ascii="宋体" w:hAnsi="宋体" w:eastAsia="宋体" w:cs="宋体"/>
          <w:color w:val="auto"/>
          <w:spacing w:val="12"/>
          <w:sz w:val="24"/>
          <w:szCs w:val="24"/>
          <w:highlight w:val="none"/>
          <w:lang w:eastAsia="zh-CN"/>
        </w:rPr>
        <w:t xml:space="preserve"> </w:t>
      </w:r>
      <w:r>
        <w:rPr>
          <w:rFonts w:hint="eastAsia" w:ascii="宋体" w:hAnsi="宋体" w:eastAsia="宋体" w:cs="宋体"/>
          <w:color w:val="auto"/>
          <w:spacing w:val="-7"/>
          <w:sz w:val="24"/>
          <w:szCs w:val="24"/>
          <w:highlight w:val="none"/>
          <w:lang w:eastAsia="zh-CN"/>
        </w:rPr>
        <w:t>真：</w:t>
      </w:r>
    </w:p>
    <w:p w14:paraId="4DB7F90B">
      <w:pPr>
        <w:tabs>
          <w:tab w:val="left" w:pos="4318"/>
        </w:tabs>
        <w:spacing w:before="216" w:line="360" w:lineRule="auto"/>
        <w:ind w:left="383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pacing w:val="-108"/>
          <w:sz w:val="24"/>
          <w:szCs w:val="24"/>
          <w:highlight w:val="none"/>
          <w:lang w:eastAsia="zh-CN"/>
        </w:rPr>
        <w:t xml:space="preserve"> </w:t>
      </w:r>
      <w:r>
        <w:rPr>
          <w:rFonts w:hint="eastAsia" w:ascii="宋体" w:hAnsi="宋体" w:eastAsia="宋体" w:cs="宋体"/>
          <w:color w:val="auto"/>
          <w:spacing w:val="-7"/>
          <w:sz w:val="24"/>
          <w:szCs w:val="24"/>
          <w:highlight w:val="none"/>
          <w:lang w:eastAsia="zh-CN"/>
        </w:rPr>
        <w:t xml:space="preserve">年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pacing w:val="-105"/>
          <w:sz w:val="24"/>
          <w:szCs w:val="24"/>
          <w:highlight w:val="none"/>
          <w:lang w:eastAsia="zh-CN"/>
        </w:rPr>
        <w:t xml:space="preserve"> </w:t>
      </w:r>
      <w:r>
        <w:rPr>
          <w:rFonts w:hint="eastAsia" w:ascii="宋体" w:hAnsi="宋体" w:eastAsia="宋体" w:cs="宋体"/>
          <w:color w:val="auto"/>
          <w:spacing w:val="-7"/>
          <w:sz w:val="24"/>
          <w:szCs w:val="24"/>
          <w:highlight w:val="none"/>
          <w:lang w:eastAsia="zh-CN"/>
        </w:rPr>
        <w:t>月</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pacing w:val="51"/>
          <w:sz w:val="24"/>
          <w:szCs w:val="24"/>
          <w:highlight w:val="none"/>
          <w:lang w:eastAsia="zh-CN"/>
        </w:rPr>
        <w:t xml:space="preserve"> </w:t>
      </w:r>
      <w:r>
        <w:rPr>
          <w:rFonts w:hint="eastAsia" w:ascii="宋体" w:hAnsi="宋体" w:eastAsia="宋体" w:cs="宋体"/>
          <w:color w:val="auto"/>
          <w:spacing w:val="-7"/>
          <w:sz w:val="24"/>
          <w:szCs w:val="24"/>
          <w:highlight w:val="none"/>
          <w:lang w:eastAsia="zh-CN"/>
        </w:rPr>
        <w:t>日</w:t>
      </w:r>
    </w:p>
    <w:p w14:paraId="3827A0B7">
      <w:pPr>
        <w:spacing w:before="216" w:line="360" w:lineRule="auto"/>
        <w:ind w:left="3129"/>
        <w:rPr>
          <w:rFonts w:hint="eastAsia"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注：委托代理人应附授权委托书。</w:t>
      </w:r>
    </w:p>
    <w:p w14:paraId="3AB517BA">
      <w:pPr>
        <w:pStyle w:val="6"/>
        <w:spacing w:line="360" w:lineRule="auto"/>
        <w:rPr>
          <w:rFonts w:hint="eastAsia" w:ascii="宋体" w:hAnsi="宋体" w:eastAsia="宋体" w:cs="宋体"/>
          <w:color w:val="auto"/>
          <w:sz w:val="24"/>
          <w:szCs w:val="24"/>
          <w:highlight w:val="none"/>
          <w:lang w:eastAsia="zh-CN"/>
        </w:rPr>
      </w:pPr>
    </w:p>
    <w:p w14:paraId="2EC9446A">
      <w:pPr>
        <w:spacing w:before="98" w:line="360" w:lineRule="auto"/>
        <w:ind w:left="3786"/>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5"/>
          <w:sz w:val="24"/>
          <w:szCs w:val="24"/>
          <w:highlight w:val="none"/>
          <w:lang w:eastAsia="zh-CN"/>
        </w:rPr>
        <w:t>履约保函承诺书</w:t>
      </w:r>
    </w:p>
    <w:p w14:paraId="5C58127B">
      <w:pPr>
        <w:pStyle w:val="6"/>
        <w:spacing w:line="360" w:lineRule="auto"/>
        <w:rPr>
          <w:rFonts w:hint="eastAsia" w:ascii="宋体" w:hAnsi="宋体" w:eastAsia="宋体" w:cs="宋体"/>
          <w:color w:val="auto"/>
          <w:sz w:val="24"/>
          <w:szCs w:val="24"/>
          <w:highlight w:val="none"/>
          <w:lang w:eastAsia="zh-CN"/>
        </w:rPr>
      </w:pPr>
    </w:p>
    <w:p w14:paraId="3012C6AD">
      <w:pPr>
        <w:pStyle w:val="6"/>
        <w:spacing w:line="360" w:lineRule="auto"/>
        <w:rPr>
          <w:rFonts w:hint="eastAsia" w:ascii="宋体" w:hAnsi="宋体" w:eastAsia="宋体" w:cs="宋体"/>
          <w:color w:val="auto"/>
          <w:sz w:val="24"/>
          <w:szCs w:val="24"/>
          <w:highlight w:val="none"/>
          <w:lang w:eastAsia="zh-CN"/>
        </w:rPr>
      </w:pPr>
    </w:p>
    <w:p w14:paraId="36C8756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我方承诺，如果截止至      年      月     日，                   工程合同设备未能单位工程质量验收结束，我方将在履约保函到期前一个月办理并提交履约保函续保文件，有效期至设备单位工程质量验收证书签署之日后二十八（28）日止。</w:t>
      </w:r>
    </w:p>
    <w:p w14:paraId="1BF6B82B">
      <w:pPr>
        <w:spacing w:line="360" w:lineRule="auto"/>
        <w:ind w:firstLine="500" w:firstLineChars="200"/>
        <w:jc w:val="both"/>
        <w:rPr>
          <w:rFonts w:hint="eastAsia" w:ascii="宋体" w:hAnsi="宋体" w:eastAsia="宋体" w:cs="宋体"/>
          <w:color w:val="auto"/>
          <w:spacing w:val="5"/>
          <w:sz w:val="24"/>
          <w:szCs w:val="24"/>
          <w:highlight w:val="none"/>
          <w:lang w:eastAsia="zh-CN"/>
        </w:rPr>
      </w:pPr>
    </w:p>
    <w:p w14:paraId="03354061">
      <w:pPr>
        <w:pStyle w:val="6"/>
        <w:spacing w:line="360" w:lineRule="auto"/>
        <w:rPr>
          <w:rFonts w:hint="eastAsia" w:ascii="宋体" w:hAnsi="宋体" w:eastAsia="宋体" w:cs="宋体"/>
          <w:color w:val="auto"/>
          <w:sz w:val="24"/>
          <w:szCs w:val="24"/>
          <w:highlight w:val="none"/>
          <w:lang w:eastAsia="zh-CN"/>
        </w:rPr>
      </w:pPr>
    </w:p>
    <w:p w14:paraId="78E02850">
      <w:pPr>
        <w:pStyle w:val="6"/>
        <w:spacing w:line="360" w:lineRule="auto"/>
        <w:rPr>
          <w:rFonts w:hint="eastAsia" w:ascii="宋体" w:hAnsi="宋体" w:eastAsia="宋体" w:cs="宋体"/>
          <w:color w:val="auto"/>
          <w:sz w:val="24"/>
          <w:szCs w:val="24"/>
          <w:highlight w:val="none"/>
          <w:lang w:eastAsia="zh-CN"/>
        </w:rPr>
      </w:pPr>
    </w:p>
    <w:p w14:paraId="55AC1468">
      <w:pPr>
        <w:spacing w:before="78" w:line="360" w:lineRule="auto"/>
        <w:ind w:left="3873"/>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卖方全称（盖章</w:t>
      </w:r>
      <w:r>
        <w:rPr>
          <w:rFonts w:hint="eastAsia" w:ascii="宋体" w:hAnsi="宋体" w:eastAsia="宋体" w:cs="宋体"/>
          <w:color w:val="auto"/>
          <w:spacing w:val="1"/>
          <w:sz w:val="24"/>
          <w:szCs w:val="24"/>
          <w:highlight w:val="none"/>
          <w:lang w:eastAsia="zh-CN"/>
        </w:rPr>
        <w:t>）：</w:t>
      </w:r>
    </w:p>
    <w:p w14:paraId="4695DB10">
      <w:pPr>
        <w:spacing w:before="158" w:line="360" w:lineRule="auto"/>
        <w:ind w:left="3213"/>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卖方法定代表人或其授权代理人（签字</w:t>
      </w:r>
      <w:r>
        <w:rPr>
          <w:rFonts w:hint="eastAsia" w:ascii="宋体" w:hAnsi="宋体" w:eastAsia="宋体" w:cs="宋体"/>
          <w:color w:val="auto"/>
          <w:spacing w:val="3"/>
          <w:sz w:val="24"/>
          <w:szCs w:val="24"/>
          <w:highlight w:val="none"/>
          <w:lang w:eastAsia="zh-CN"/>
        </w:rPr>
        <w:t>）：</w:t>
      </w:r>
    </w:p>
    <w:p w14:paraId="4F149689">
      <w:pPr>
        <w:spacing w:before="154" w:line="360" w:lineRule="auto"/>
        <w:ind w:left="4334"/>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1"/>
          <w:sz w:val="24"/>
          <w:szCs w:val="24"/>
          <w:highlight w:val="none"/>
          <w:lang w:eastAsia="zh-CN"/>
        </w:rPr>
        <w:t>日</w:t>
      </w:r>
      <w:r>
        <w:rPr>
          <w:rFonts w:hint="eastAsia" w:ascii="宋体" w:hAnsi="宋体" w:eastAsia="宋体" w:cs="宋体"/>
          <w:color w:val="auto"/>
          <w:spacing w:val="6"/>
          <w:sz w:val="24"/>
          <w:szCs w:val="24"/>
          <w:highlight w:val="none"/>
          <w:lang w:eastAsia="zh-CN"/>
        </w:rPr>
        <w:t xml:space="preserve">  </w:t>
      </w:r>
      <w:r>
        <w:rPr>
          <w:rFonts w:hint="eastAsia" w:ascii="宋体" w:hAnsi="宋体" w:eastAsia="宋体" w:cs="宋体"/>
          <w:color w:val="auto"/>
          <w:spacing w:val="-21"/>
          <w:sz w:val="24"/>
          <w:szCs w:val="24"/>
          <w:highlight w:val="none"/>
          <w:lang w:eastAsia="zh-CN"/>
        </w:rPr>
        <w:t>期：</w:t>
      </w:r>
    </w:p>
    <w:p w14:paraId="57E16CFF">
      <w:pPr>
        <w:spacing w:line="360" w:lineRule="auto"/>
        <w:rPr>
          <w:rFonts w:hint="eastAsia" w:ascii="宋体" w:hAnsi="宋体" w:eastAsia="宋体" w:cs="宋体"/>
          <w:color w:val="auto"/>
          <w:sz w:val="24"/>
          <w:szCs w:val="24"/>
          <w:highlight w:val="none"/>
          <w:lang w:eastAsia="zh-CN"/>
        </w:rPr>
      </w:pPr>
    </w:p>
    <w:p w14:paraId="46B9000E">
      <w:pPr>
        <w:spacing w:line="360" w:lineRule="auto"/>
        <w:rPr>
          <w:rFonts w:hint="eastAsia" w:ascii="宋体" w:hAnsi="宋体" w:eastAsia="宋体" w:cs="宋体"/>
          <w:color w:val="auto"/>
          <w:sz w:val="24"/>
          <w:szCs w:val="24"/>
          <w:highlight w:val="none"/>
          <w:lang w:eastAsia="zh-CN"/>
        </w:rPr>
      </w:pPr>
    </w:p>
    <w:p w14:paraId="6136438D">
      <w:pPr>
        <w:spacing w:line="360" w:lineRule="auto"/>
        <w:rPr>
          <w:rFonts w:hint="eastAsia" w:ascii="宋体" w:hAnsi="宋体" w:eastAsia="宋体" w:cs="宋体"/>
          <w:color w:val="auto"/>
          <w:sz w:val="24"/>
          <w:szCs w:val="24"/>
          <w:highlight w:val="none"/>
          <w:lang w:eastAsia="zh-CN"/>
        </w:rPr>
      </w:pPr>
    </w:p>
    <w:p w14:paraId="51878354">
      <w:pPr>
        <w:spacing w:line="360" w:lineRule="auto"/>
        <w:rPr>
          <w:rFonts w:hint="eastAsia" w:ascii="宋体" w:hAnsi="宋体" w:eastAsia="宋体" w:cs="宋体"/>
          <w:color w:val="auto"/>
          <w:sz w:val="24"/>
          <w:szCs w:val="24"/>
          <w:highlight w:val="none"/>
          <w:lang w:eastAsia="zh-CN"/>
        </w:rPr>
      </w:pPr>
    </w:p>
    <w:p w14:paraId="56BF7440">
      <w:pPr>
        <w:spacing w:line="360" w:lineRule="auto"/>
        <w:rPr>
          <w:rFonts w:hint="eastAsia" w:ascii="宋体" w:hAnsi="宋体" w:eastAsia="宋体" w:cs="宋体"/>
          <w:color w:val="auto"/>
          <w:sz w:val="24"/>
          <w:szCs w:val="24"/>
          <w:highlight w:val="none"/>
          <w:lang w:eastAsia="zh-CN"/>
        </w:rPr>
      </w:pPr>
    </w:p>
    <w:p w14:paraId="09AD9EF2">
      <w:pPr>
        <w:spacing w:line="360" w:lineRule="auto"/>
        <w:rPr>
          <w:rFonts w:hint="eastAsia" w:ascii="宋体" w:hAnsi="宋体" w:eastAsia="宋体" w:cs="宋体"/>
          <w:color w:val="auto"/>
          <w:sz w:val="24"/>
          <w:szCs w:val="24"/>
          <w:highlight w:val="none"/>
          <w:lang w:eastAsia="zh-CN"/>
        </w:rPr>
      </w:pPr>
    </w:p>
    <w:p w14:paraId="75F562A2">
      <w:pPr>
        <w:spacing w:line="360" w:lineRule="auto"/>
        <w:rPr>
          <w:rFonts w:hint="eastAsia" w:ascii="宋体" w:hAnsi="宋体" w:eastAsia="宋体" w:cs="宋体"/>
          <w:color w:val="auto"/>
          <w:sz w:val="24"/>
          <w:szCs w:val="24"/>
          <w:highlight w:val="none"/>
          <w:lang w:eastAsia="zh-CN"/>
        </w:rPr>
      </w:pPr>
    </w:p>
    <w:p w14:paraId="60B82B5B">
      <w:pPr>
        <w:spacing w:line="360" w:lineRule="auto"/>
        <w:rPr>
          <w:rFonts w:hint="eastAsia" w:ascii="宋体" w:hAnsi="宋体" w:eastAsia="宋体" w:cs="宋体"/>
          <w:color w:val="auto"/>
          <w:sz w:val="24"/>
          <w:szCs w:val="24"/>
          <w:highlight w:val="none"/>
          <w:lang w:eastAsia="zh-CN"/>
        </w:rPr>
      </w:pPr>
    </w:p>
    <w:p w14:paraId="742FA3D7">
      <w:pPr>
        <w:spacing w:line="360" w:lineRule="auto"/>
        <w:rPr>
          <w:rFonts w:hint="eastAsia" w:ascii="宋体" w:hAnsi="宋体" w:eastAsia="宋体" w:cs="宋体"/>
          <w:color w:val="auto"/>
          <w:sz w:val="24"/>
          <w:szCs w:val="24"/>
          <w:highlight w:val="none"/>
          <w:lang w:eastAsia="zh-CN"/>
        </w:rPr>
      </w:pPr>
    </w:p>
    <w:p w14:paraId="1747EC26">
      <w:pPr>
        <w:spacing w:line="360" w:lineRule="auto"/>
        <w:rPr>
          <w:rFonts w:hint="eastAsia" w:ascii="宋体" w:hAnsi="宋体" w:eastAsia="宋体" w:cs="宋体"/>
          <w:color w:val="auto"/>
          <w:sz w:val="24"/>
          <w:szCs w:val="24"/>
          <w:highlight w:val="none"/>
          <w:lang w:eastAsia="zh-CN"/>
        </w:rPr>
      </w:pPr>
    </w:p>
    <w:p w14:paraId="0220EC74">
      <w:pPr>
        <w:spacing w:line="360" w:lineRule="auto"/>
        <w:rPr>
          <w:rFonts w:hint="eastAsia" w:ascii="宋体" w:hAnsi="宋体" w:eastAsia="宋体" w:cs="宋体"/>
          <w:color w:val="auto"/>
          <w:sz w:val="24"/>
          <w:szCs w:val="24"/>
          <w:highlight w:val="none"/>
          <w:lang w:eastAsia="zh-CN"/>
        </w:rPr>
      </w:pPr>
    </w:p>
    <w:p w14:paraId="2F57B811">
      <w:pPr>
        <w:spacing w:line="360" w:lineRule="auto"/>
        <w:rPr>
          <w:rFonts w:hint="eastAsia" w:ascii="宋体" w:hAnsi="宋体" w:eastAsia="宋体" w:cs="宋体"/>
          <w:color w:val="auto"/>
          <w:sz w:val="24"/>
          <w:szCs w:val="24"/>
          <w:highlight w:val="none"/>
          <w:lang w:eastAsia="zh-CN"/>
        </w:rPr>
      </w:pPr>
    </w:p>
    <w:p w14:paraId="702D36CA">
      <w:pPr>
        <w:spacing w:line="360" w:lineRule="auto"/>
        <w:rPr>
          <w:rFonts w:hint="eastAsia" w:ascii="宋体" w:hAnsi="宋体" w:eastAsia="宋体" w:cs="宋体"/>
          <w:color w:val="auto"/>
          <w:sz w:val="24"/>
          <w:szCs w:val="24"/>
          <w:highlight w:val="none"/>
          <w:lang w:eastAsia="zh-CN"/>
        </w:rPr>
      </w:pPr>
    </w:p>
    <w:p w14:paraId="4F906885">
      <w:pPr>
        <w:spacing w:line="360" w:lineRule="auto"/>
        <w:rPr>
          <w:rFonts w:hint="eastAsia" w:ascii="宋体" w:hAnsi="宋体" w:eastAsia="宋体" w:cs="宋体"/>
          <w:color w:val="auto"/>
          <w:sz w:val="24"/>
          <w:szCs w:val="24"/>
          <w:highlight w:val="none"/>
          <w:lang w:eastAsia="zh-CN"/>
        </w:rPr>
      </w:pPr>
    </w:p>
    <w:p w14:paraId="2F3793CF">
      <w:pPr>
        <w:spacing w:line="360" w:lineRule="auto"/>
        <w:rPr>
          <w:rFonts w:hint="eastAsia" w:ascii="宋体" w:hAnsi="宋体" w:eastAsia="宋体" w:cs="宋体"/>
          <w:color w:val="auto"/>
          <w:sz w:val="24"/>
          <w:szCs w:val="24"/>
          <w:highlight w:val="none"/>
          <w:lang w:eastAsia="zh-CN"/>
        </w:rPr>
      </w:pPr>
    </w:p>
    <w:p w14:paraId="1480F9E4">
      <w:pPr>
        <w:spacing w:before="48" w:beforeLines="20" w:after="48" w:afterLines="20" w:line="360" w:lineRule="auto"/>
        <w:ind w:firstLine="458" w:firstLineChars="200"/>
        <w:jc w:val="both"/>
        <w:outlineLvl w:val="2"/>
        <w:rPr>
          <w:rFonts w:hint="eastAsia" w:ascii="宋体" w:hAnsi="宋体" w:eastAsia="宋体" w:cs="宋体"/>
          <w:b/>
          <w:bCs/>
          <w:color w:val="auto"/>
          <w:spacing w:val="-6"/>
          <w:sz w:val="24"/>
          <w:szCs w:val="24"/>
          <w:highlight w:val="none"/>
          <w:lang w:eastAsia="zh-CN"/>
        </w:rPr>
      </w:pPr>
      <w:bookmarkStart w:id="845" w:name="_Toc10645"/>
      <w:bookmarkStart w:id="846" w:name="_Toc2310"/>
      <w:bookmarkStart w:id="847" w:name="_Toc27506"/>
      <w:bookmarkStart w:id="848" w:name="_Toc11464"/>
      <w:bookmarkStart w:id="849" w:name="_Toc21018"/>
      <w:bookmarkStart w:id="850" w:name="_Toc13685"/>
      <w:bookmarkStart w:id="851" w:name="_Toc25717"/>
      <w:bookmarkStart w:id="852" w:name="_Toc31906"/>
      <w:bookmarkStart w:id="853" w:name="_Toc30243"/>
      <w:bookmarkStart w:id="854" w:name="_Toc31082"/>
      <w:bookmarkStart w:id="855" w:name="_Toc5509"/>
      <w:bookmarkStart w:id="856" w:name="_Toc2284"/>
      <w:bookmarkStart w:id="857" w:name="_Toc7189"/>
      <w:bookmarkStart w:id="858" w:name="_Toc15345"/>
      <w:bookmarkStart w:id="859" w:name="_Toc14966"/>
      <w:r>
        <w:rPr>
          <w:rFonts w:hint="eastAsia" w:ascii="宋体" w:hAnsi="宋体" w:eastAsia="宋体" w:cs="宋体"/>
          <w:b/>
          <w:bCs/>
          <w:color w:val="auto"/>
          <w:spacing w:val="-6"/>
          <w:sz w:val="24"/>
          <w:szCs w:val="24"/>
          <w:highlight w:val="none"/>
          <w:lang w:eastAsia="zh-CN"/>
        </w:rPr>
        <w:t>附件三：安全生产协议</w:t>
      </w:r>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p>
    <w:p w14:paraId="23DEFA5E">
      <w:pPr>
        <w:spacing w:before="48" w:beforeLines="20" w:after="48" w:afterLines="20" w:line="360" w:lineRule="auto"/>
        <w:ind w:firstLine="458" w:firstLineChars="200"/>
        <w:jc w:val="center"/>
        <w:rPr>
          <w:rFonts w:hint="eastAsia"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eastAsia="zh-CN"/>
        </w:rPr>
        <w:t>安全生产协议书</w:t>
      </w:r>
    </w:p>
    <w:p w14:paraId="600211A9">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为在   采购合同的实施过程中创造安全、高效的施工环境，切实做好 本项目的安全管理工作，本项目的买方浙江镜岭水库有限公司（以下简称“买方”）与卖方（以下简称“卖方”），特此签订安全生产协议书：</w:t>
      </w:r>
    </w:p>
    <w:p w14:paraId="4694E12D">
      <w:pPr>
        <w:spacing w:before="48" w:beforeLines="20" w:after="48" w:afterLines="20" w:line="360" w:lineRule="auto"/>
        <w:ind w:firstLine="458"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6"/>
          <w:sz w:val="24"/>
          <w:szCs w:val="24"/>
          <w:highlight w:val="none"/>
          <w:lang w:eastAsia="zh-CN"/>
        </w:rPr>
        <w:t>第一条</w:t>
      </w:r>
      <w:r>
        <w:rPr>
          <w:rFonts w:hint="eastAsia" w:ascii="宋体" w:hAnsi="宋体" w:eastAsia="宋体" w:cs="宋体"/>
          <w:color w:val="auto"/>
          <w:spacing w:val="18"/>
          <w:sz w:val="24"/>
          <w:szCs w:val="24"/>
          <w:highlight w:val="none"/>
          <w:lang w:eastAsia="zh-CN"/>
        </w:rPr>
        <w:t xml:space="preserve"> </w:t>
      </w:r>
      <w:r>
        <w:rPr>
          <w:rFonts w:hint="eastAsia" w:ascii="宋体" w:hAnsi="宋体" w:eastAsia="宋体" w:cs="宋体"/>
          <w:b/>
          <w:bCs/>
          <w:color w:val="auto"/>
          <w:spacing w:val="-6"/>
          <w:sz w:val="24"/>
          <w:szCs w:val="24"/>
          <w:highlight w:val="none"/>
          <w:lang w:eastAsia="zh-CN"/>
        </w:rPr>
        <w:t>买方的权利与义务</w:t>
      </w:r>
    </w:p>
    <w:p w14:paraId="78908FC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（一）遵守国家有关安全生产的法律法规，认真执行工程承包合同中的有关安全要求。</w:t>
      </w:r>
    </w:p>
    <w:p w14:paraId="5B5FE011">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（二）按照“安全第一、预防为主、综合治理”和坚持“管生产必须管安全”的原则进行安全生产管理，做到生产与安全工作同时计划、布置、检查、总结和评比。</w:t>
      </w:r>
    </w:p>
    <w:p w14:paraId="40C52248">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（三）重要的安全设施必须坚持与主体工程“三同时”的原则，即：同时设计、审批，同时施工，同时验收、投入使用。</w:t>
      </w:r>
    </w:p>
    <w:p w14:paraId="7B93CC47">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（四）定期召开安全生产调度会，及时传达中央及地方有关安全生产的精神。</w:t>
      </w:r>
    </w:p>
    <w:p w14:paraId="0A71ECA0">
      <w:pPr>
        <w:spacing w:line="360" w:lineRule="auto"/>
        <w:ind w:firstLine="50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（五）组织对卖方施工现场安全生产检查，监督卖方及时处理发现的各种安全隐患。</w:t>
      </w:r>
    </w:p>
    <w:p w14:paraId="4122BBF5">
      <w:pPr>
        <w:spacing w:before="48" w:beforeLines="20" w:after="48" w:afterLines="20" w:line="360" w:lineRule="auto"/>
        <w:ind w:firstLine="458" w:firstLineChars="200"/>
        <w:jc w:val="both"/>
        <w:rPr>
          <w:rFonts w:hint="eastAsia"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eastAsia="zh-CN"/>
        </w:rPr>
        <w:t>第二条 卖方权利与义务</w:t>
      </w:r>
    </w:p>
    <w:p w14:paraId="120AB49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（一）严格遵守国家有关安全生产的法律法规、水利部颁发的有关工程施工安全 技术规程的安全生产规定，认真执行工程承包合同中的有关安全要求。</w:t>
      </w:r>
    </w:p>
    <w:p w14:paraId="29B6420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坚持“安全第一、预防为主、综合治理”和坚持“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p>
    <w:p w14:paraId="7AC7A79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三）建立健全安全生产责任制。从派往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 员工的安全和治安保卫工作及预防事故的发生。安全机构人员，有权按有关规定发布指令，并采取保护性措施防止事故发生。</w:t>
      </w:r>
    </w:p>
    <w:p w14:paraId="344439A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（四）卖方在任何时候都应采取各种合理的预防措施，防止其员工发生任何违 法、违禁、暴力或妨碍治安的行为。</w:t>
      </w:r>
    </w:p>
    <w:p w14:paraId="4345C90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五）卖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驾驶、爆破等特殊工种的人员，需经过专业培训，获得《安 全操作合格证》后，方准持证上岗。施工现场如出现特种作业无证操作现象时，项目 负责人必须承担管理责任。</w:t>
      </w:r>
    </w:p>
    <w:p w14:paraId="4A57352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（六）对于易燃易爆的材料除应专门妥善保管之外，还应配备有足够的消防设 施，所有施工人员都应熟悉消防设备的性能和使用方法；卖方不得将任何种类的给 予、易货或以其他方式转让给任何人，或允许、容忍上述同样行为。</w:t>
      </w:r>
    </w:p>
    <w:p w14:paraId="32276BB5">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（七）操作人员上岗，必须按规定穿戴防护用品。施工负责人和安全检查员应随时检查劳动防护用品的穿戴情况，不按规定穿戴防护用品的人员不得上岗。</w:t>
      </w:r>
    </w:p>
    <w:p w14:paraId="5C3E9B6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（八）所有施工机具设备和高空作业的设备均应定期检查，并有安全员的签字记录，保证其经常处于完好状态；不合格的机具、设备和劳动保护用品严禁使用。</w:t>
      </w:r>
    </w:p>
    <w:p w14:paraId="7C3FCADA">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（九）所有施工中采用新技术，新工艺、新设备、新材料时，必须制定相应的安全技术措施，施工现场必须具有相关的安全标志牌。</w:t>
      </w:r>
    </w:p>
    <w:p w14:paraId="6C58C907">
      <w:pPr>
        <w:spacing w:line="360" w:lineRule="auto"/>
        <w:ind w:firstLine="50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十）卖方必须按照本工程项目特点，组织制定本工程实施中的生产安全事故应急救援预案；如果发生安全事故，应按照《国务院关于特大安全事故行政责任追究的规定》以及其它有关规定，及时上报有关部门，并坚持“四不放过”的原则，严肃处理相关责任人。</w:t>
      </w:r>
    </w:p>
    <w:p w14:paraId="1D8405DC">
      <w:pPr>
        <w:spacing w:before="48" w:beforeLines="20" w:after="48" w:afterLines="20" w:line="360" w:lineRule="auto"/>
        <w:ind w:firstLine="458" w:firstLineChars="200"/>
        <w:jc w:val="both"/>
        <w:rPr>
          <w:rFonts w:hint="eastAsia"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eastAsia="zh-CN"/>
        </w:rPr>
        <w:t>第三条 违约责任</w:t>
      </w:r>
    </w:p>
    <w:p w14:paraId="6FA37437">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因卖方原因，造成安全事故，将依法追究责任，并视事故轻重承担相应的经济赔偿责任和支付违约金。</w:t>
      </w:r>
    </w:p>
    <w:p w14:paraId="1EF61894">
      <w:pPr>
        <w:spacing w:before="48" w:beforeLines="20" w:after="48" w:afterLines="20" w:line="360" w:lineRule="auto"/>
        <w:ind w:firstLine="458" w:firstLineChars="200"/>
        <w:jc w:val="both"/>
        <w:rPr>
          <w:rFonts w:hint="eastAsia"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eastAsia="zh-CN"/>
        </w:rPr>
        <w:t>第四条 协议生效和其他</w:t>
      </w:r>
    </w:p>
    <w:p w14:paraId="46F9359A">
      <w:pPr>
        <w:numPr>
          <w:ilvl w:val="0"/>
          <w:numId w:val="0"/>
        </w:numPr>
        <w:spacing w:before="3" w:line="360" w:lineRule="auto"/>
        <w:ind w:right="2" w:firstLine="50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本协议正本一式两份，副本十四份，协议双方各执正本一份，副本柒份。由双方法定代表人或其授权的代理人签署与加盖公章或合同专用章 后生效，全部工程完（竣）工验收后失效。</w:t>
      </w:r>
    </w:p>
    <w:p w14:paraId="0C3C4FBA">
      <w:pPr>
        <w:spacing w:before="1" w:line="360" w:lineRule="auto"/>
        <w:ind w:left="49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买方（买方</w:t>
      </w:r>
      <w:r>
        <w:rPr>
          <w:rFonts w:hint="eastAsia" w:ascii="宋体" w:hAnsi="宋体" w:eastAsia="宋体" w:cs="宋体"/>
          <w:color w:val="auto"/>
          <w:spacing w:val="-11"/>
          <w:sz w:val="24"/>
          <w:szCs w:val="24"/>
          <w:highlight w:val="none"/>
          <w:lang w:eastAsia="zh-CN"/>
        </w:rPr>
        <w:t>）：（</w:t>
      </w:r>
      <w:r>
        <w:rPr>
          <w:rFonts w:hint="eastAsia" w:ascii="宋体" w:hAnsi="宋体" w:eastAsia="宋体" w:cs="宋体"/>
          <w:color w:val="auto"/>
          <w:spacing w:val="2"/>
          <w:sz w:val="24"/>
          <w:szCs w:val="24"/>
          <w:highlight w:val="none"/>
          <w:lang w:eastAsia="zh-CN"/>
        </w:rPr>
        <w:t>盖章）</w:t>
      </w:r>
      <w:r>
        <w:rPr>
          <w:rFonts w:hint="eastAsia" w:ascii="宋体" w:hAnsi="宋体" w:eastAsia="宋体" w:cs="宋体"/>
          <w:color w:val="auto"/>
          <w:spacing w:val="5"/>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卖方（卖方</w:t>
      </w:r>
      <w:r>
        <w:rPr>
          <w:rFonts w:hint="eastAsia" w:ascii="宋体" w:hAnsi="宋体" w:eastAsia="宋体" w:cs="宋体"/>
          <w:color w:val="auto"/>
          <w:spacing w:val="-11"/>
          <w:sz w:val="24"/>
          <w:szCs w:val="24"/>
          <w:highlight w:val="none"/>
          <w:lang w:eastAsia="zh-CN"/>
        </w:rPr>
        <w:t>）：（</w:t>
      </w:r>
      <w:r>
        <w:rPr>
          <w:rFonts w:hint="eastAsia" w:ascii="宋体" w:hAnsi="宋体" w:eastAsia="宋体" w:cs="宋体"/>
          <w:color w:val="auto"/>
          <w:spacing w:val="2"/>
          <w:sz w:val="24"/>
          <w:szCs w:val="24"/>
          <w:highlight w:val="none"/>
          <w:lang w:eastAsia="zh-CN"/>
        </w:rPr>
        <w:t>盖章）</w:t>
      </w:r>
    </w:p>
    <w:p w14:paraId="1AFA8A29">
      <w:pPr>
        <w:spacing w:before="182" w:line="360" w:lineRule="auto"/>
        <w:ind w:left="481"/>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法定代表人或其委托代理人</w:t>
      </w:r>
      <w:r>
        <w:rPr>
          <w:rFonts w:hint="eastAsia" w:ascii="宋体" w:hAnsi="宋体" w:eastAsia="宋体" w:cs="宋体"/>
          <w:color w:val="auto"/>
          <w:spacing w:val="-13"/>
          <w:sz w:val="24"/>
          <w:szCs w:val="24"/>
          <w:highlight w:val="none"/>
          <w:lang w:eastAsia="zh-CN"/>
        </w:rPr>
        <w:t>：（</w:t>
      </w:r>
      <w:r>
        <w:rPr>
          <w:rFonts w:hint="eastAsia" w:ascii="宋体" w:hAnsi="宋体" w:eastAsia="宋体" w:cs="宋体"/>
          <w:color w:val="auto"/>
          <w:spacing w:val="1"/>
          <w:sz w:val="24"/>
          <w:szCs w:val="24"/>
          <w:highlight w:val="none"/>
          <w:lang w:eastAsia="zh-CN"/>
        </w:rPr>
        <w:t>签字）</w:t>
      </w:r>
      <w:r>
        <w:rPr>
          <w:rFonts w:hint="eastAsia" w:ascii="宋体" w:hAnsi="宋体" w:eastAsia="宋体" w:cs="宋体"/>
          <w:color w:val="auto"/>
          <w:spacing w:val="70"/>
          <w:sz w:val="24"/>
          <w:szCs w:val="24"/>
          <w:highlight w:val="none"/>
          <w:lang w:eastAsia="zh-CN"/>
        </w:rPr>
        <w:t xml:space="preserve"> </w:t>
      </w:r>
      <w:r>
        <w:rPr>
          <w:rFonts w:hint="eastAsia" w:ascii="宋体" w:hAnsi="宋体" w:eastAsia="宋体" w:cs="宋体"/>
          <w:color w:val="auto"/>
          <w:spacing w:val="1"/>
          <w:sz w:val="24"/>
          <w:szCs w:val="24"/>
          <w:highlight w:val="none"/>
          <w:lang w:eastAsia="zh-CN"/>
        </w:rPr>
        <w:t>法定代表人或其委托代理人</w:t>
      </w:r>
      <w:r>
        <w:rPr>
          <w:rFonts w:hint="eastAsia" w:ascii="宋体" w:hAnsi="宋体" w:eastAsia="宋体" w:cs="宋体"/>
          <w:color w:val="auto"/>
          <w:spacing w:val="-13"/>
          <w:sz w:val="24"/>
          <w:szCs w:val="24"/>
          <w:highlight w:val="none"/>
          <w:lang w:eastAsia="zh-CN"/>
        </w:rPr>
        <w:t>：（</w:t>
      </w:r>
      <w:r>
        <w:rPr>
          <w:rFonts w:hint="eastAsia" w:ascii="宋体" w:hAnsi="宋体" w:eastAsia="宋体" w:cs="宋体"/>
          <w:color w:val="auto"/>
          <w:spacing w:val="1"/>
          <w:sz w:val="24"/>
          <w:szCs w:val="24"/>
          <w:highlight w:val="none"/>
          <w:lang w:eastAsia="zh-CN"/>
        </w:rPr>
        <w:t>签字）</w:t>
      </w:r>
    </w:p>
    <w:p w14:paraId="0398091F">
      <w:pPr>
        <w:spacing w:before="183" w:line="360" w:lineRule="auto"/>
        <w:ind w:left="721"/>
        <w:rPr>
          <w:rFonts w:hint="eastAsia" w:ascii="宋体" w:hAnsi="宋体" w:eastAsia="宋体" w:cs="宋体"/>
          <w:color w:val="auto"/>
          <w:spacing w:val="-17"/>
          <w:sz w:val="24"/>
          <w:szCs w:val="24"/>
          <w:highlight w:val="none"/>
          <w:lang w:eastAsia="zh-CN"/>
        </w:rPr>
      </w:pPr>
      <w:r>
        <w:rPr>
          <w:rFonts w:hint="eastAsia" w:ascii="宋体" w:hAnsi="宋体" w:eastAsia="宋体" w:cs="宋体"/>
          <w:color w:val="auto"/>
          <w:spacing w:val="-17"/>
          <w:sz w:val="24"/>
          <w:szCs w:val="24"/>
          <w:highlight w:val="none"/>
          <w:lang w:eastAsia="zh-CN"/>
        </w:rPr>
        <w:t>年</w:t>
      </w:r>
      <w:r>
        <w:rPr>
          <w:rFonts w:hint="eastAsia" w:ascii="宋体" w:hAnsi="宋体" w:eastAsia="宋体" w:cs="宋体"/>
          <w:color w:val="auto"/>
          <w:spacing w:val="75"/>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月</w:t>
      </w:r>
      <w:r>
        <w:rPr>
          <w:rFonts w:hint="eastAsia" w:ascii="宋体" w:hAnsi="宋体" w:eastAsia="宋体" w:cs="宋体"/>
          <w:color w:val="auto"/>
          <w:spacing w:val="25"/>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日</w:t>
      </w:r>
      <w:r>
        <w:rPr>
          <w:rFonts w:hint="eastAsia" w:ascii="宋体" w:hAnsi="宋体" w:eastAsia="宋体" w:cs="宋体"/>
          <w:color w:val="auto"/>
          <w:spacing w:val="2"/>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年</w:t>
      </w:r>
      <w:r>
        <w:rPr>
          <w:rFonts w:hint="eastAsia" w:ascii="宋体" w:hAnsi="宋体" w:eastAsia="宋体" w:cs="宋体"/>
          <w:color w:val="auto"/>
          <w:spacing w:val="13"/>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月</w:t>
      </w:r>
      <w:r>
        <w:rPr>
          <w:rFonts w:hint="eastAsia" w:ascii="宋体" w:hAnsi="宋体" w:eastAsia="宋体" w:cs="宋体"/>
          <w:color w:val="auto"/>
          <w:spacing w:val="26"/>
          <w:sz w:val="24"/>
          <w:szCs w:val="24"/>
          <w:highlight w:val="none"/>
          <w:lang w:eastAsia="zh-CN"/>
        </w:rPr>
        <w:t xml:space="preserve">  </w:t>
      </w:r>
      <w:r>
        <w:rPr>
          <w:rFonts w:hint="eastAsia" w:ascii="宋体" w:hAnsi="宋体" w:eastAsia="宋体" w:cs="宋体"/>
          <w:color w:val="auto"/>
          <w:spacing w:val="-17"/>
          <w:sz w:val="24"/>
          <w:szCs w:val="24"/>
          <w:highlight w:val="none"/>
          <w:lang w:eastAsia="zh-CN"/>
        </w:rPr>
        <w:t>日</w:t>
      </w:r>
    </w:p>
    <w:p w14:paraId="4F007A4C">
      <w:pPr>
        <w:spacing w:before="183" w:line="360" w:lineRule="auto"/>
        <w:ind w:left="721"/>
        <w:rPr>
          <w:rFonts w:hint="eastAsia" w:ascii="宋体" w:hAnsi="宋体" w:eastAsia="宋体" w:cs="宋体"/>
          <w:color w:val="auto"/>
          <w:spacing w:val="-17"/>
          <w:sz w:val="24"/>
          <w:szCs w:val="24"/>
          <w:highlight w:val="none"/>
          <w:lang w:eastAsia="zh-CN"/>
        </w:rPr>
      </w:pPr>
    </w:p>
    <w:p w14:paraId="0EA02A9E">
      <w:pPr>
        <w:spacing w:before="183" w:line="360" w:lineRule="auto"/>
        <w:ind w:left="721"/>
        <w:rPr>
          <w:rFonts w:hint="eastAsia" w:ascii="宋体" w:hAnsi="宋体" w:eastAsia="宋体" w:cs="宋体"/>
          <w:color w:val="auto"/>
          <w:spacing w:val="-17"/>
          <w:sz w:val="24"/>
          <w:szCs w:val="24"/>
          <w:highlight w:val="none"/>
          <w:lang w:eastAsia="zh-CN"/>
        </w:rPr>
      </w:pPr>
    </w:p>
    <w:p w14:paraId="4B413641">
      <w:pPr>
        <w:spacing w:before="183" w:line="360" w:lineRule="auto"/>
        <w:ind w:left="721"/>
        <w:rPr>
          <w:rFonts w:hint="eastAsia" w:ascii="宋体" w:hAnsi="宋体" w:eastAsia="宋体" w:cs="宋体"/>
          <w:color w:val="auto"/>
          <w:spacing w:val="-17"/>
          <w:sz w:val="24"/>
          <w:szCs w:val="24"/>
          <w:highlight w:val="none"/>
          <w:lang w:eastAsia="zh-CN"/>
        </w:rPr>
      </w:pPr>
    </w:p>
    <w:p w14:paraId="52FCEDE3">
      <w:pPr>
        <w:spacing w:before="183" w:line="360" w:lineRule="auto"/>
        <w:ind w:left="721"/>
        <w:rPr>
          <w:rFonts w:hint="eastAsia" w:ascii="宋体" w:hAnsi="宋体" w:eastAsia="宋体" w:cs="宋体"/>
          <w:color w:val="auto"/>
          <w:spacing w:val="-17"/>
          <w:sz w:val="24"/>
          <w:szCs w:val="24"/>
          <w:highlight w:val="none"/>
          <w:lang w:eastAsia="zh-CN"/>
        </w:rPr>
      </w:pPr>
    </w:p>
    <w:p w14:paraId="15C7FB06">
      <w:pPr>
        <w:spacing w:before="183" w:line="360" w:lineRule="auto"/>
        <w:ind w:left="721"/>
        <w:rPr>
          <w:rFonts w:hint="eastAsia" w:ascii="宋体" w:hAnsi="宋体" w:eastAsia="宋体" w:cs="宋体"/>
          <w:color w:val="auto"/>
          <w:spacing w:val="-17"/>
          <w:sz w:val="24"/>
          <w:szCs w:val="24"/>
          <w:highlight w:val="none"/>
          <w:lang w:eastAsia="zh-CN"/>
        </w:rPr>
      </w:pPr>
    </w:p>
    <w:p w14:paraId="493E135D">
      <w:pPr>
        <w:spacing w:before="183" w:line="360" w:lineRule="auto"/>
        <w:ind w:left="721"/>
        <w:rPr>
          <w:rFonts w:hint="eastAsia" w:ascii="宋体" w:hAnsi="宋体" w:eastAsia="宋体" w:cs="宋体"/>
          <w:color w:val="auto"/>
          <w:spacing w:val="-17"/>
          <w:sz w:val="24"/>
          <w:szCs w:val="24"/>
          <w:highlight w:val="none"/>
          <w:lang w:eastAsia="zh-CN"/>
        </w:rPr>
      </w:pPr>
    </w:p>
    <w:p w14:paraId="1059D396">
      <w:pPr>
        <w:spacing w:before="183" w:line="360" w:lineRule="auto"/>
        <w:ind w:left="721"/>
        <w:rPr>
          <w:rFonts w:hint="eastAsia" w:ascii="宋体" w:hAnsi="宋体" w:eastAsia="宋体" w:cs="宋体"/>
          <w:color w:val="auto"/>
          <w:spacing w:val="-17"/>
          <w:sz w:val="24"/>
          <w:szCs w:val="24"/>
          <w:highlight w:val="none"/>
          <w:lang w:eastAsia="zh-CN"/>
        </w:rPr>
      </w:pPr>
    </w:p>
    <w:p w14:paraId="3522E78D">
      <w:pPr>
        <w:spacing w:before="183" w:line="360" w:lineRule="auto"/>
        <w:ind w:left="721"/>
        <w:rPr>
          <w:rFonts w:hint="eastAsia" w:ascii="宋体" w:hAnsi="宋体" w:eastAsia="宋体" w:cs="宋体"/>
          <w:color w:val="auto"/>
          <w:spacing w:val="-17"/>
          <w:sz w:val="24"/>
          <w:szCs w:val="24"/>
          <w:highlight w:val="none"/>
          <w:lang w:eastAsia="zh-CN"/>
        </w:rPr>
      </w:pPr>
    </w:p>
    <w:p w14:paraId="6F622EBD">
      <w:pPr>
        <w:spacing w:before="183" w:line="360" w:lineRule="auto"/>
        <w:ind w:left="721"/>
        <w:rPr>
          <w:rFonts w:hint="eastAsia" w:ascii="宋体" w:hAnsi="宋体" w:eastAsia="宋体" w:cs="宋体"/>
          <w:color w:val="auto"/>
          <w:spacing w:val="-17"/>
          <w:sz w:val="24"/>
          <w:szCs w:val="24"/>
          <w:highlight w:val="none"/>
          <w:lang w:eastAsia="zh-CN"/>
        </w:rPr>
      </w:pPr>
    </w:p>
    <w:p w14:paraId="7710D98F">
      <w:pPr>
        <w:spacing w:before="183" w:line="360" w:lineRule="auto"/>
        <w:ind w:left="721"/>
        <w:rPr>
          <w:rFonts w:hint="eastAsia" w:ascii="宋体" w:hAnsi="宋体" w:eastAsia="宋体" w:cs="宋体"/>
          <w:color w:val="auto"/>
          <w:spacing w:val="-17"/>
          <w:sz w:val="24"/>
          <w:szCs w:val="24"/>
          <w:highlight w:val="none"/>
          <w:lang w:eastAsia="zh-CN"/>
        </w:rPr>
      </w:pPr>
    </w:p>
    <w:p w14:paraId="446D94C8">
      <w:pPr>
        <w:spacing w:before="183" w:line="360" w:lineRule="auto"/>
        <w:ind w:left="721"/>
        <w:rPr>
          <w:rFonts w:hint="eastAsia" w:ascii="宋体" w:hAnsi="宋体" w:eastAsia="宋体" w:cs="宋体"/>
          <w:color w:val="auto"/>
          <w:spacing w:val="-17"/>
          <w:sz w:val="24"/>
          <w:szCs w:val="24"/>
          <w:highlight w:val="none"/>
          <w:lang w:eastAsia="zh-CN"/>
        </w:rPr>
      </w:pPr>
    </w:p>
    <w:p w14:paraId="0BF26D4A">
      <w:pPr>
        <w:spacing w:before="183" w:line="360" w:lineRule="auto"/>
        <w:ind w:left="721"/>
        <w:rPr>
          <w:rFonts w:hint="eastAsia" w:ascii="宋体" w:hAnsi="宋体" w:eastAsia="宋体" w:cs="宋体"/>
          <w:color w:val="auto"/>
          <w:spacing w:val="-17"/>
          <w:sz w:val="24"/>
          <w:szCs w:val="24"/>
          <w:highlight w:val="none"/>
          <w:lang w:eastAsia="zh-CN"/>
        </w:rPr>
      </w:pPr>
    </w:p>
    <w:p w14:paraId="20E75C7E">
      <w:pPr>
        <w:spacing w:before="183" w:line="360" w:lineRule="auto"/>
        <w:ind w:left="721"/>
        <w:rPr>
          <w:rFonts w:hint="eastAsia" w:ascii="宋体" w:hAnsi="宋体" w:eastAsia="宋体" w:cs="宋体"/>
          <w:color w:val="auto"/>
          <w:spacing w:val="-17"/>
          <w:sz w:val="24"/>
          <w:szCs w:val="24"/>
          <w:highlight w:val="none"/>
          <w:lang w:eastAsia="zh-CN"/>
        </w:rPr>
      </w:pPr>
    </w:p>
    <w:p w14:paraId="46119A77">
      <w:pPr>
        <w:spacing w:before="183" w:line="360" w:lineRule="auto"/>
        <w:ind w:left="721"/>
        <w:rPr>
          <w:rFonts w:hint="eastAsia" w:ascii="宋体" w:hAnsi="宋体" w:eastAsia="宋体" w:cs="宋体"/>
          <w:color w:val="auto"/>
          <w:spacing w:val="-17"/>
          <w:sz w:val="24"/>
          <w:szCs w:val="24"/>
          <w:highlight w:val="none"/>
          <w:lang w:eastAsia="zh-CN"/>
        </w:rPr>
      </w:pPr>
    </w:p>
    <w:p w14:paraId="1526F456">
      <w:pPr>
        <w:spacing w:before="183" w:line="360" w:lineRule="auto"/>
        <w:ind w:left="721"/>
        <w:rPr>
          <w:rFonts w:hint="eastAsia" w:ascii="宋体" w:hAnsi="宋体" w:eastAsia="宋体" w:cs="宋体"/>
          <w:color w:val="auto"/>
          <w:spacing w:val="-17"/>
          <w:sz w:val="24"/>
          <w:szCs w:val="24"/>
          <w:highlight w:val="none"/>
          <w:lang w:eastAsia="zh-CN"/>
        </w:rPr>
      </w:pPr>
    </w:p>
    <w:p w14:paraId="060AD40E">
      <w:pPr>
        <w:spacing w:before="183" w:line="360" w:lineRule="auto"/>
        <w:rPr>
          <w:rFonts w:hint="eastAsia" w:ascii="宋体" w:hAnsi="宋体" w:eastAsia="宋体" w:cs="宋体"/>
          <w:color w:val="auto"/>
          <w:spacing w:val="-17"/>
          <w:sz w:val="24"/>
          <w:szCs w:val="24"/>
          <w:highlight w:val="none"/>
          <w:lang w:eastAsia="zh-CN"/>
        </w:rPr>
      </w:pPr>
    </w:p>
    <w:p w14:paraId="6D67D8B5">
      <w:pPr>
        <w:keepNext w:val="0"/>
        <w:keepLines w:val="0"/>
        <w:pageBreakBefore w:val="0"/>
        <w:widowControl/>
        <w:kinsoku w:val="0"/>
        <w:wordWrap/>
        <w:overflowPunct/>
        <w:topLinePunct w:val="0"/>
        <w:autoSpaceDE w:val="0"/>
        <w:autoSpaceDN w:val="0"/>
        <w:bidi w:val="0"/>
        <w:adjustRightInd w:val="0"/>
        <w:snapToGrid w:val="0"/>
        <w:spacing w:before="78" w:line="360" w:lineRule="auto"/>
        <w:textAlignment w:val="baseline"/>
        <w:outlineLvl w:val="9"/>
        <w:rPr>
          <w:rFonts w:hint="eastAsia" w:ascii="宋体" w:hAnsi="宋体" w:eastAsia="宋体" w:cs="宋体"/>
          <w:b/>
          <w:bCs/>
          <w:color w:val="auto"/>
          <w:spacing w:val="-4"/>
          <w:sz w:val="24"/>
          <w:szCs w:val="24"/>
          <w:highlight w:val="none"/>
          <w:lang w:eastAsia="zh-CN"/>
        </w:rPr>
      </w:pPr>
      <w:bookmarkStart w:id="860" w:name="_Toc29894"/>
      <w:bookmarkStart w:id="861" w:name="_Toc15210"/>
      <w:bookmarkStart w:id="862" w:name="_Toc29664"/>
      <w:bookmarkStart w:id="863" w:name="_Toc23563"/>
      <w:bookmarkStart w:id="864" w:name="_Toc57"/>
      <w:bookmarkStart w:id="865" w:name="_Toc6251"/>
      <w:bookmarkStart w:id="866" w:name="_Toc12431"/>
      <w:bookmarkStart w:id="867" w:name="_Toc27578"/>
      <w:bookmarkStart w:id="868" w:name="_Toc1810"/>
      <w:bookmarkStart w:id="869" w:name="_Toc18587"/>
      <w:bookmarkStart w:id="870" w:name="_Toc29459"/>
      <w:bookmarkStart w:id="871" w:name="_Toc2949"/>
      <w:bookmarkStart w:id="872" w:name="_Toc3270"/>
      <w:bookmarkStart w:id="873" w:name="_Toc10408"/>
      <w:bookmarkStart w:id="874" w:name="_Toc11518"/>
      <w:bookmarkStart w:id="875" w:name="_Toc17653"/>
      <w:bookmarkStart w:id="876" w:name="_Toc20871"/>
      <w:bookmarkStart w:id="877" w:name="_Toc6819"/>
      <w:bookmarkStart w:id="878" w:name="_Toc523"/>
      <w:bookmarkStart w:id="879" w:name="_Toc8525"/>
      <w:bookmarkStart w:id="880" w:name="_Toc24834"/>
    </w:p>
    <w:p w14:paraId="313858F0">
      <w:pPr>
        <w:spacing w:before="78" w:line="360" w:lineRule="auto"/>
        <w:outlineLvl w:val="2"/>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4"/>
          <w:sz w:val="24"/>
          <w:szCs w:val="24"/>
          <w:highlight w:val="none"/>
          <w:lang w:eastAsia="zh-CN"/>
        </w:rPr>
        <w:t>附件四：预付款担保（格式）</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05849875">
      <w:pPr>
        <w:spacing w:before="181" w:line="360" w:lineRule="auto"/>
        <w:ind w:left="3947"/>
        <w:rPr>
          <w:rFonts w:hint="eastAsia" w:ascii="宋体" w:hAnsi="宋体" w:eastAsia="宋体" w:cs="宋体"/>
          <w:color w:val="auto"/>
          <w:sz w:val="24"/>
          <w:szCs w:val="24"/>
          <w:highlight w:val="none"/>
          <w:lang w:eastAsia="zh-CN"/>
        </w:rPr>
      </w:pPr>
      <w:r>
        <w:rPr>
          <w:rFonts w:hint="eastAsia" w:ascii="宋体" w:hAnsi="宋体" w:eastAsia="宋体" w:cs="宋体"/>
          <w:b/>
          <w:bCs/>
          <w:color w:val="auto"/>
          <w:spacing w:val="-4"/>
          <w:sz w:val="24"/>
          <w:szCs w:val="24"/>
          <w:highlight w:val="none"/>
          <w:lang w:eastAsia="zh-CN"/>
        </w:rPr>
        <w:t>预付款保函</w:t>
      </w:r>
    </w:p>
    <w:p w14:paraId="314546D5">
      <w:pPr>
        <w:spacing w:before="183" w:line="360" w:lineRule="auto"/>
        <w:ind w:left="4187"/>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编号：</w:t>
      </w:r>
    </w:p>
    <w:p w14:paraId="0E45CCD8">
      <w:pPr>
        <w:spacing w:before="180" w:line="360" w:lineRule="auto"/>
        <w:ind w:left="4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1"/>
          <w:sz w:val="24"/>
          <w:szCs w:val="24"/>
          <w:highlight w:val="none"/>
          <w:lang w:eastAsia="zh-CN"/>
        </w:rPr>
        <w:t>申请人：</w:t>
      </w:r>
    </w:p>
    <w:p w14:paraId="6596F031">
      <w:pPr>
        <w:spacing w:before="183" w:line="360" w:lineRule="auto"/>
        <w:ind w:left="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地址：</w:t>
      </w:r>
    </w:p>
    <w:p w14:paraId="206B2E20">
      <w:pPr>
        <w:spacing w:before="171" w:line="360" w:lineRule="auto"/>
        <w:ind w:left="14"/>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受益人：</w:t>
      </w:r>
    </w:p>
    <w:p w14:paraId="6DBFAD17">
      <w:pPr>
        <w:spacing w:before="177" w:line="360" w:lineRule="auto"/>
        <w:ind w:left="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地址：</w:t>
      </w:r>
    </w:p>
    <w:p w14:paraId="2112FADB">
      <w:pPr>
        <w:spacing w:before="171" w:line="360" w:lineRule="auto"/>
        <w:ind w:left="1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开立人：</w:t>
      </w:r>
    </w:p>
    <w:p w14:paraId="267AED62">
      <w:pPr>
        <w:spacing w:before="178" w:line="360" w:lineRule="auto"/>
        <w:ind w:left="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4"/>
          <w:sz w:val="24"/>
          <w:szCs w:val="24"/>
          <w:highlight w:val="none"/>
          <w:lang w:eastAsia="zh-CN"/>
        </w:rPr>
        <w:t>地址：</w:t>
      </w:r>
    </w:p>
    <w:p w14:paraId="1AA183EE">
      <w:pPr>
        <w:tabs>
          <w:tab w:val="left" w:pos="1680"/>
        </w:tabs>
        <w:spacing w:before="171"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ab/>
      </w:r>
      <w:r>
        <w:rPr>
          <w:rFonts w:hint="eastAsia" w:ascii="宋体" w:hAnsi="宋体" w:eastAsia="宋体" w:cs="宋体"/>
          <w:color w:val="auto"/>
          <w:sz w:val="24"/>
          <w:szCs w:val="24"/>
          <w:highlight w:val="none"/>
          <w:lang w:eastAsia="zh-CN"/>
        </w:rPr>
        <w:t>（受益人名称）：</w:t>
      </w:r>
    </w:p>
    <w:p w14:paraId="05A2D7A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鉴于   （以下简称“受益人 ”）与               （以下简称“申请人”）于   年    月   日就   工程（以下简称“本工程”）采 购和有关事项协商一致共同签订《   》（以下简称“基础合同”），我 方（即“开立人”）根据主合同了解到申请人为主合同项下之卖方，受益人为主合同 项下之买方，基于申请人的请求，</w:t>
      </w:r>
    </w:p>
    <w:p w14:paraId="3963D0A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我方同意就申请人按照合同约定正确和合理地为合同目的使用预付款，向贵方提 供不可撤销、不可转让的见索即付独立保函（以下简称“本保函”）。</w:t>
      </w:r>
    </w:p>
    <w:p w14:paraId="1937C976">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一、本保函担保范围：申请人未按照合同约定正确和合理地为合同目的使用预付 款，应当向贵方承担的违约责任和赔偿因此造成的损失、利息、律师费、诉讼费用等 实现债权的费用。</w:t>
      </w:r>
    </w:p>
    <w:p w14:paraId="2BDF0D55">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二、本保函担保金额最高不超过人民币（大写）   元 (¥   )。</w:t>
      </w:r>
    </w:p>
    <w:p w14:paraId="74A2E63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三、本保函有效期自开立之日起至买方全额扣回预付款后   日止，最迟不超过   年   月   日。</w:t>
      </w:r>
    </w:p>
    <w:p w14:paraId="6BD37947">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四、我方承诺，在收到受益人发来的书面付款通知后的    日内无条件支付，前述书面付款通知即为付款要求之单据，且应满足以下要求：</w:t>
      </w:r>
    </w:p>
    <w:p w14:paraId="0594505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（1）付款通知到达的日期在本保函的有效期内；</w:t>
      </w:r>
    </w:p>
    <w:p w14:paraId="0E45591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（2）载明要求支付的金额；</w:t>
      </w:r>
    </w:p>
    <w:p w14:paraId="7841C83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（3）载明申请人违反合同义务的条款和内容；</w:t>
      </w:r>
    </w:p>
    <w:p w14:paraId="3A057205">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（4）声明不存在合同文件约定或我国法律规定免除申请人或开立人支付责任的情形；</w:t>
      </w:r>
    </w:p>
    <w:p w14:paraId="6C18E7A2">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（5）付款通知应在本保函有效期内到达的地址是：   。</w:t>
      </w:r>
    </w:p>
    <w:p w14:paraId="3D0BC749">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受益人发出的书面付款通知应由其为鉴明受益人法定代表人（负责人）或授权代理人签字并加盖公章。</w:t>
      </w:r>
    </w:p>
    <w:p w14:paraId="06FFC4AF">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五、本保函项下的权利不得转让，不得设定担保。贵方未经我方书面同意转 让本保函或其项下任何权利，对我方不发生法律效力。</w:t>
      </w:r>
    </w:p>
    <w:p w14:paraId="047A5EB2">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六、与本保函有关的基础合同不成立、不生效、无效、被撤销、被解除，不影响本保函的独立有效。</w:t>
      </w:r>
    </w:p>
    <w:p w14:paraId="427F383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七、贵方应在本保函到期后的七日内将本保函正本退回我方注销，但是不论贵方 是否按此要求将本保函正本退回我方，我方在本保函项下的义务和责任均在保函有效 期到期后自动消灭。</w:t>
      </w:r>
    </w:p>
    <w:p w14:paraId="37A923FC">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八、本保函适用的法律为中华人民共和国法律，争议裁判管辖地为中华人民共和国。</w:t>
      </w:r>
    </w:p>
    <w:p w14:paraId="2D6C10DE">
      <w:pPr>
        <w:spacing w:line="360" w:lineRule="auto"/>
        <w:ind w:firstLine="500" w:firstLineChars="200"/>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5"/>
          <w:sz w:val="24"/>
          <w:szCs w:val="24"/>
          <w:highlight w:val="none"/>
          <w:lang w:eastAsia="zh-CN"/>
        </w:rPr>
        <w:t>九、本保函自我方法定代表人或授权代表签字并加盖公章之日起生效。</w:t>
      </w:r>
    </w:p>
    <w:p w14:paraId="60A7E6BF">
      <w:pPr>
        <w:pStyle w:val="6"/>
        <w:spacing w:line="360" w:lineRule="auto"/>
        <w:rPr>
          <w:rFonts w:hint="eastAsia" w:ascii="宋体" w:hAnsi="宋体" w:eastAsia="宋体" w:cs="宋体"/>
          <w:color w:val="auto"/>
          <w:sz w:val="24"/>
          <w:szCs w:val="24"/>
          <w:highlight w:val="none"/>
          <w:lang w:eastAsia="zh-CN"/>
        </w:rPr>
      </w:pPr>
    </w:p>
    <w:p w14:paraId="33104570">
      <w:pPr>
        <w:pStyle w:val="6"/>
        <w:spacing w:line="360" w:lineRule="auto"/>
        <w:rPr>
          <w:rFonts w:hint="eastAsia" w:ascii="宋体" w:hAnsi="宋体" w:eastAsia="宋体" w:cs="宋体"/>
          <w:color w:val="auto"/>
          <w:sz w:val="24"/>
          <w:szCs w:val="24"/>
          <w:highlight w:val="none"/>
          <w:lang w:eastAsia="zh-CN"/>
        </w:rPr>
      </w:pPr>
    </w:p>
    <w:p w14:paraId="2F727D43">
      <w:pPr>
        <w:spacing w:before="78" w:line="360" w:lineRule="auto"/>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开 立 人</w:t>
      </w:r>
      <w:r>
        <w:rPr>
          <w:rFonts w:hint="eastAsia" w:ascii="宋体" w:hAnsi="宋体" w:eastAsia="宋体" w:cs="宋体"/>
          <w:color w:val="auto"/>
          <w:spacing w:val="-30"/>
          <w:sz w:val="24"/>
          <w:szCs w:val="24"/>
          <w:highlight w:val="none"/>
          <w:lang w:eastAsia="zh-CN"/>
        </w:rPr>
        <w:t>：</w:t>
      </w:r>
      <w:r>
        <w:rPr>
          <w:rFonts w:hint="eastAsia" w:ascii="宋体" w:hAnsi="宋体" w:eastAsia="宋体" w:cs="宋体"/>
          <w:color w:val="auto"/>
          <w:spacing w:val="4"/>
          <w:sz w:val="24"/>
          <w:szCs w:val="24"/>
          <w:highlight w:val="none"/>
          <w:lang w:eastAsia="zh-CN"/>
        </w:rPr>
        <w:t xml:space="preserve">                             </w:t>
      </w:r>
      <w:r>
        <w:rPr>
          <w:rFonts w:hint="eastAsia" w:ascii="宋体" w:hAnsi="宋体" w:eastAsia="宋体" w:cs="宋体"/>
          <w:color w:val="auto"/>
          <w:spacing w:val="-30"/>
          <w:sz w:val="24"/>
          <w:szCs w:val="24"/>
          <w:highlight w:val="none"/>
          <w:lang w:eastAsia="zh-CN"/>
        </w:rPr>
        <w:t>（</w:t>
      </w:r>
      <w:r>
        <w:rPr>
          <w:rFonts w:hint="eastAsia" w:ascii="宋体" w:hAnsi="宋体" w:eastAsia="宋体" w:cs="宋体"/>
          <w:color w:val="auto"/>
          <w:spacing w:val="6"/>
          <w:sz w:val="24"/>
          <w:szCs w:val="24"/>
          <w:highlight w:val="none"/>
          <w:lang w:eastAsia="zh-CN"/>
        </w:rPr>
        <w:t>公章）</w:t>
      </w:r>
    </w:p>
    <w:p w14:paraId="0D374F1B">
      <w:pPr>
        <w:spacing w:before="184" w:line="360" w:lineRule="auto"/>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
          <w:sz w:val="24"/>
          <w:szCs w:val="24"/>
          <w:highlight w:val="none"/>
          <w:lang w:eastAsia="zh-CN"/>
        </w:rPr>
        <w:t>法定代表人（或授权代表</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9"/>
          <w:sz w:val="24"/>
          <w:szCs w:val="24"/>
          <w:highlight w:val="none"/>
          <w:lang w:eastAsia="zh-CN"/>
        </w:rPr>
        <w:t xml:space="preserve">             </w:t>
      </w:r>
      <w:r>
        <w:rPr>
          <w:rFonts w:hint="eastAsia" w:ascii="宋体" w:hAnsi="宋体" w:eastAsia="宋体" w:cs="宋体"/>
          <w:color w:val="auto"/>
          <w:spacing w:val="-9"/>
          <w:sz w:val="24"/>
          <w:szCs w:val="24"/>
          <w:highlight w:val="none"/>
          <w:lang w:eastAsia="zh-CN"/>
        </w:rPr>
        <w:t>（</w:t>
      </w:r>
      <w:r>
        <w:rPr>
          <w:rFonts w:hint="eastAsia" w:ascii="宋体" w:hAnsi="宋体" w:eastAsia="宋体" w:cs="宋体"/>
          <w:color w:val="auto"/>
          <w:spacing w:val="1"/>
          <w:sz w:val="24"/>
          <w:szCs w:val="24"/>
          <w:highlight w:val="none"/>
          <w:lang w:eastAsia="zh-CN"/>
        </w:rPr>
        <w:t>签字）</w:t>
      </w:r>
    </w:p>
    <w:p w14:paraId="09AD5E9D">
      <w:pPr>
        <w:spacing w:before="183" w:line="360" w:lineRule="auto"/>
        <w:ind w:left="479"/>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地</w:t>
      </w:r>
      <w:r>
        <w:rPr>
          <w:rFonts w:hint="eastAsia" w:ascii="宋体" w:hAnsi="宋体" w:eastAsia="宋体" w:cs="宋体"/>
          <w:color w:val="auto"/>
          <w:spacing w:val="2"/>
          <w:sz w:val="24"/>
          <w:szCs w:val="24"/>
          <w:highlight w:val="none"/>
          <w:lang w:eastAsia="zh-CN"/>
        </w:rPr>
        <w:t xml:space="preserve">    </w:t>
      </w:r>
      <w:r>
        <w:rPr>
          <w:rFonts w:hint="eastAsia" w:ascii="宋体" w:hAnsi="宋体" w:eastAsia="宋体" w:cs="宋体"/>
          <w:color w:val="auto"/>
          <w:spacing w:val="-7"/>
          <w:sz w:val="24"/>
          <w:szCs w:val="24"/>
          <w:highlight w:val="none"/>
          <w:lang w:eastAsia="zh-CN"/>
        </w:rPr>
        <w:t>址：</w:t>
      </w:r>
    </w:p>
    <w:p w14:paraId="25A01822">
      <w:pPr>
        <w:spacing w:before="169" w:line="360" w:lineRule="auto"/>
        <w:ind w:left="496"/>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6"/>
          <w:sz w:val="24"/>
          <w:szCs w:val="24"/>
          <w:highlight w:val="none"/>
          <w:lang w:eastAsia="zh-CN"/>
        </w:rPr>
        <w:t>邮政编码：</w:t>
      </w:r>
    </w:p>
    <w:p w14:paraId="1643EB54">
      <w:pPr>
        <w:spacing w:before="183" w:line="360" w:lineRule="auto"/>
        <w:ind w:left="507"/>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16"/>
          <w:sz w:val="24"/>
          <w:szCs w:val="24"/>
          <w:highlight w:val="none"/>
          <w:lang w:eastAsia="zh-CN"/>
        </w:rPr>
        <w:t>电</w:t>
      </w:r>
      <w:r>
        <w:rPr>
          <w:rFonts w:hint="eastAsia" w:ascii="宋体" w:hAnsi="宋体" w:eastAsia="宋体" w:cs="宋体"/>
          <w:color w:val="auto"/>
          <w:spacing w:val="2"/>
          <w:sz w:val="24"/>
          <w:szCs w:val="24"/>
          <w:highlight w:val="none"/>
          <w:lang w:eastAsia="zh-CN"/>
        </w:rPr>
        <w:t xml:space="preserve">    </w:t>
      </w:r>
      <w:r>
        <w:rPr>
          <w:rFonts w:hint="eastAsia" w:ascii="宋体" w:hAnsi="宋体" w:eastAsia="宋体" w:cs="宋体"/>
          <w:color w:val="auto"/>
          <w:spacing w:val="-16"/>
          <w:sz w:val="24"/>
          <w:szCs w:val="24"/>
          <w:highlight w:val="none"/>
          <w:lang w:eastAsia="zh-CN"/>
        </w:rPr>
        <w:t>话：</w:t>
      </w:r>
    </w:p>
    <w:p w14:paraId="723A3D77">
      <w:pPr>
        <w:spacing w:before="177" w:line="360" w:lineRule="auto"/>
        <w:ind w:left="477"/>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7"/>
          <w:sz w:val="24"/>
          <w:szCs w:val="24"/>
          <w:highlight w:val="none"/>
          <w:lang w:eastAsia="zh-CN"/>
        </w:rPr>
        <w:t>传</w:t>
      </w:r>
      <w:r>
        <w:rPr>
          <w:rFonts w:hint="eastAsia" w:ascii="宋体" w:hAnsi="宋体" w:eastAsia="宋体" w:cs="宋体"/>
          <w:color w:val="auto"/>
          <w:spacing w:val="3"/>
          <w:sz w:val="24"/>
          <w:szCs w:val="24"/>
          <w:highlight w:val="none"/>
          <w:lang w:eastAsia="zh-CN"/>
        </w:rPr>
        <w:t xml:space="preserve">    </w:t>
      </w:r>
      <w:r>
        <w:rPr>
          <w:rFonts w:hint="eastAsia" w:ascii="宋体" w:hAnsi="宋体" w:eastAsia="宋体" w:cs="宋体"/>
          <w:color w:val="auto"/>
          <w:spacing w:val="-7"/>
          <w:sz w:val="24"/>
          <w:szCs w:val="24"/>
          <w:highlight w:val="none"/>
          <w:lang w:eastAsia="zh-CN"/>
        </w:rPr>
        <w:t>真：</w:t>
      </w:r>
    </w:p>
    <w:p w14:paraId="03D531E3">
      <w:pPr>
        <w:spacing w:before="184" w:line="360" w:lineRule="auto"/>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开立时间：      年</w:t>
      </w:r>
      <w:r>
        <w:rPr>
          <w:rFonts w:hint="eastAsia" w:ascii="宋体" w:hAnsi="宋体" w:eastAsia="宋体" w:cs="宋体"/>
          <w:color w:val="auto"/>
          <w:spacing w:val="2"/>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月</w:t>
      </w:r>
      <w:r>
        <w:rPr>
          <w:rFonts w:hint="eastAsia" w:ascii="宋体" w:hAnsi="宋体" w:eastAsia="宋体" w:cs="宋体"/>
          <w:color w:val="auto"/>
          <w:spacing w:val="6"/>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日</w:t>
      </w:r>
    </w:p>
    <w:p w14:paraId="421CAE02">
      <w:pPr>
        <w:spacing w:line="360" w:lineRule="auto"/>
        <w:rPr>
          <w:rFonts w:hint="eastAsia" w:ascii="宋体" w:hAnsi="宋体" w:eastAsia="宋体" w:cs="宋体"/>
          <w:color w:val="auto"/>
          <w:sz w:val="24"/>
          <w:szCs w:val="24"/>
          <w:highlight w:val="none"/>
          <w:lang w:eastAsia="zh-CN"/>
        </w:rPr>
      </w:pPr>
    </w:p>
    <w:p w14:paraId="355ECEF1">
      <w:pPr>
        <w:spacing w:before="47" w:line="360" w:lineRule="auto"/>
        <w:ind w:left="18"/>
        <w:outlineLvl w:val="2"/>
        <w:rPr>
          <w:rFonts w:hint="eastAsia" w:ascii="宋体" w:hAnsi="宋体" w:eastAsia="宋体" w:cs="宋体"/>
          <w:color w:val="auto"/>
          <w:sz w:val="24"/>
          <w:szCs w:val="24"/>
          <w:highlight w:val="none"/>
          <w:lang w:eastAsia="zh-CN"/>
        </w:rPr>
      </w:pPr>
      <w:bookmarkStart w:id="881" w:name="_Toc13005"/>
      <w:bookmarkStart w:id="882" w:name="_Toc2918"/>
      <w:bookmarkStart w:id="883" w:name="_Toc27840"/>
      <w:bookmarkStart w:id="884" w:name="_Toc3444"/>
      <w:bookmarkStart w:id="885" w:name="_Toc26422"/>
      <w:bookmarkStart w:id="886" w:name="_Toc22875"/>
      <w:bookmarkStart w:id="887" w:name="_Toc479"/>
      <w:bookmarkStart w:id="888" w:name="_Toc9097"/>
      <w:bookmarkStart w:id="889" w:name="_Toc31990"/>
      <w:bookmarkStart w:id="890" w:name="_Toc13250"/>
      <w:bookmarkStart w:id="891" w:name="_Toc11069"/>
      <w:bookmarkStart w:id="892" w:name="_Toc22077"/>
      <w:bookmarkStart w:id="893" w:name="_Toc24545"/>
      <w:bookmarkStart w:id="894" w:name="_Toc5481"/>
      <w:bookmarkStart w:id="895" w:name="_Toc9662"/>
      <w:bookmarkStart w:id="896" w:name="_Toc4036"/>
      <w:bookmarkStart w:id="897" w:name="_Toc15526"/>
      <w:bookmarkStart w:id="898" w:name="_Toc21140"/>
      <w:bookmarkStart w:id="899" w:name="_Toc22797"/>
      <w:bookmarkStart w:id="900" w:name="_Toc1887"/>
      <w:bookmarkStart w:id="901" w:name="_Toc2454"/>
      <w:r>
        <w:rPr>
          <w:rFonts w:hint="eastAsia" w:ascii="宋体" w:hAnsi="宋体" w:eastAsia="宋体" w:cs="宋体"/>
          <w:color w:val="auto"/>
          <w:spacing w:val="-3"/>
          <w:sz w:val="24"/>
          <w:szCs w:val="24"/>
          <w:highlight w:val="none"/>
          <w:lang w:eastAsia="zh-CN"/>
        </w:rPr>
        <w:t>附件五：工程质量保修书</w:t>
      </w:r>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p>
    <w:p w14:paraId="3524DAFF">
      <w:pPr>
        <w:spacing w:before="185" w:line="360" w:lineRule="auto"/>
        <w:ind w:left="3938"/>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工程质量保修书</w:t>
      </w:r>
    </w:p>
    <w:p w14:paraId="2E35CC6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买方（全称）：浙江镜岭水库有限公司</w:t>
      </w:r>
    </w:p>
    <w:p w14:paraId="7B24BF74">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 xml:space="preserve">卖方（全称）：                                   </w:t>
      </w:r>
    </w:p>
    <w:p w14:paraId="0FBA854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买方和卖方根据《中华人民共和国民法典》《中华人民共和国建筑法》和《建设工程质量管理条例》，经协商一致，就浙江镜岭水库工程</w:t>
      </w:r>
      <w:r>
        <w:rPr>
          <w:rFonts w:hint="eastAsia" w:ascii="宋体" w:hAnsi="宋体" w:eastAsia="宋体" w:cs="宋体"/>
          <w:color w:val="auto"/>
          <w:spacing w:val="5"/>
          <w:sz w:val="24"/>
          <w:szCs w:val="24"/>
          <w:highlight w:val="none"/>
          <w:lang w:val="en-US" w:eastAsia="zh-CN"/>
        </w:rPr>
        <w:t>阀门等设备</w:t>
      </w:r>
      <w:r>
        <w:rPr>
          <w:rFonts w:hint="eastAsia" w:ascii="宋体" w:hAnsi="宋体" w:eastAsia="宋体" w:cs="宋体"/>
          <w:color w:val="auto"/>
          <w:spacing w:val="5"/>
          <w:sz w:val="24"/>
          <w:szCs w:val="24"/>
          <w:highlight w:val="none"/>
          <w:lang w:eastAsia="zh-CN"/>
        </w:rPr>
        <w:t>采购订立工程质量保修书。</w:t>
      </w:r>
    </w:p>
    <w:p w14:paraId="5954F9A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一、工程质量保修范围和内容</w:t>
      </w:r>
    </w:p>
    <w:p w14:paraId="0EDDA78A">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卖方在质量保修期内，按照有关法律规定和合同约定，承担工程质量保修责任。</w:t>
      </w:r>
    </w:p>
    <w:p w14:paraId="241035CE">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质量保修范围包括本标段工程卖方供应的全部货物，以及双方约定的其他项目。 具体保修的内容，双方约定如下：本工程合同范围内的所有工程内容。</w:t>
      </w:r>
    </w:p>
    <w:p w14:paraId="4735561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二、质量保修期</w:t>
      </w:r>
    </w:p>
    <w:p w14:paraId="27373A49">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根据《建设工程质量管理条例》及有关规定，工程的质量保修期如下：</w:t>
      </w:r>
    </w:p>
    <w:p w14:paraId="192C65C5">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1．保修期限约定如下：水利工程等2年+投标人承诺的免费保修期。</w:t>
      </w:r>
    </w:p>
    <w:p w14:paraId="0F1B508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质量保修期自浙江镜岭水库工程所有土建标段通过完工验收之日起算。</w:t>
      </w:r>
    </w:p>
    <w:p w14:paraId="7CE90B4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三、缺陷责任期</w:t>
      </w:r>
    </w:p>
    <w:p w14:paraId="7DC3ACAA">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工程缺陷责任期为2年，缺陷责任期自浙江镜岭水库工程所有土建标段通过完工验收之日起算。</w:t>
      </w:r>
    </w:p>
    <w:p w14:paraId="527EF707">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缺陷责任期终止并颁发缺陷责任期终止证书后，买方应返还剩余的质量保证金。</w:t>
      </w:r>
    </w:p>
    <w:p w14:paraId="34C15800">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四、质量保修责任</w:t>
      </w:r>
    </w:p>
    <w:p w14:paraId="04692A68">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1．属于保修范围、内容的项目，卖方应当在接到保修通知之日起7天内派人保修。卖方未在约定期限内派人保修的，买方可以委托他人维修，买方委托他人的维修费用从卖方合同款项中扣除。</w:t>
      </w:r>
    </w:p>
    <w:p w14:paraId="4EB363A6">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2．发生紧急事故需抢修的，卖方在接到事故通知后，应当立即到达事故现场抢修。</w:t>
      </w:r>
    </w:p>
    <w:p w14:paraId="7119B811">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3．对于涉及结构安全的质量问题，应当按照《建设工程质量管理条例》的规定，立即向当地建设行政主管部门和有关部门报告，采取安全防范措施，并由卖方提出保修方案，卖方实施保修。</w:t>
      </w:r>
    </w:p>
    <w:p w14:paraId="07B2EA0D">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4．质量保修完成后，由买方组织验收。</w:t>
      </w:r>
    </w:p>
    <w:p w14:paraId="12FAA985">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五、保修费用</w:t>
      </w:r>
    </w:p>
    <w:p w14:paraId="2FD4690B">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保修费用由造成质量缺陷的责任方承担。</w:t>
      </w:r>
    </w:p>
    <w:p w14:paraId="02B31CE8">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六、双方约定的其他工程质量保修事项：  /  。</w:t>
      </w:r>
    </w:p>
    <w:p w14:paraId="495C9EF3">
      <w:pPr>
        <w:spacing w:line="360" w:lineRule="auto"/>
        <w:ind w:firstLine="500" w:firstLineChars="200"/>
        <w:jc w:val="both"/>
        <w:rPr>
          <w:rFonts w:hint="eastAsia" w:ascii="宋体" w:hAnsi="宋体" w:eastAsia="宋体" w:cs="宋体"/>
          <w:color w:val="auto"/>
          <w:spacing w:val="5"/>
          <w:sz w:val="24"/>
          <w:szCs w:val="24"/>
          <w:highlight w:val="none"/>
          <w:lang w:eastAsia="zh-CN"/>
        </w:rPr>
      </w:pPr>
      <w:r>
        <w:rPr>
          <w:rFonts w:hint="eastAsia" w:ascii="宋体" w:hAnsi="宋体" w:eastAsia="宋体" w:cs="宋体"/>
          <w:color w:val="auto"/>
          <w:spacing w:val="5"/>
          <w:sz w:val="24"/>
          <w:szCs w:val="24"/>
          <w:highlight w:val="none"/>
          <w:lang w:eastAsia="zh-CN"/>
        </w:rPr>
        <w:t>工程质量保修书由买方、卖方在工程完工验收前共同签署，作为采购合同附件， 其有效期限至保修期满。</w:t>
      </w:r>
    </w:p>
    <w:p w14:paraId="039BDD6A">
      <w:pPr>
        <w:spacing w:before="78" w:line="360" w:lineRule="auto"/>
        <w:ind w:left="488"/>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3"/>
          <w:sz w:val="24"/>
          <w:szCs w:val="24"/>
          <w:highlight w:val="none"/>
          <w:lang w:eastAsia="zh-CN"/>
        </w:rPr>
        <w:t>买方（公章</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3"/>
          <w:sz w:val="24"/>
          <w:szCs w:val="24"/>
          <w:highlight w:val="none"/>
          <w:lang w:eastAsia="zh-CN"/>
        </w:rPr>
        <w:t>卖方（公章</w:t>
      </w:r>
      <w:r>
        <w:rPr>
          <w:rFonts w:hint="eastAsia" w:ascii="宋体" w:hAnsi="宋体" w:eastAsia="宋体" w:cs="宋体"/>
          <w:color w:val="auto"/>
          <w:sz w:val="24"/>
          <w:szCs w:val="24"/>
          <w:highlight w:val="none"/>
          <w:lang w:eastAsia="zh-CN"/>
        </w:rPr>
        <w:t>）：</w:t>
      </w:r>
    </w:p>
    <w:p w14:paraId="3E109B86">
      <w:pPr>
        <w:spacing w:before="215" w:line="360" w:lineRule="auto"/>
        <w:ind w:left="480"/>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
          <w:sz w:val="24"/>
          <w:szCs w:val="24"/>
          <w:highlight w:val="none"/>
          <w:lang w:eastAsia="zh-CN"/>
        </w:rPr>
        <w:t>法定代表人（签字</w:t>
      </w:r>
      <w:r>
        <w:rPr>
          <w:rFonts w:hint="eastAsia" w:ascii="宋体" w:hAnsi="宋体" w:eastAsia="宋体" w:cs="宋体"/>
          <w:color w:val="auto"/>
          <w:spacing w:val="2"/>
          <w:sz w:val="24"/>
          <w:szCs w:val="24"/>
          <w:highlight w:val="none"/>
          <w:lang w:eastAsia="zh-CN"/>
        </w:rPr>
        <w:t>）：</w:t>
      </w:r>
      <w:r>
        <w:rPr>
          <w:rFonts w:hint="eastAsia" w:ascii="宋体" w:hAnsi="宋体" w:eastAsia="宋体" w:cs="宋体"/>
          <w:color w:val="auto"/>
          <w:spacing w:val="1"/>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法定代表人（签字</w:t>
      </w:r>
      <w:r>
        <w:rPr>
          <w:rFonts w:hint="eastAsia" w:ascii="宋体" w:hAnsi="宋体" w:eastAsia="宋体" w:cs="宋体"/>
          <w:color w:val="auto"/>
          <w:spacing w:val="2"/>
          <w:sz w:val="24"/>
          <w:szCs w:val="24"/>
          <w:highlight w:val="none"/>
          <w:lang w:eastAsia="zh-CN"/>
        </w:rPr>
        <w:t>）：</w:t>
      </w:r>
    </w:p>
    <w:p w14:paraId="42CD1D92">
      <w:pPr>
        <w:pStyle w:val="46"/>
        <w:overflowPunct w:val="0"/>
        <w:topLinePunct/>
        <w:spacing w:line="360" w:lineRule="auto"/>
        <w:ind w:firstLine="472" w:firstLineChars="200"/>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lang w:eastAsia="zh-CN"/>
        </w:rPr>
        <w:t>委托代理人（签字</w:t>
      </w:r>
      <w:r>
        <w:rPr>
          <w:rFonts w:hint="eastAsia" w:ascii="宋体" w:hAnsi="宋体" w:eastAsia="宋体" w:cs="宋体"/>
          <w:color w:val="auto"/>
          <w:spacing w:val="3"/>
          <w:sz w:val="24"/>
          <w:szCs w:val="24"/>
          <w:highlight w:val="none"/>
          <w:lang w:eastAsia="zh-CN"/>
        </w:rPr>
        <w:t>）：</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pacing w:val="-2"/>
          <w:sz w:val="24"/>
          <w:szCs w:val="24"/>
          <w:highlight w:val="none"/>
          <w:lang w:eastAsia="zh-CN"/>
        </w:rPr>
        <w:t>委托代理人（签字</w:t>
      </w:r>
      <w:r>
        <w:rPr>
          <w:rFonts w:hint="eastAsia" w:ascii="宋体" w:hAnsi="宋体" w:eastAsia="宋体" w:cs="宋体"/>
          <w:color w:val="auto"/>
          <w:spacing w:val="3"/>
          <w:sz w:val="24"/>
          <w:szCs w:val="24"/>
          <w:highlight w:val="none"/>
          <w:lang w:eastAsia="zh-CN"/>
        </w:rPr>
        <w:t>）：</w:t>
      </w:r>
    </w:p>
    <w:p w14:paraId="16438C0C">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6BA4F5A6">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0E11211C">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105E80EC">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7CD036F7">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3BF1DC54">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09427DE0">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616C9382">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4C724517">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021ABE82">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5A31B624">
      <w:pPr>
        <w:keepNext w:val="0"/>
        <w:keepLines w:val="0"/>
        <w:pageBreakBefore w:val="0"/>
        <w:widowControl/>
        <w:kinsoku/>
        <w:wordWrap/>
        <w:overflowPunct/>
        <w:topLinePunct/>
        <w:autoSpaceDE/>
        <w:autoSpaceDN/>
        <w:bidi w:val="0"/>
        <w:adjustRightInd/>
        <w:snapToGrid/>
        <w:spacing w:beforeLines="0" w:after="0" w:afterLines="120" w:line="360" w:lineRule="auto"/>
        <w:ind w:firstLine="0" w:firstLineChars="0"/>
        <w:jc w:val="center"/>
        <w:textAlignment w:val="auto"/>
        <w:outlineLvl w:val="9"/>
        <w:rPr>
          <w:rFonts w:hint="eastAsia" w:ascii="宋体" w:hAnsi="宋体" w:eastAsia="宋体" w:cs="宋体"/>
          <w:snapToGrid w:val="0"/>
          <w:color w:val="auto"/>
          <w:sz w:val="24"/>
          <w:szCs w:val="24"/>
          <w:highlight w:val="none"/>
        </w:rPr>
      </w:pPr>
    </w:p>
    <w:p w14:paraId="64CE2CCD">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hint="eastAsia" w:ascii="宋体" w:hAnsi="宋体" w:eastAsia="宋体" w:cs="宋体"/>
          <w:b/>
          <w:bCs/>
          <w:color w:val="auto"/>
          <w:sz w:val="36"/>
          <w:szCs w:val="36"/>
          <w:highlight w:val="none"/>
        </w:rPr>
      </w:pPr>
      <w:bookmarkStart w:id="902" w:name="_Toc174717662"/>
      <w:bookmarkStart w:id="903" w:name="_Toc13048"/>
      <w:bookmarkStart w:id="904" w:name="_Toc23445"/>
      <w:bookmarkStart w:id="905" w:name="_Toc11634"/>
      <w:bookmarkStart w:id="906" w:name="_Toc5282"/>
      <w:bookmarkStart w:id="907" w:name="_Toc18320"/>
      <w:bookmarkStart w:id="908" w:name="_Toc31809"/>
      <w:bookmarkStart w:id="909" w:name="_Toc22652"/>
      <w:bookmarkStart w:id="910" w:name="_Toc826"/>
      <w:bookmarkStart w:id="911" w:name="_Toc2098"/>
      <w:bookmarkStart w:id="912" w:name="_Toc29014"/>
      <w:bookmarkStart w:id="913" w:name="_Toc9236"/>
      <w:bookmarkStart w:id="914" w:name="_Toc26585"/>
      <w:bookmarkStart w:id="915" w:name="_Toc29298"/>
      <w:bookmarkStart w:id="916" w:name="_Toc14921"/>
      <w:bookmarkStart w:id="917" w:name="_Toc1864"/>
      <w:bookmarkStart w:id="918" w:name="_Toc32436"/>
      <w:bookmarkStart w:id="919" w:name="_Toc11489"/>
      <w:bookmarkStart w:id="920" w:name="_Toc237"/>
      <w:bookmarkStart w:id="921" w:name="_Toc7485"/>
      <w:bookmarkStart w:id="922" w:name="_Toc12540"/>
      <w:bookmarkStart w:id="923" w:name="_Toc21199"/>
      <w:bookmarkStart w:id="924" w:name="_Toc28369"/>
      <w:bookmarkStart w:id="925" w:name="_Toc16822"/>
      <w:bookmarkStart w:id="926" w:name="_Toc2287"/>
      <w:bookmarkStart w:id="927" w:name="_Toc25058"/>
      <w:bookmarkStart w:id="928" w:name="_Toc17098"/>
      <w:bookmarkStart w:id="929" w:name="_Toc7167"/>
      <w:bookmarkStart w:id="930" w:name="_Toc8339"/>
      <w:r>
        <w:rPr>
          <w:rFonts w:hint="eastAsia" w:ascii="宋体" w:hAnsi="宋体" w:eastAsia="宋体" w:cs="宋体"/>
          <w:b/>
          <w:bCs/>
          <w:color w:val="auto"/>
          <w:sz w:val="36"/>
          <w:szCs w:val="36"/>
          <w:highlight w:val="none"/>
        </w:rPr>
        <w:t>第五章  招标内容</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p>
    <w:p w14:paraId="685EEDB9">
      <w:pPr>
        <w:pStyle w:val="55"/>
        <w:topLinePunct/>
        <w:adjustRightInd w:val="0"/>
        <w:snapToGrid w:val="0"/>
        <w:spacing w:beforeLines="0" w:afterLines="0" w:line="360" w:lineRule="auto"/>
        <w:ind w:firstLine="480" w:firstLineChars="200"/>
        <w:rPr>
          <w:rFonts w:hint="eastAsia" w:ascii="宋体" w:hAnsi="宋体" w:eastAsia="宋体" w:cs="宋体"/>
          <w:b w:val="0"/>
          <w:bCs w:val="0"/>
          <w:snapToGrid w:val="0"/>
          <w:color w:val="auto"/>
          <w:sz w:val="24"/>
          <w:szCs w:val="24"/>
          <w:highlight w:val="none"/>
          <w:lang w:eastAsia="zh-CN"/>
        </w:rPr>
      </w:pPr>
      <w:r>
        <w:rPr>
          <w:rFonts w:hint="eastAsia" w:ascii="宋体" w:hAnsi="宋体" w:eastAsia="宋体" w:cs="宋体"/>
          <w:b w:val="0"/>
          <w:bCs w:val="0"/>
          <w:snapToGrid w:val="0"/>
          <w:color w:val="auto"/>
          <w:sz w:val="24"/>
          <w:szCs w:val="24"/>
          <w:highlight w:val="none"/>
          <w:lang w:val="en-US" w:eastAsia="zh-CN"/>
        </w:rPr>
        <w:t>本工程</w:t>
      </w:r>
      <w:r>
        <w:rPr>
          <w:rFonts w:hint="eastAsia" w:ascii="宋体" w:hAnsi="宋体" w:eastAsia="宋体" w:cs="宋体"/>
          <w:b w:val="0"/>
          <w:bCs w:val="0"/>
          <w:snapToGrid w:val="0"/>
          <w:color w:val="auto"/>
          <w:sz w:val="24"/>
          <w:szCs w:val="24"/>
          <w:highlight w:val="none"/>
          <w:lang w:eastAsia="zh-CN"/>
        </w:rPr>
        <w:t>招标范围为</w:t>
      </w:r>
      <w:r>
        <w:rPr>
          <w:rFonts w:hint="eastAsia" w:ascii="宋体" w:hAnsi="宋体" w:eastAsia="宋体" w:cs="宋体"/>
          <w:b w:val="0"/>
          <w:bCs w:val="0"/>
          <w:snapToGrid w:val="0"/>
          <w:color w:val="auto"/>
          <w:sz w:val="24"/>
          <w:szCs w:val="24"/>
          <w:highlight w:val="none"/>
          <w:lang w:val="en-US" w:eastAsia="zh-CN"/>
        </w:rPr>
        <w:t>浙江镜岭水库工程汤浦分水口闸室、大王塘支洞、砩前至黄金仲管道段、谷来支洞、石璜江管道段、郯城江管道段的阀门、伸缩节、法兰、起重机、流量计、调节阀状态监测系统传感器、空气阀状态监测系统传感器、水锤仿真系统传感器、水位计等</w:t>
      </w:r>
      <w:r>
        <w:rPr>
          <w:rFonts w:hint="eastAsia" w:ascii="宋体" w:hAnsi="宋体" w:eastAsia="宋体" w:cs="宋体"/>
          <w:b w:val="0"/>
          <w:bCs w:val="0"/>
          <w:snapToGrid w:val="0"/>
          <w:color w:val="auto"/>
          <w:sz w:val="24"/>
          <w:szCs w:val="24"/>
          <w:highlight w:val="none"/>
          <w:lang w:eastAsia="zh-CN"/>
        </w:rPr>
        <w:t>，具体详</w:t>
      </w:r>
      <w:r>
        <w:rPr>
          <w:rFonts w:hint="eastAsia" w:ascii="宋体" w:hAnsi="宋体" w:eastAsia="宋体" w:cs="宋体"/>
          <w:b w:val="0"/>
          <w:bCs w:val="0"/>
          <w:snapToGrid w:val="0"/>
          <w:color w:val="auto"/>
          <w:sz w:val="24"/>
          <w:szCs w:val="24"/>
          <w:highlight w:val="none"/>
          <w:lang w:val="en-US" w:eastAsia="zh-CN"/>
        </w:rPr>
        <w:t>见表5-1</w:t>
      </w:r>
      <w:r>
        <w:rPr>
          <w:rFonts w:hint="eastAsia" w:ascii="宋体" w:hAnsi="宋体" w:eastAsia="宋体" w:cs="宋体"/>
          <w:b w:val="0"/>
          <w:bCs w:val="0"/>
          <w:snapToGrid w:val="0"/>
          <w:color w:val="auto"/>
          <w:sz w:val="24"/>
          <w:szCs w:val="24"/>
          <w:highlight w:val="none"/>
          <w:lang w:eastAsia="zh-CN"/>
        </w:rPr>
        <w:t>。</w:t>
      </w:r>
    </w:p>
    <w:p w14:paraId="29724432">
      <w:pPr>
        <w:pStyle w:val="55"/>
        <w:topLinePunct/>
        <w:adjustRightInd w:val="0"/>
        <w:snapToGrid w:val="0"/>
        <w:spacing w:beforeLines="0" w:afterLines="0" w:line="360" w:lineRule="auto"/>
        <w:ind w:firstLine="480" w:firstLineChars="200"/>
        <w:jc w:val="both"/>
        <w:rPr>
          <w:rFonts w:hint="eastAsia" w:ascii="宋体" w:hAnsi="宋体" w:eastAsia="宋体" w:cs="宋体"/>
          <w:b w:val="0"/>
          <w:bCs w:val="0"/>
          <w:i w:val="0"/>
          <w:iCs w:val="0"/>
          <w:snapToGrid w:val="0"/>
          <w:color w:val="auto"/>
          <w:kern w:val="2"/>
          <w:sz w:val="24"/>
          <w:szCs w:val="24"/>
          <w:highlight w:val="none"/>
          <w:u w:val="none"/>
          <w:lang w:val="en-US" w:eastAsia="zh-CN" w:bidi="ar-SA"/>
        </w:rPr>
        <w:sectPr>
          <w:pgSz w:w="11907" w:h="16840"/>
          <w:pgMar w:top="1418" w:right="1559" w:bottom="1418" w:left="1474" w:header="0" w:footer="723" w:gutter="0"/>
          <w:pgNumType w:fmt="decimal"/>
          <w:cols w:space="720" w:num="1"/>
        </w:sectPr>
      </w:pPr>
    </w:p>
    <w:p w14:paraId="7381DA77">
      <w:pPr>
        <w:pStyle w:val="55"/>
        <w:topLinePunct/>
        <w:adjustRightInd w:val="0"/>
        <w:snapToGrid w:val="0"/>
        <w:spacing w:beforeLines="0" w:afterLines="0" w:line="360" w:lineRule="auto"/>
        <w:jc w:val="both"/>
        <w:rPr>
          <w:rFonts w:hint="default" w:ascii="黑体" w:hAnsi="黑体" w:eastAsia="黑体" w:cs="黑体"/>
          <w:b w:val="0"/>
          <w:bCs w:val="0"/>
          <w:i w:val="0"/>
          <w:iCs w:val="0"/>
          <w:snapToGrid w:val="0"/>
          <w:color w:val="auto"/>
          <w:kern w:val="2"/>
          <w:sz w:val="24"/>
          <w:szCs w:val="24"/>
          <w:highlight w:val="none"/>
          <w:u w:val="none"/>
          <w:lang w:val="en-US" w:eastAsia="zh-CN" w:bidi="ar-SA"/>
        </w:rPr>
      </w:pPr>
      <w:r>
        <w:rPr>
          <w:rFonts w:hint="eastAsia" w:ascii="宋体" w:hAnsi="宋体" w:eastAsia="宋体" w:cs="宋体"/>
          <w:b w:val="0"/>
          <w:bCs w:val="0"/>
          <w:i w:val="0"/>
          <w:iCs w:val="0"/>
          <w:snapToGrid w:val="0"/>
          <w:color w:val="auto"/>
          <w:kern w:val="2"/>
          <w:sz w:val="24"/>
          <w:szCs w:val="24"/>
          <w:highlight w:val="none"/>
          <w:u w:val="none"/>
          <w:lang w:val="en-US" w:eastAsia="zh-CN" w:bidi="ar-SA"/>
        </w:rPr>
        <w:t xml:space="preserve">表5-1         </w:t>
      </w:r>
      <w:r>
        <w:rPr>
          <w:rFonts w:hint="eastAsia" w:ascii="黑体" w:hAnsi="黑体" w:eastAsia="黑体" w:cs="黑体"/>
          <w:b w:val="0"/>
          <w:bCs w:val="0"/>
          <w:i w:val="0"/>
          <w:iCs w:val="0"/>
          <w:snapToGrid w:val="0"/>
          <w:color w:val="auto"/>
          <w:kern w:val="2"/>
          <w:sz w:val="24"/>
          <w:szCs w:val="24"/>
          <w:highlight w:val="none"/>
          <w:u w:val="none"/>
          <w:lang w:val="en-US" w:eastAsia="zh-CN" w:bidi="ar-SA"/>
        </w:rPr>
        <w:t xml:space="preserve">                      浙江镜岭水库工程阀门等设备采购数量有品牌要求表</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16"/>
        <w:gridCol w:w="3216"/>
        <w:gridCol w:w="4432"/>
        <w:gridCol w:w="616"/>
        <w:gridCol w:w="616"/>
        <w:gridCol w:w="617"/>
        <w:gridCol w:w="648"/>
        <w:gridCol w:w="3453"/>
      </w:tblGrid>
      <w:tr w14:paraId="7EE1D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blHeader/>
        </w:trPr>
        <w:tc>
          <w:tcPr>
            <w:tcW w:w="238" w:type="pct"/>
            <w:tcBorders>
              <w:top w:val="single" w:color="000000" w:sz="4" w:space="0"/>
              <w:left w:val="single" w:color="000000" w:sz="4" w:space="0"/>
              <w:bottom w:val="single" w:color="000000" w:sz="4" w:space="0"/>
              <w:right w:val="single" w:color="000000" w:sz="4" w:space="0"/>
            </w:tcBorders>
            <w:noWrap/>
            <w:vAlign w:val="center"/>
          </w:tcPr>
          <w:p w14:paraId="20F30C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序号</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F76A9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12475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规格型号</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018F3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CEE39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65E175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单价</w:t>
            </w:r>
          </w:p>
          <w:p w14:paraId="1FB531C5">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(元)</w:t>
            </w: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2C8C34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合价</w:t>
            </w:r>
          </w:p>
          <w:p w14:paraId="1D0F0AA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(元)</w:t>
            </w: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4EE77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品牌要求</w:t>
            </w:r>
          </w:p>
        </w:tc>
      </w:tr>
      <w:tr w14:paraId="4DC97D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61592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一</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A7962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C828D50">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E5929F9">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F77FAC8">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53C295B">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4F07A08">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DA9FC48">
            <w:pPr>
              <w:jc w:val="center"/>
              <w:rPr>
                <w:rFonts w:hint="eastAsia" w:ascii="宋体" w:hAnsi="宋体" w:eastAsia="宋体" w:cs="宋体"/>
                <w:i w:val="0"/>
                <w:iCs w:val="0"/>
                <w:color w:val="auto"/>
                <w:sz w:val="20"/>
                <w:szCs w:val="20"/>
                <w:highlight w:val="none"/>
                <w:u w:val="none"/>
              </w:rPr>
            </w:pPr>
          </w:p>
        </w:tc>
      </w:tr>
      <w:tr w14:paraId="413C24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8EFA8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(一)</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A679D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蝶阀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D558970">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B5465B7">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53E4439">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4DFB9DE">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8B66450">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4EC7C3D">
            <w:pPr>
              <w:jc w:val="center"/>
              <w:rPr>
                <w:rFonts w:hint="eastAsia" w:ascii="宋体" w:hAnsi="宋体" w:eastAsia="宋体" w:cs="宋体"/>
                <w:i w:val="0"/>
                <w:iCs w:val="0"/>
                <w:color w:val="auto"/>
                <w:sz w:val="20"/>
                <w:szCs w:val="20"/>
                <w:highlight w:val="none"/>
                <w:u w:val="none"/>
              </w:rPr>
            </w:pPr>
          </w:p>
        </w:tc>
      </w:tr>
      <w:tr w14:paraId="4B8810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2FD25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E0BDB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E3E53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DN2600，PN16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AB1A5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640D8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109938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7C65D6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7CDA2CE6">
            <w:pPr>
              <w:keepNext w:val="0"/>
              <w:keepLines w:val="0"/>
              <w:widowControl/>
              <w:suppressLineNumbers w:val="0"/>
              <w:jc w:val="center"/>
              <w:textAlignment w:val="center"/>
              <w:rPr>
                <w:rFonts w:ascii="微软雅黑" w:hAnsi="微软雅黑" w:eastAsia="微软雅黑" w:cs="微软雅黑"/>
                <w:i w:val="0"/>
                <w:iCs w:val="0"/>
                <w:color w:val="auto"/>
                <w:sz w:val="18"/>
                <w:szCs w:val="18"/>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VAG、AVK、上海冠龙、湖北洪城、中核苏阀或其他同等档次及以上品牌</w:t>
            </w:r>
          </w:p>
        </w:tc>
      </w:tr>
      <w:tr w14:paraId="6FD9EA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D3339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E2379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76B82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DN1800，PN16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AA96B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21F31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B61DA5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C4E638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38A2F64">
            <w:pPr>
              <w:jc w:val="center"/>
              <w:rPr>
                <w:rFonts w:hint="eastAsia" w:ascii="微软雅黑" w:hAnsi="微软雅黑" w:eastAsia="微软雅黑" w:cs="微软雅黑"/>
                <w:i w:val="0"/>
                <w:iCs w:val="0"/>
                <w:color w:val="auto"/>
                <w:sz w:val="18"/>
                <w:szCs w:val="18"/>
                <w:highlight w:val="none"/>
                <w:u w:val="none"/>
              </w:rPr>
            </w:pPr>
          </w:p>
        </w:tc>
      </w:tr>
      <w:tr w14:paraId="31A125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F4420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798D8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C33DA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FC66D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7DD06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F6A5A7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B1578E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7B9CEEA">
            <w:pPr>
              <w:jc w:val="center"/>
              <w:rPr>
                <w:rFonts w:hint="eastAsia" w:ascii="微软雅黑" w:hAnsi="微软雅黑" w:eastAsia="微软雅黑" w:cs="微软雅黑"/>
                <w:i w:val="0"/>
                <w:iCs w:val="0"/>
                <w:color w:val="auto"/>
                <w:sz w:val="18"/>
                <w:szCs w:val="18"/>
                <w:highlight w:val="none"/>
                <w:u w:val="none"/>
              </w:rPr>
            </w:pPr>
          </w:p>
        </w:tc>
      </w:tr>
      <w:tr w14:paraId="2A610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38030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61ABB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AE50B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AA00D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FF92D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CBF94C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B51795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84DDDF4">
            <w:pPr>
              <w:jc w:val="center"/>
              <w:rPr>
                <w:rFonts w:hint="eastAsia" w:ascii="微软雅黑" w:hAnsi="微软雅黑" w:eastAsia="微软雅黑" w:cs="微软雅黑"/>
                <w:i w:val="0"/>
                <w:iCs w:val="0"/>
                <w:color w:val="auto"/>
                <w:sz w:val="18"/>
                <w:szCs w:val="18"/>
                <w:highlight w:val="none"/>
                <w:u w:val="none"/>
              </w:rPr>
            </w:pPr>
          </w:p>
        </w:tc>
      </w:tr>
      <w:tr w14:paraId="4C404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72D35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(二)</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B3E0D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37558A3">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0DDBAF2">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19DD864">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CA16BA8">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B7187FD">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07F8457">
            <w:pPr>
              <w:jc w:val="center"/>
              <w:rPr>
                <w:rFonts w:hint="eastAsia" w:ascii="宋体" w:hAnsi="宋体" w:eastAsia="宋体" w:cs="宋体"/>
                <w:i w:val="0"/>
                <w:iCs w:val="0"/>
                <w:color w:val="auto"/>
                <w:sz w:val="20"/>
                <w:szCs w:val="20"/>
                <w:highlight w:val="none"/>
                <w:u w:val="none"/>
              </w:rPr>
            </w:pPr>
          </w:p>
        </w:tc>
      </w:tr>
      <w:tr w14:paraId="4D5CC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F7E11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8C8C6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手动偏心半球阀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4408F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19BE8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35E93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5821E9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D78C6F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4C20A7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株洲南方、上海冠龙、VAG、武汉大禹、安徽红星或其他同等档次及以上品牌</w:t>
            </w:r>
          </w:p>
        </w:tc>
      </w:tr>
      <w:tr w14:paraId="4E2E4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F3352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A8C74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0F71D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E5921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6D76F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58E6C2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44D37D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60FF0A0">
            <w:pPr>
              <w:jc w:val="center"/>
              <w:rPr>
                <w:rFonts w:hint="eastAsia" w:ascii="宋体" w:hAnsi="宋体" w:eastAsia="宋体" w:cs="宋体"/>
                <w:i w:val="0"/>
                <w:iCs w:val="0"/>
                <w:color w:val="auto"/>
                <w:sz w:val="20"/>
                <w:szCs w:val="20"/>
                <w:highlight w:val="none"/>
                <w:u w:val="none"/>
              </w:rPr>
            </w:pPr>
          </w:p>
        </w:tc>
      </w:tr>
      <w:tr w14:paraId="519E3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59BC1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DEDE1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48473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F528D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8B113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3AB1AB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EFBFEE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222C192">
            <w:pPr>
              <w:jc w:val="center"/>
              <w:rPr>
                <w:rFonts w:hint="eastAsia" w:ascii="宋体" w:hAnsi="宋体" w:eastAsia="宋体" w:cs="宋体"/>
                <w:i w:val="0"/>
                <w:iCs w:val="0"/>
                <w:color w:val="auto"/>
                <w:sz w:val="20"/>
                <w:szCs w:val="20"/>
                <w:highlight w:val="none"/>
                <w:u w:val="none"/>
              </w:rPr>
            </w:pPr>
          </w:p>
        </w:tc>
      </w:tr>
      <w:tr w14:paraId="5D93D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2666D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B5E5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D88C9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33E8E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6A928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1121D3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27722C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7A51F3FD">
            <w:pPr>
              <w:jc w:val="center"/>
              <w:rPr>
                <w:rFonts w:hint="eastAsia" w:ascii="宋体" w:hAnsi="宋体" w:eastAsia="宋体" w:cs="宋体"/>
                <w:i w:val="0"/>
                <w:iCs w:val="0"/>
                <w:color w:val="auto"/>
                <w:sz w:val="20"/>
                <w:szCs w:val="20"/>
                <w:highlight w:val="none"/>
                <w:u w:val="none"/>
              </w:rPr>
            </w:pPr>
          </w:p>
        </w:tc>
      </w:tr>
      <w:tr w14:paraId="4E768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E98A2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64394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C8B4A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32260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605B3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B37CD9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AF3054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96817FA">
            <w:pPr>
              <w:jc w:val="center"/>
              <w:rPr>
                <w:rFonts w:hint="eastAsia" w:ascii="宋体" w:hAnsi="宋体" w:eastAsia="宋体" w:cs="宋体"/>
                <w:i w:val="0"/>
                <w:iCs w:val="0"/>
                <w:color w:val="auto"/>
                <w:sz w:val="20"/>
                <w:szCs w:val="20"/>
                <w:highlight w:val="none"/>
                <w:u w:val="none"/>
              </w:rPr>
            </w:pPr>
          </w:p>
        </w:tc>
      </w:tr>
      <w:tr w14:paraId="5EDF41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0396F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9B33A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080AC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3B882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DAAD6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8CE593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BE8A60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09D5749">
            <w:pPr>
              <w:jc w:val="center"/>
              <w:rPr>
                <w:rFonts w:hint="eastAsia" w:ascii="宋体" w:hAnsi="宋体" w:eastAsia="宋体" w:cs="宋体"/>
                <w:i w:val="0"/>
                <w:iCs w:val="0"/>
                <w:color w:val="auto"/>
                <w:sz w:val="20"/>
                <w:szCs w:val="20"/>
                <w:highlight w:val="none"/>
                <w:u w:val="none"/>
              </w:rPr>
            </w:pPr>
          </w:p>
        </w:tc>
      </w:tr>
      <w:tr w14:paraId="6B4CB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AC448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7775F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B3444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9FF73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6F9B3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2F2B10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A4019D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C0C1022">
            <w:pPr>
              <w:jc w:val="center"/>
              <w:rPr>
                <w:rFonts w:hint="eastAsia" w:ascii="宋体" w:hAnsi="宋体" w:eastAsia="宋体" w:cs="宋体"/>
                <w:i w:val="0"/>
                <w:iCs w:val="0"/>
                <w:color w:val="auto"/>
                <w:sz w:val="20"/>
                <w:szCs w:val="20"/>
                <w:highlight w:val="none"/>
                <w:u w:val="none"/>
              </w:rPr>
            </w:pPr>
          </w:p>
        </w:tc>
      </w:tr>
      <w:tr w14:paraId="666E20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09575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(三)</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E1668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活塞(调流)阀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092343D">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845DB1B">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48C4303">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0D610BD">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85966A8">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EF5AE4A">
            <w:pPr>
              <w:jc w:val="center"/>
              <w:rPr>
                <w:rFonts w:hint="eastAsia" w:ascii="宋体" w:hAnsi="宋体" w:eastAsia="宋体" w:cs="宋体"/>
                <w:i w:val="0"/>
                <w:iCs w:val="0"/>
                <w:color w:val="auto"/>
                <w:sz w:val="20"/>
                <w:szCs w:val="20"/>
                <w:highlight w:val="none"/>
                <w:u w:val="none"/>
              </w:rPr>
            </w:pPr>
          </w:p>
        </w:tc>
      </w:tr>
      <w:tr w14:paraId="11725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702CC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33D8F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活塞式调流阀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32ED0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DB7FD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961EE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66B87A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08AEDA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603A1E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VAG、AVK、上海冠龙、易华德、湖北洪城或其他同等档次及以上品牌</w:t>
            </w:r>
          </w:p>
        </w:tc>
      </w:tr>
      <w:tr w14:paraId="3A83B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4434F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9D553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活塞式调流阀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4342D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F9BD0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607C5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DA431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C8D8D9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2D15301">
            <w:pPr>
              <w:jc w:val="center"/>
              <w:rPr>
                <w:rFonts w:hint="eastAsia" w:ascii="宋体" w:hAnsi="宋体" w:eastAsia="宋体" w:cs="宋体"/>
                <w:i w:val="0"/>
                <w:iCs w:val="0"/>
                <w:color w:val="auto"/>
                <w:sz w:val="20"/>
                <w:szCs w:val="20"/>
                <w:highlight w:val="none"/>
                <w:u w:val="none"/>
              </w:rPr>
            </w:pPr>
          </w:p>
        </w:tc>
      </w:tr>
      <w:tr w14:paraId="6AA57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3D197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4B1B8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活塞式调流阀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3874F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CC450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9E2E0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298FD7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7FFB9C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CDDD919">
            <w:pPr>
              <w:jc w:val="center"/>
              <w:rPr>
                <w:rFonts w:hint="eastAsia" w:ascii="宋体" w:hAnsi="宋体" w:eastAsia="宋体" w:cs="宋体"/>
                <w:i w:val="0"/>
                <w:iCs w:val="0"/>
                <w:color w:val="auto"/>
                <w:sz w:val="20"/>
                <w:szCs w:val="20"/>
                <w:highlight w:val="none"/>
                <w:u w:val="none"/>
              </w:rPr>
            </w:pPr>
          </w:p>
        </w:tc>
      </w:tr>
      <w:tr w14:paraId="56B5C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2A11A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(四)</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E112A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固定锥阀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3D1E79F">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7E48447">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E432BFE">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8DB1325">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0744B64">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58EC201">
            <w:pPr>
              <w:jc w:val="center"/>
              <w:rPr>
                <w:rFonts w:hint="eastAsia" w:ascii="宋体" w:hAnsi="宋体" w:eastAsia="宋体" w:cs="宋体"/>
                <w:i w:val="0"/>
                <w:iCs w:val="0"/>
                <w:color w:val="auto"/>
                <w:sz w:val="20"/>
                <w:szCs w:val="20"/>
                <w:highlight w:val="none"/>
                <w:u w:val="none"/>
              </w:rPr>
            </w:pPr>
          </w:p>
        </w:tc>
      </w:tr>
      <w:tr w14:paraId="24DF2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6F22B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FC5A7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手电两用固定锥形阀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3399E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70F09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CB82A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FA0FDD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3AEA63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3F459A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AVK、上海冠龙、VAG、湖北洪城、武汉大禹或其他同等档次及以上品牌</w:t>
            </w:r>
          </w:p>
        </w:tc>
      </w:tr>
      <w:tr w14:paraId="35AAE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8B024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34C5D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手电两用固定锥形阀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B087A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2CD4C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185AE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ED7182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3ED92A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648561D">
            <w:pPr>
              <w:jc w:val="center"/>
              <w:rPr>
                <w:rFonts w:hint="eastAsia" w:ascii="宋体" w:hAnsi="宋体" w:eastAsia="宋体" w:cs="宋体"/>
                <w:i w:val="0"/>
                <w:iCs w:val="0"/>
                <w:color w:val="auto"/>
                <w:sz w:val="20"/>
                <w:szCs w:val="20"/>
                <w:highlight w:val="none"/>
                <w:u w:val="none"/>
              </w:rPr>
            </w:pPr>
          </w:p>
        </w:tc>
      </w:tr>
      <w:tr w14:paraId="62855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BEA90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2B747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手电两用固定锥形阀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E3DC4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D0821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CBCEE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123120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5A2532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456F65">
            <w:pPr>
              <w:jc w:val="center"/>
              <w:rPr>
                <w:rFonts w:hint="eastAsia" w:ascii="宋体" w:hAnsi="宋体" w:eastAsia="宋体" w:cs="宋体"/>
                <w:i w:val="0"/>
                <w:iCs w:val="0"/>
                <w:color w:val="auto"/>
                <w:sz w:val="20"/>
                <w:szCs w:val="20"/>
                <w:highlight w:val="none"/>
                <w:u w:val="none"/>
              </w:rPr>
            </w:pPr>
          </w:p>
        </w:tc>
      </w:tr>
      <w:tr w14:paraId="72D79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DB444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5DA7C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手动固定锥形阀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2AAC4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33929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A980C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2D8733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4DA471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1291679">
            <w:pPr>
              <w:jc w:val="center"/>
              <w:rPr>
                <w:rFonts w:hint="eastAsia" w:ascii="宋体" w:hAnsi="宋体" w:eastAsia="宋体" w:cs="宋体"/>
                <w:i w:val="0"/>
                <w:iCs w:val="0"/>
                <w:color w:val="auto"/>
                <w:sz w:val="20"/>
                <w:szCs w:val="20"/>
                <w:highlight w:val="none"/>
                <w:u w:val="none"/>
              </w:rPr>
            </w:pPr>
          </w:p>
        </w:tc>
      </w:tr>
      <w:tr w14:paraId="1F487B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9D0A5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(五)</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A66C6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复合式空气阀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6A7916E">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84A2EC6">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129A62A">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5568858">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49C46E4">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A893218">
            <w:pPr>
              <w:jc w:val="center"/>
              <w:rPr>
                <w:rFonts w:hint="eastAsia" w:ascii="宋体" w:hAnsi="宋体" w:eastAsia="宋体" w:cs="宋体"/>
                <w:i w:val="0"/>
                <w:iCs w:val="0"/>
                <w:color w:val="auto"/>
                <w:sz w:val="20"/>
                <w:szCs w:val="20"/>
                <w:highlight w:val="none"/>
                <w:u w:val="none"/>
              </w:rPr>
            </w:pPr>
          </w:p>
        </w:tc>
      </w:tr>
      <w:tr w14:paraId="2C24C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733E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7A8B70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复合式空气阀(含1mDN200短支管)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01B23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76FEB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D0F8A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D7C0E6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D26C6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3AA56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安徽天海流体、安徽红星、安徽铜都、株洲南方、武汉大禹或其他同等档次及以上品牌</w:t>
            </w:r>
          </w:p>
        </w:tc>
      </w:tr>
      <w:tr w14:paraId="3F173A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877FB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(六)</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0BB350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多功能斜板阀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1340C582">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6B00FF4">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5EA253E">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A2863E2">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B081B8E">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01CBDBB">
            <w:pPr>
              <w:jc w:val="center"/>
              <w:rPr>
                <w:rFonts w:hint="eastAsia" w:ascii="宋体" w:hAnsi="宋体" w:eastAsia="宋体" w:cs="宋体"/>
                <w:i w:val="0"/>
                <w:iCs w:val="0"/>
                <w:color w:val="auto"/>
                <w:sz w:val="20"/>
                <w:szCs w:val="20"/>
                <w:highlight w:val="none"/>
                <w:u w:val="none"/>
              </w:rPr>
            </w:pPr>
          </w:p>
        </w:tc>
      </w:tr>
      <w:tr w14:paraId="41BE34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48FEC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3C531D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多功能斜板阀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47E543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740BE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706D8E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F3699D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9CB724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AC2AB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株洲南方、安徽红星、武汉大禹、安徽天海流体、湖北洪城或其他同等档次及以上品牌</w:t>
            </w:r>
          </w:p>
        </w:tc>
      </w:tr>
      <w:tr w14:paraId="08535F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9AC34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(七)</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23FDB0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6374FF5D">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1BDAFF2">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424EA5E">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E506663">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F341CB6">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5297DAA">
            <w:pPr>
              <w:jc w:val="center"/>
              <w:rPr>
                <w:rFonts w:hint="eastAsia" w:ascii="宋体" w:hAnsi="宋体" w:eastAsia="宋体" w:cs="宋体"/>
                <w:i w:val="0"/>
                <w:iCs w:val="0"/>
                <w:color w:val="auto"/>
                <w:sz w:val="20"/>
                <w:szCs w:val="20"/>
                <w:highlight w:val="none"/>
                <w:u w:val="none"/>
              </w:rPr>
            </w:pPr>
          </w:p>
        </w:tc>
      </w:tr>
      <w:tr w14:paraId="667CC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28D00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15AF0B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020787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9035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44D3AE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B643BE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E95427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7A7503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安徽天海流体、安徽红星、安徽铜都、武汉大禹、株洲南方或其他同等档次及以上品牌</w:t>
            </w:r>
          </w:p>
        </w:tc>
      </w:tr>
      <w:tr w14:paraId="333631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1F211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0AEE15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7BCD8E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94866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42DA49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7A9EA9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6C1C26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71F50F3">
            <w:pPr>
              <w:jc w:val="center"/>
              <w:rPr>
                <w:rFonts w:hint="eastAsia" w:ascii="宋体" w:hAnsi="宋体" w:eastAsia="宋体" w:cs="宋体"/>
                <w:i w:val="0"/>
                <w:iCs w:val="0"/>
                <w:color w:val="auto"/>
                <w:sz w:val="20"/>
                <w:szCs w:val="20"/>
                <w:highlight w:val="none"/>
                <w:u w:val="none"/>
              </w:rPr>
            </w:pPr>
          </w:p>
        </w:tc>
      </w:tr>
      <w:tr w14:paraId="0239C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D3658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11CDA7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162341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3F808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4B1AB2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65DF32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964C37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8D1BDCD">
            <w:pPr>
              <w:jc w:val="center"/>
              <w:rPr>
                <w:rFonts w:hint="eastAsia" w:ascii="宋体" w:hAnsi="宋体" w:eastAsia="宋体" w:cs="宋体"/>
                <w:i w:val="0"/>
                <w:iCs w:val="0"/>
                <w:color w:val="auto"/>
                <w:sz w:val="20"/>
                <w:szCs w:val="20"/>
                <w:highlight w:val="none"/>
                <w:u w:val="none"/>
              </w:rPr>
            </w:pPr>
          </w:p>
        </w:tc>
      </w:tr>
      <w:tr w14:paraId="4DC49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D9F98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274D0A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21892B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AB5F7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4230AB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15F9F8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867C1A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0CBC6AC">
            <w:pPr>
              <w:jc w:val="center"/>
              <w:rPr>
                <w:rFonts w:hint="eastAsia" w:ascii="宋体" w:hAnsi="宋体" w:eastAsia="宋体" w:cs="宋体"/>
                <w:i w:val="0"/>
                <w:iCs w:val="0"/>
                <w:color w:val="auto"/>
                <w:sz w:val="20"/>
                <w:szCs w:val="20"/>
                <w:highlight w:val="none"/>
                <w:u w:val="none"/>
              </w:rPr>
            </w:pPr>
          </w:p>
        </w:tc>
      </w:tr>
      <w:tr w14:paraId="33A87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45394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55E5E7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422C3E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5418A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7834DD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AD2FF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263DCA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E79BCDA">
            <w:pPr>
              <w:jc w:val="center"/>
              <w:rPr>
                <w:rFonts w:hint="eastAsia" w:ascii="宋体" w:hAnsi="宋体" w:eastAsia="宋体" w:cs="宋体"/>
                <w:i w:val="0"/>
                <w:iCs w:val="0"/>
                <w:color w:val="auto"/>
                <w:sz w:val="20"/>
                <w:szCs w:val="20"/>
                <w:highlight w:val="none"/>
                <w:u w:val="none"/>
              </w:rPr>
            </w:pPr>
          </w:p>
        </w:tc>
      </w:tr>
      <w:tr w14:paraId="40689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D90AD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1D9EDA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071A46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6762B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6B8427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BA1E27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D68BFE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70AB2F6">
            <w:pPr>
              <w:jc w:val="center"/>
              <w:rPr>
                <w:rFonts w:hint="eastAsia" w:ascii="宋体" w:hAnsi="宋体" w:eastAsia="宋体" w:cs="宋体"/>
                <w:i w:val="0"/>
                <w:iCs w:val="0"/>
                <w:color w:val="auto"/>
                <w:sz w:val="20"/>
                <w:szCs w:val="20"/>
                <w:highlight w:val="none"/>
                <w:u w:val="none"/>
              </w:rPr>
            </w:pPr>
          </w:p>
        </w:tc>
      </w:tr>
      <w:tr w14:paraId="36A4C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F9ED0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(八)</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7946BD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止回阀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428424BC">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05D653D">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B7EEEE5">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27D24C5">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3A073EF">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A466009">
            <w:pPr>
              <w:jc w:val="center"/>
              <w:rPr>
                <w:rFonts w:hint="eastAsia" w:ascii="宋体" w:hAnsi="宋体" w:eastAsia="宋体" w:cs="宋体"/>
                <w:i w:val="0"/>
                <w:iCs w:val="0"/>
                <w:color w:val="auto"/>
                <w:sz w:val="20"/>
                <w:szCs w:val="20"/>
                <w:highlight w:val="none"/>
                <w:u w:val="none"/>
              </w:rPr>
            </w:pPr>
          </w:p>
        </w:tc>
      </w:tr>
      <w:tr w14:paraId="788CF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731A0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30C58B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静音止回阀</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6B14D3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0F554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3D192D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41024C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9E294C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06EC12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安徽天海流体、安徽红星、安徽铜都、武汉大禹、株洲南方或其他同等档次及以上品牌</w:t>
            </w:r>
          </w:p>
        </w:tc>
      </w:tr>
      <w:tr w14:paraId="4F646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BE74F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E4F17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止回阀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C13FC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99F60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86D90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1EB16D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97344E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0F0528">
            <w:pPr>
              <w:jc w:val="center"/>
              <w:rPr>
                <w:rFonts w:hint="eastAsia" w:ascii="宋体" w:hAnsi="宋体" w:eastAsia="宋体" w:cs="宋体"/>
                <w:i w:val="0"/>
                <w:iCs w:val="0"/>
                <w:color w:val="auto"/>
                <w:sz w:val="20"/>
                <w:szCs w:val="20"/>
                <w:highlight w:val="none"/>
                <w:u w:val="none"/>
              </w:rPr>
            </w:pPr>
          </w:p>
        </w:tc>
      </w:tr>
      <w:tr w14:paraId="3974C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C945A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D7EA4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止回阀</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D6393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CC971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CCCB1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9C2E2C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73A3F3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8F5F68E">
            <w:pPr>
              <w:jc w:val="center"/>
              <w:rPr>
                <w:rFonts w:hint="eastAsia" w:ascii="宋体" w:hAnsi="宋体" w:eastAsia="宋体" w:cs="宋体"/>
                <w:i w:val="0"/>
                <w:iCs w:val="0"/>
                <w:color w:val="auto"/>
                <w:sz w:val="20"/>
                <w:szCs w:val="20"/>
                <w:highlight w:val="none"/>
                <w:u w:val="none"/>
              </w:rPr>
            </w:pPr>
          </w:p>
        </w:tc>
      </w:tr>
      <w:tr w14:paraId="0DD7E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CE319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二</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70D0C45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流量调节阀状态监测系统硬件</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383444AE">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D0E2727">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A9770AA">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2D5DE7E">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7F4BFF5">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7B53D8A">
            <w:pPr>
              <w:rPr>
                <w:rFonts w:hint="eastAsia" w:ascii="宋体" w:hAnsi="宋体" w:eastAsia="宋体" w:cs="宋体"/>
                <w:i w:val="0"/>
                <w:iCs w:val="0"/>
                <w:color w:val="auto"/>
                <w:sz w:val="20"/>
                <w:szCs w:val="20"/>
                <w:highlight w:val="none"/>
                <w:u w:val="none"/>
              </w:rPr>
            </w:pPr>
          </w:p>
        </w:tc>
      </w:tr>
      <w:tr w14:paraId="44956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1"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D080C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4B4C3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振动传感器</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288255E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阀门外壳X、Y方向振动监测，采用速度型振动传感器，具体要求如下：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1)频响范围：1 Hz～1000  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2)线性测量范围：0 mm/s～100   mm/s(0～峰值)或0μm～500 μm(峰一峰值);</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3)幅值非线性度：≤±5%;</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4)工作温度：0℃~+125 ℃。</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6D3BF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3234F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8F7336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8133CA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470C925">
            <w:pPr>
              <w:rPr>
                <w:rFonts w:hint="eastAsia" w:ascii="宋体" w:hAnsi="宋体" w:eastAsia="宋体" w:cs="宋体"/>
                <w:i w:val="0"/>
                <w:iCs w:val="0"/>
                <w:color w:val="auto"/>
                <w:sz w:val="20"/>
                <w:szCs w:val="20"/>
                <w:highlight w:val="none"/>
                <w:u w:val="none"/>
                <w:lang w:val="en-US" w:eastAsia="zh-CN"/>
              </w:rPr>
            </w:pPr>
          </w:p>
        </w:tc>
      </w:tr>
      <w:tr w14:paraId="64EC4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495D1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A0C0E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压力传感器(带数显)</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2C9E16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阀门外壳体压力，采用压力传感器，具体要求如下：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1)精度：≤±0.2%;</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2)频响范围：0 Hz～20  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3)响应速度：≤1 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4)工作温度： - 10℃~60℃;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5)线性测量范围：0～1.5倍工作压力。</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D2CA2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0070E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E474E5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B709BB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A94C075">
            <w:pPr>
              <w:rPr>
                <w:rFonts w:hint="eastAsia" w:ascii="宋体" w:hAnsi="宋体" w:eastAsia="宋体" w:cs="宋体"/>
                <w:i w:val="0"/>
                <w:iCs w:val="0"/>
                <w:color w:val="auto"/>
                <w:sz w:val="20"/>
                <w:szCs w:val="20"/>
                <w:highlight w:val="none"/>
                <w:u w:val="none"/>
              </w:rPr>
            </w:pPr>
          </w:p>
        </w:tc>
      </w:tr>
      <w:tr w14:paraId="018E0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7"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E0ADA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34837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噪音传感器</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054978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阀门外壳噪音，采用噪音传感器，具体要求如下：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1)灵敏度：  32mV/Pa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2)频率范围：10Hz～20kHz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3)测量范围：25～130dBL</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4)动态范围：＞110dB</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5)使用温度范围：0～50℃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6)使用湿度范围：0～98%</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7)外形材质：不锈钢外壳</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9E4EF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64254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3FD5A7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FE9A36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A656140">
            <w:pPr>
              <w:rPr>
                <w:rFonts w:hint="eastAsia" w:ascii="宋体" w:hAnsi="宋体" w:eastAsia="宋体" w:cs="宋体"/>
                <w:i w:val="0"/>
                <w:iCs w:val="0"/>
                <w:color w:val="auto"/>
                <w:sz w:val="20"/>
                <w:szCs w:val="20"/>
                <w:highlight w:val="none"/>
                <w:u w:val="none"/>
              </w:rPr>
            </w:pPr>
          </w:p>
        </w:tc>
      </w:tr>
      <w:tr w14:paraId="2B2D8D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39"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27460C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C3DCAC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流量调节阀状态监测系统其他硬件</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7E77CC71">
            <w:pPr>
              <w:keepNext w:val="0"/>
              <w:keepLines w:val="0"/>
              <w:widowControl/>
              <w:suppressLineNumbers w:val="0"/>
              <w:jc w:val="left"/>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包括但不限于以下硬件：</w:t>
            </w:r>
          </w:p>
          <w:p w14:paraId="7CFC7330">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流量调节阀在线监测系统共对3只流量调节阀进行监测，其中嵊州分水口阀室内有两只流量调节阀，汤浦分水口阀室内有一只阀。嵊州，汤浦分水口阀室内各设置一只在线监测系统现地箱（内含数据采集器、液晶屏、电源设备、网络设备等），系统所需电缆、网线，上述硬件设施均包含在本标段供货范围内。</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73C7537">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项</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E9AF81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DCC165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1C4A65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AED3C05">
            <w:pPr>
              <w:rPr>
                <w:rFonts w:hint="eastAsia" w:ascii="宋体" w:hAnsi="宋体" w:eastAsia="宋体" w:cs="宋体"/>
                <w:i w:val="0"/>
                <w:iCs w:val="0"/>
                <w:color w:val="auto"/>
                <w:sz w:val="20"/>
                <w:szCs w:val="20"/>
                <w:highlight w:val="none"/>
                <w:u w:val="none"/>
              </w:rPr>
            </w:pPr>
            <w:r>
              <w:rPr>
                <w:rFonts w:hint="eastAsia" w:ascii="宋体" w:hAnsi="宋体" w:eastAsia="宋体" w:cs="宋体"/>
                <w:color w:val="auto"/>
                <w:sz w:val="20"/>
                <w:szCs w:val="20"/>
                <w:highlight w:val="none"/>
              </w:rPr>
              <w:t>本系统的数据采集器采用可扩展插槽式数据采集器，不低于德国申克VC-8000、美国Bently3500、瑞士Vibro-meter VM600、爱默生ams6500、西门子dps6500。</w:t>
            </w:r>
          </w:p>
        </w:tc>
      </w:tr>
      <w:tr w14:paraId="41C93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CEE33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三</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2F4C52A">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snapToGrid w:val="0"/>
                <w:color w:val="auto"/>
                <w:kern w:val="0"/>
                <w:sz w:val="20"/>
                <w:szCs w:val="20"/>
                <w:highlight w:val="none"/>
                <w:u w:val="none"/>
                <w:lang w:val="en-US" w:eastAsia="zh-CN" w:bidi="ar"/>
              </w:rPr>
              <w:t>空气阀状态监测系统硬件</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565990C7">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F57DBB4">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A66B9E2">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3D0DECF">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CAC79D4">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2A9E5C4">
            <w:pPr>
              <w:rPr>
                <w:rFonts w:hint="eastAsia" w:ascii="宋体" w:hAnsi="宋体" w:eastAsia="宋体" w:cs="宋体"/>
                <w:i w:val="0"/>
                <w:iCs w:val="0"/>
                <w:color w:val="auto"/>
                <w:sz w:val="20"/>
                <w:szCs w:val="20"/>
                <w:highlight w:val="none"/>
                <w:u w:val="none"/>
              </w:rPr>
            </w:pPr>
          </w:p>
        </w:tc>
      </w:tr>
      <w:tr w14:paraId="60988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8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53781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EE809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高频压力传感器</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51DBDEE1">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工作温度：0℃～70℃；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压力监测采集频率≥500Hz；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量程：-0.1-1.6Mpa(以实际节点压力为准)，满足-2m的监测要求；</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响应时间：≤2ms；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精度：≤0.1%FS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输出信号：4～20mA；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形式：接触测量，整体式结构；</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防护等级：IP68，包括传感器电缆接头；</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供电电压：24VDC(9-36VDC)</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15010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C3E8D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33DFBC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B0E406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33DA1E6">
            <w:pPr>
              <w:rPr>
                <w:rFonts w:hint="eastAsia" w:ascii="宋体" w:hAnsi="宋体" w:eastAsia="宋体" w:cs="宋体"/>
                <w:i w:val="0"/>
                <w:iCs w:val="0"/>
                <w:color w:val="auto"/>
                <w:sz w:val="20"/>
                <w:szCs w:val="20"/>
                <w:highlight w:val="none"/>
                <w:u w:val="none"/>
              </w:rPr>
            </w:pPr>
          </w:p>
        </w:tc>
      </w:tr>
      <w:tr w14:paraId="47810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19693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0B98D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液位传感器</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51AF1EA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工作温度：-40～85℃；</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测量精度 ≤0.5%FS；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小数位数：3位；</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信号传输：4-20mA；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外壳防护：IP67；</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工作环境湿度：≤97% RH；</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现场显示：四位LED，0000-1999(可选)；</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供电电压：24VDC</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B99D2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0E8C9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0888DC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E08FE5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85E4E39">
            <w:pPr>
              <w:rPr>
                <w:rFonts w:hint="eastAsia" w:ascii="宋体" w:hAnsi="宋体" w:eastAsia="宋体" w:cs="宋体"/>
                <w:i w:val="0"/>
                <w:iCs w:val="0"/>
                <w:color w:val="auto"/>
                <w:sz w:val="20"/>
                <w:szCs w:val="20"/>
                <w:highlight w:val="none"/>
                <w:u w:val="none"/>
              </w:rPr>
            </w:pPr>
          </w:p>
        </w:tc>
      </w:tr>
      <w:tr w14:paraId="63121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38F81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31559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漏液传感器</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793F68DD">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工作电压：3.3-5V；</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工作电流：小于35mA；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测量范围：液体；</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精度：小于0.3%FS；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响应时间：≤0.3ms；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输出信号：开关量；</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工作温度：10℃~40℃；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稳定性；十二个月 0.1%；</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防护等级：IP68，包括传感器电缆接头；</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66299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D93BF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95305E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EA3856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556F246">
            <w:pPr>
              <w:rPr>
                <w:rFonts w:hint="eastAsia" w:ascii="宋体" w:hAnsi="宋体" w:eastAsia="宋体" w:cs="宋体"/>
                <w:i w:val="0"/>
                <w:iCs w:val="0"/>
                <w:color w:val="auto"/>
                <w:sz w:val="20"/>
                <w:szCs w:val="20"/>
                <w:highlight w:val="none"/>
                <w:u w:val="none"/>
              </w:rPr>
            </w:pPr>
          </w:p>
        </w:tc>
      </w:tr>
      <w:tr w14:paraId="3F775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6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7AC02B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BCB436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空气阀状态监测系统其他硬件</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355331B7">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包括但不限于以下硬件：</w:t>
            </w:r>
          </w:p>
          <w:p w14:paraId="01B9EF66">
            <w:pPr>
              <w:keepNext w:val="0"/>
              <w:keepLines w:val="0"/>
              <w:widowControl/>
              <w:suppressLineNumbers w:val="0"/>
              <w:jc w:val="left"/>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default" w:ascii="宋体" w:hAnsi="宋体" w:eastAsia="宋体" w:cs="宋体"/>
                <w:i w:val="0"/>
                <w:iCs w:val="0"/>
                <w:snapToGrid w:val="0"/>
                <w:color w:val="auto"/>
                <w:kern w:val="0"/>
                <w:sz w:val="20"/>
                <w:szCs w:val="20"/>
                <w:highlight w:val="none"/>
                <w:u w:val="none"/>
                <w:lang w:val="en-US" w:eastAsia="zh-CN" w:bidi="ar"/>
              </w:rPr>
              <w:t>空气阀在线监测共对42只空气阀进行监测。这些空气阀分布在7个检修阀室、5个空气阀井、大王塘洞内、嵊州分水口阀室、汤浦分水口阀室内。其中沿线的5个空气阀井因不供电，需要各配置1套太阳能蓄能装置。所有各阀室均需配置一套RTU装置，涵盖采集、存储、计算、传输功能，系统所需电缆、网线，上述硬件设施均包含在本标段供货范围内。</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6D3339B">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项</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C156E53">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681EFA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096E7F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195256A">
            <w:pPr>
              <w:rPr>
                <w:rFonts w:hint="eastAsia" w:ascii="宋体" w:hAnsi="宋体" w:eastAsia="宋体" w:cs="宋体"/>
                <w:i w:val="0"/>
                <w:iCs w:val="0"/>
                <w:color w:val="auto"/>
                <w:sz w:val="20"/>
                <w:szCs w:val="20"/>
                <w:highlight w:val="none"/>
                <w:u w:val="none"/>
              </w:rPr>
            </w:pPr>
          </w:p>
        </w:tc>
      </w:tr>
      <w:tr w14:paraId="37FF88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7AF51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四</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F343999">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snapToGrid w:val="0"/>
                <w:color w:val="auto"/>
                <w:kern w:val="0"/>
                <w:sz w:val="20"/>
                <w:szCs w:val="20"/>
                <w:highlight w:val="none"/>
                <w:u w:val="none"/>
                <w:lang w:val="en-US" w:eastAsia="zh-CN" w:bidi="ar"/>
              </w:rPr>
              <w:t>水锤仿真系统硬件</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635853B3">
            <w:pPr>
              <w:jc w:val="left"/>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1D22F01">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0F69CA5">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0DC7F9A">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1054C75">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36CAA3B">
            <w:pPr>
              <w:rPr>
                <w:rFonts w:hint="eastAsia" w:ascii="宋体" w:hAnsi="宋体" w:eastAsia="宋体" w:cs="宋体"/>
                <w:i w:val="0"/>
                <w:iCs w:val="0"/>
                <w:color w:val="auto"/>
                <w:sz w:val="20"/>
                <w:szCs w:val="20"/>
                <w:highlight w:val="none"/>
                <w:u w:val="none"/>
              </w:rPr>
            </w:pPr>
          </w:p>
        </w:tc>
      </w:tr>
      <w:tr w14:paraId="706CD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B7A52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1C6EE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高频压力传感器</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4E73319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每秒采样不低于256次，1.6MPa，具体要求如下：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1)工作温度：-30℃～70℃；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2)压力监测采集频率≥300Hz，以满足分析需求；</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3)量程：-0.1-1.6Mpa(以实际节点压力为准)，同时需满足-2m的监测要求；</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4)精度：0.2%FS；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5)响应时间：≤2ms；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6)输出信号：4～20mA；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7)形式：接触测量，整体式结构；</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8)稳定性；十二个月 0.1%；</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9)防护等级：IP68，包括传感器电缆接头</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10)供电电压：24V DC(9-36V DC)。</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EE056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D4B6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492367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0B1FB3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5DDC967">
            <w:pPr>
              <w:rPr>
                <w:rFonts w:hint="eastAsia" w:ascii="宋体" w:hAnsi="宋体" w:eastAsia="宋体" w:cs="宋体"/>
                <w:i w:val="0"/>
                <w:iCs w:val="0"/>
                <w:color w:val="auto"/>
                <w:sz w:val="20"/>
                <w:szCs w:val="20"/>
                <w:highlight w:val="none"/>
                <w:u w:val="none"/>
              </w:rPr>
            </w:pPr>
          </w:p>
        </w:tc>
      </w:tr>
      <w:tr w14:paraId="695B2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66"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0FC03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C2E4A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水位计</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29E059C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调压井、支洞水位监测，具体要求如下：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1)量程：0-15m(暂定，具体要求联络会确定)</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2)水位计采用压阻式。</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3)水位计的水位测量精度不低于0.1%。</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4)水位计连接电缆采用双绞线带气管防水专用电缆。</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5)水位计安装用钢管和安装附件由承包人提供。</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6)如果水位计离主机柜距离较远，应设置水位计接线盒，接线盒及安装附件也由承包人提供。</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7)工作方式：二线制，24VDC；</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8)信号输出：4~20mA输出</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08898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BB950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A7A138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80FE6B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13B69B8">
            <w:pPr>
              <w:rPr>
                <w:rFonts w:hint="eastAsia" w:ascii="宋体" w:hAnsi="宋体" w:eastAsia="宋体" w:cs="宋体"/>
                <w:i w:val="0"/>
                <w:iCs w:val="0"/>
                <w:color w:val="auto"/>
                <w:sz w:val="20"/>
                <w:szCs w:val="20"/>
                <w:highlight w:val="none"/>
                <w:u w:val="none"/>
              </w:rPr>
            </w:pPr>
          </w:p>
        </w:tc>
      </w:tr>
      <w:tr w14:paraId="25FD65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2"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A51CAF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F6A304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水锤仿真系统其他硬件</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5E681889">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包括但不限于以下硬件：</w:t>
            </w:r>
          </w:p>
          <w:p w14:paraId="363672D1">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水锤仿真系统的测点位于沿线的7个检修阀井和5个空气阀井内。其中5个空气阀井不供电，需要各配置1套太阳能蓄能装置。所有各阀室均需配置一套RTU装置，涵盖采集、存储、计算、传输功能，系统所需电缆，网线，上述硬件设施均包含在本标段供货范围内。</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1CBE1C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项</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73A6522">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1B8C08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B1AA95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5EE5963">
            <w:pPr>
              <w:rPr>
                <w:rFonts w:hint="eastAsia" w:ascii="宋体" w:hAnsi="宋体" w:eastAsia="宋体" w:cs="宋体"/>
                <w:i w:val="0"/>
                <w:iCs w:val="0"/>
                <w:color w:val="auto"/>
                <w:sz w:val="20"/>
                <w:szCs w:val="20"/>
                <w:highlight w:val="none"/>
                <w:u w:val="none"/>
              </w:rPr>
            </w:pPr>
          </w:p>
        </w:tc>
      </w:tr>
      <w:tr w14:paraId="4D73E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BEB38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五</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A454C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电动双梁桥式起重机</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A667C6C">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6F60BD2">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7797F84">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D508C4E">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968F842">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F8946ED">
            <w:pPr>
              <w:jc w:val="center"/>
              <w:rPr>
                <w:rFonts w:hint="eastAsia" w:ascii="宋体" w:hAnsi="宋体" w:eastAsia="宋体" w:cs="宋体"/>
                <w:i w:val="0"/>
                <w:iCs w:val="0"/>
                <w:color w:val="auto"/>
                <w:sz w:val="20"/>
                <w:szCs w:val="20"/>
                <w:highlight w:val="none"/>
                <w:u w:val="none"/>
              </w:rPr>
            </w:pPr>
          </w:p>
        </w:tc>
      </w:tr>
      <w:tr w14:paraId="3578A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68710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F86C2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双梁桥式起重机</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542F7A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25/5t，Lk=9.6m</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12A30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8365A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nil"/>
              <w:right w:val="single" w:color="000000" w:sz="4" w:space="0"/>
            </w:tcBorders>
            <w:noWrap w:val="0"/>
            <w:vAlign w:val="center"/>
          </w:tcPr>
          <w:p w14:paraId="69528FE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nil"/>
              <w:right w:val="single" w:color="000000" w:sz="4" w:space="0"/>
            </w:tcBorders>
            <w:noWrap w:val="0"/>
            <w:vAlign w:val="center"/>
          </w:tcPr>
          <w:p w14:paraId="305BB89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nil"/>
              <w:right w:val="single" w:color="000000" w:sz="4" w:space="0"/>
            </w:tcBorders>
            <w:noWrap w:val="0"/>
            <w:vAlign w:val="center"/>
          </w:tcPr>
          <w:p w14:paraId="0FBBE1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卫华、振华重工、大连重工、法兰泰克、奥力通或其他同等档次及以上品牌</w:t>
            </w:r>
          </w:p>
        </w:tc>
      </w:tr>
      <w:tr w14:paraId="27AB4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86AE2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28DE3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双梁桥式起重机</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572B0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10t，Lk=9.6m</w:t>
            </w:r>
          </w:p>
        </w:tc>
        <w:tc>
          <w:tcPr>
            <w:tcW w:w="238" w:type="pct"/>
            <w:tcBorders>
              <w:top w:val="single" w:color="000000" w:sz="4" w:space="0"/>
              <w:left w:val="single" w:color="000000" w:sz="4" w:space="0"/>
              <w:bottom w:val="single" w:color="000000" w:sz="4" w:space="0"/>
              <w:right w:val="single" w:color="000000" w:sz="4" w:space="0"/>
            </w:tcBorders>
            <w:noWrap w:val="0"/>
            <w:vAlign w:val="center"/>
          </w:tcPr>
          <w:p w14:paraId="56F25B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D392D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nil"/>
              <w:right w:val="single" w:color="000000" w:sz="4" w:space="0"/>
            </w:tcBorders>
            <w:noWrap w:val="0"/>
            <w:vAlign w:val="center"/>
          </w:tcPr>
          <w:p w14:paraId="213AC2A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nil"/>
              <w:right w:val="single" w:color="000000" w:sz="4" w:space="0"/>
            </w:tcBorders>
            <w:noWrap w:val="0"/>
            <w:vAlign w:val="center"/>
          </w:tcPr>
          <w:p w14:paraId="798FE5A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nil"/>
              <w:right w:val="single" w:color="000000" w:sz="4" w:space="0"/>
            </w:tcBorders>
            <w:noWrap w:val="0"/>
            <w:vAlign w:val="center"/>
          </w:tcPr>
          <w:p w14:paraId="286AE4C6">
            <w:pPr>
              <w:jc w:val="center"/>
              <w:rPr>
                <w:rFonts w:hint="eastAsia" w:ascii="宋体" w:hAnsi="宋体" w:eastAsia="宋体" w:cs="宋体"/>
                <w:i w:val="0"/>
                <w:iCs w:val="0"/>
                <w:color w:val="auto"/>
                <w:sz w:val="20"/>
                <w:szCs w:val="20"/>
                <w:highlight w:val="none"/>
                <w:u w:val="none"/>
              </w:rPr>
            </w:pPr>
          </w:p>
        </w:tc>
      </w:tr>
      <w:tr w14:paraId="704929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4F615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六</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87CCB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4980A76">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35EE1BD">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DE219DD">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ign w:val="center"/>
          </w:tcPr>
          <w:p w14:paraId="2A0E924A">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ign w:val="center"/>
          </w:tcPr>
          <w:p w14:paraId="082670D8">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5ACC3682">
            <w:pPr>
              <w:jc w:val="center"/>
              <w:rPr>
                <w:rFonts w:hint="eastAsia" w:ascii="宋体" w:hAnsi="宋体" w:eastAsia="宋体" w:cs="宋体"/>
                <w:i w:val="0"/>
                <w:iCs w:val="0"/>
                <w:color w:val="auto"/>
                <w:sz w:val="20"/>
                <w:szCs w:val="20"/>
                <w:highlight w:val="none"/>
                <w:u w:val="none"/>
              </w:rPr>
            </w:pPr>
          </w:p>
        </w:tc>
      </w:tr>
      <w:tr w14:paraId="69235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F16B3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(一)</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A7098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超声波流量计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15E0046">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55C7B37">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7A438B3">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ign w:val="center"/>
          </w:tcPr>
          <w:p w14:paraId="23899A03">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ign w:val="center"/>
          </w:tcPr>
          <w:p w14:paraId="59D1F81E">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5A2E44D1">
            <w:pPr>
              <w:jc w:val="center"/>
              <w:rPr>
                <w:rFonts w:hint="eastAsia" w:ascii="宋体" w:hAnsi="宋体" w:eastAsia="宋体" w:cs="宋体"/>
                <w:i w:val="0"/>
                <w:iCs w:val="0"/>
                <w:color w:val="auto"/>
                <w:sz w:val="20"/>
                <w:szCs w:val="20"/>
                <w:highlight w:val="none"/>
                <w:u w:val="none"/>
              </w:rPr>
            </w:pPr>
          </w:p>
        </w:tc>
      </w:tr>
      <w:tr w14:paraId="06966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62"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ECF11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259CC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超声波流量计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13FC9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交叉5声道，PN16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695DF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9EB8C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DDDA0A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6CECE3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16DE0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Accusonic（阿克索尼）、Hydrovision（哈着威）、Ultraflux（优创）、E+H（恩德斯豪斯）、SIEMENS（西门子）或其他同等档次及以上品牌</w:t>
            </w:r>
          </w:p>
        </w:tc>
      </w:tr>
      <w:tr w14:paraId="04FBB1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6C3E6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(二)</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6D6FE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F5C7D2E">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3AA4AF6">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5559552">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ign w:val="center"/>
          </w:tcPr>
          <w:p w14:paraId="2ED05A77">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ign w:val="center"/>
          </w:tcPr>
          <w:p w14:paraId="74A5CBD1">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436D124D">
            <w:pPr>
              <w:jc w:val="center"/>
              <w:rPr>
                <w:rFonts w:hint="eastAsia" w:ascii="宋体" w:hAnsi="宋体" w:eastAsia="宋体" w:cs="宋体"/>
                <w:i w:val="0"/>
                <w:iCs w:val="0"/>
                <w:color w:val="auto"/>
                <w:sz w:val="20"/>
                <w:szCs w:val="20"/>
                <w:highlight w:val="none"/>
                <w:u w:val="none"/>
              </w:rPr>
            </w:pPr>
          </w:p>
        </w:tc>
      </w:tr>
      <w:tr w14:paraId="610D8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113A3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CF8F9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D8E98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90C85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25A4B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0F3BF6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8C8E83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354F72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KROHNE（科隆）、E+H（恩德斯豪斯）、ABB、SIEMENS（西门子）、EMERSON（爱默生）或其他同等档次及以上品牌</w:t>
            </w:r>
          </w:p>
        </w:tc>
      </w:tr>
      <w:tr w14:paraId="02162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D3AB2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C1447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47719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80714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0F279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ABE0E1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C6DAC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BB07EC1">
            <w:pPr>
              <w:jc w:val="center"/>
              <w:rPr>
                <w:rFonts w:hint="eastAsia" w:ascii="宋体" w:hAnsi="宋体" w:eastAsia="宋体" w:cs="宋体"/>
                <w:i w:val="0"/>
                <w:iCs w:val="0"/>
                <w:color w:val="auto"/>
                <w:sz w:val="20"/>
                <w:szCs w:val="20"/>
                <w:highlight w:val="none"/>
                <w:u w:val="none"/>
              </w:rPr>
            </w:pPr>
          </w:p>
        </w:tc>
      </w:tr>
      <w:tr w14:paraId="0C46B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77DC1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ACDAB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5996E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12599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CC228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170642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7E43B5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AFF013">
            <w:pPr>
              <w:jc w:val="center"/>
              <w:rPr>
                <w:rFonts w:hint="eastAsia" w:ascii="宋体" w:hAnsi="宋体" w:eastAsia="宋体" w:cs="宋体"/>
                <w:i w:val="0"/>
                <w:iCs w:val="0"/>
                <w:color w:val="auto"/>
                <w:sz w:val="20"/>
                <w:szCs w:val="20"/>
                <w:highlight w:val="none"/>
                <w:u w:val="none"/>
              </w:rPr>
            </w:pPr>
          </w:p>
        </w:tc>
      </w:tr>
      <w:tr w14:paraId="2BBC8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6DD20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D2FA0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A0A1D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B760A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C3B81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2795E1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0A579B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8F8D78D">
            <w:pPr>
              <w:jc w:val="center"/>
              <w:rPr>
                <w:rFonts w:hint="eastAsia" w:ascii="宋体" w:hAnsi="宋体" w:eastAsia="宋体" w:cs="宋体"/>
                <w:i w:val="0"/>
                <w:iCs w:val="0"/>
                <w:color w:val="auto"/>
                <w:sz w:val="20"/>
                <w:szCs w:val="20"/>
                <w:highlight w:val="none"/>
                <w:u w:val="none"/>
              </w:rPr>
            </w:pPr>
          </w:p>
        </w:tc>
      </w:tr>
      <w:tr w14:paraId="1293C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AF811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B2B8A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D75EF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CF83B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08EA9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3EEC08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BF18BF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452BC2B5">
            <w:pPr>
              <w:jc w:val="center"/>
              <w:rPr>
                <w:rFonts w:hint="eastAsia" w:ascii="宋体" w:hAnsi="宋体" w:eastAsia="宋体" w:cs="宋体"/>
                <w:i w:val="0"/>
                <w:iCs w:val="0"/>
                <w:color w:val="auto"/>
                <w:sz w:val="20"/>
                <w:szCs w:val="20"/>
                <w:highlight w:val="none"/>
                <w:u w:val="none"/>
              </w:rPr>
            </w:pPr>
          </w:p>
        </w:tc>
      </w:tr>
      <w:tr w14:paraId="068E2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4D44C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2290E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790F0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E9929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866A1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87111D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8BC6EA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594B2C5">
            <w:pPr>
              <w:jc w:val="center"/>
              <w:rPr>
                <w:rFonts w:hint="eastAsia" w:ascii="宋体" w:hAnsi="宋体" w:eastAsia="宋体" w:cs="宋体"/>
                <w:i w:val="0"/>
                <w:iCs w:val="0"/>
                <w:color w:val="auto"/>
                <w:sz w:val="20"/>
                <w:szCs w:val="20"/>
                <w:highlight w:val="none"/>
                <w:u w:val="none"/>
              </w:rPr>
            </w:pPr>
          </w:p>
        </w:tc>
      </w:tr>
      <w:tr w14:paraId="66A54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1601E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F669D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CFA5A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80592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592FC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B8030D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0BB313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921C88E">
            <w:pPr>
              <w:jc w:val="center"/>
              <w:rPr>
                <w:rFonts w:hint="eastAsia" w:ascii="宋体" w:hAnsi="宋体" w:eastAsia="宋体" w:cs="宋体"/>
                <w:i w:val="0"/>
                <w:iCs w:val="0"/>
                <w:color w:val="auto"/>
                <w:sz w:val="20"/>
                <w:szCs w:val="20"/>
                <w:highlight w:val="none"/>
                <w:u w:val="none"/>
              </w:rPr>
            </w:pPr>
          </w:p>
        </w:tc>
      </w:tr>
      <w:tr w14:paraId="1656C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6547C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5DBEE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81907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B5AB6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0A027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19962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F09A9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4D77776">
            <w:pPr>
              <w:jc w:val="center"/>
              <w:rPr>
                <w:rFonts w:hint="eastAsia" w:ascii="宋体" w:hAnsi="宋体" w:eastAsia="宋体" w:cs="宋体"/>
                <w:i w:val="0"/>
                <w:iCs w:val="0"/>
                <w:color w:val="auto"/>
                <w:sz w:val="20"/>
                <w:szCs w:val="20"/>
                <w:highlight w:val="none"/>
                <w:u w:val="none"/>
              </w:rPr>
            </w:pPr>
          </w:p>
        </w:tc>
      </w:tr>
      <w:tr w14:paraId="3B1EB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D07C2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七</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904C0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水泵及渗漏排水系统</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1BE9EE7">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666908F">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07D757A">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89F3F33">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6290393">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0C4A387">
            <w:pPr>
              <w:jc w:val="center"/>
              <w:rPr>
                <w:rFonts w:hint="eastAsia" w:ascii="宋体" w:hAnsi="宋体" w:eastAsia="宋体" w:cs="宋体"/>
                <w:i w:val="0"/>
                <w:iCs w:val="0"/>
                <w:color w:val="auto"/>
                <w:sz w:val="20"/>
                <w:szCs w:val="20"/>
                <w:highlight w:val="none"/>
                <w:u w:val="none"/>
              </w:rPr>
            </w:pPr>
          </w:p>
        </w:tc>
      </w:tr>
      <w:tr w14:paraId="19287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9B726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1CD7BB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立式离心泵（含电机）</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6A85D3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1000m³/h，H=30m，132kW</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EB5B3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C594E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16A3EE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DAF71A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restart"/>
            <w:tcBorders>
              <w:top w:val="single" w:color="000000" w:sz="4" w:space="0"/>
              <w:left w:val="single" w:color="000000" w:sz="4" w:space="0"/>
              <w:bottom w:val="single" w:color="000000" w:sz="4" w:space="0"/>
              <w:right w:val="single" w:color="000000" w:sz="4" w:space="0"/>
            </w:tcBorders>
            <w:noWrap w:val="0"/>
            <w:vAlign w:val="center"/>
          </w:tcPr>
          <w:p w14:paraId="2784A7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利欧、飞力、格兰富、安德里茨、赛莱默或其他同等档次及以上品牌</w:t>
            </w:r>
          </w:p>
        </w:tc>
      </w:tr>
      <w:tr w14:paraId="252D58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06351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23E5C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337C6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100m³/h，20m，15kw</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33554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9C368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2681CB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8CFC8E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0C0C0288">
            <w:pPr>
              <w:jc w:val="center"/>
              <w:rPr>
                <w:rFonts w:hint="eastAsia" w:ascii="宋体" w:hAnsi="宋体" w:eastAsia="宋体" w:cs="宋体"/>
                <w:i w:val="0"/>
                <w:iCs w:val="0"/>
                <w:color w:val="auto"/>
                <w:sz w:val="20"/>
                <w:szCs w:val="20"/>
                <w:highlight w:val="none"/>
                <w:u w:val="none"/>
              </w:rPr>
            </w:pPr>
          </w:p>
        </w:tc>
      </w:tr>
      <w:tr w14:paraId="1F8CAB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D2512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7CBB9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9D307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10m3/h,15m,1.5kW，移动式，橡胶软管连接</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EE095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6636B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87C81B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94CC49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3F2B7206">
            <w:pPr>
              <w:jc w:val="center"/>
              <w:rPr>
                <w:rFonts w:hint="eastAsia" w:ascii="宋体" w:hAnsi="宋体" w:eastAsia="宋体" w:cs="宋体"/>
                <w:i w:val="0"/>
                <w:iCs w:val="0"/>
                <w:color w:val="auto"/>
                <w:sz w:val="20"/>
                <w:szCs w:val="20"/>
                <w:highlight w:val="none"/>
                <w:u w:val="none"/>
              </w:rPr>
            </w:pPr>
          </w:p>
        </w:tc>
      </w:tr>
      <w:tr w14:paraId="230E9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0C668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76F0D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D7658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200m³/h，H=15m</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5193C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7DB66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90DBE2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2DB0CD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D77AF37">
            <w:pPr>
              <w:jc w:val="center"/>
              <w:rPr>
                <w:rFonts w:hint="eastAsia" w:ascii="宋体" w:hAnsi="宋体" w:eastAsia="宋体" w:cs="宋体"/>
                <w:i w:val="0"/>
                <w:iCs w:val="0"/>
                <w:color w:val="auto"/>
                <w:sz w:val="20"/>
                <w:szCs w:val="20"/>
                <w:highlight w:val="none"/>
                <w:u w:val="none"/>
              </w:rPr>
            </w:pPr>
          </w:p>
        </w:tc>
      </w:tr>
      <w:tr w14:paraId="5B4ED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34A01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DA1F5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6EF92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200m³/h，H=20m</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7D1E5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06348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9C2CC0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0E8342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1E2BFB23">
            <w:pPr>
              <w:jc w:val="center"/>
              <w:rPr>
                <w:rFonts w:hint="eastAsia" w:ascii="宋体" w:hAnsi="宋体" w:eastAsia="宋体" w:cs="宋体"/>
                <w:i w:val="0"/>
                <w:iCs w:val="0"/>
                <w:color w:val="auto"/>
                <w:sz w:val="20"/>
                <w:szCs w:val="20"/>
                <w:highlight w:val="none"/>
                <w:u w:val="none"/>
              </w:rPr>
            </w:pPr>
          </w:p>
        </w:tc>
      </w:tr>
      <w:tr w14:paraId="5256A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0F28A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2E8A6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D18FC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250m³/h，H=10m</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4F3AD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35677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778605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765411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24089263">
            <w:pPr>
              <w:jc w:val="center"/>
              <w:rPr>
                <w:rFonts w:hint="eastAsia" w:ascii="宋体" w:hAnsi="宋体" w:eastAsia="宋体" w:cs="宋体"/>
                <w:i w:val="0"/>
                <w:iCs w:val="0"/>
                <w:color w:val="auto"/>
                <w:sz w:val="20"/>
                <w:szCs w:val="20"/>
                <w:highlight w:val="none"/>
                <w:u w:val="none"/>
              </w:rPr>
            </w:pPr>
          </w:p>
        </w:tc>
      </w:tr>
      <w:tr w14:paraId="5C052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2F4E6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79B08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45A3C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5m³/h，20m，0.75kw</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27C95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7FED1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2C5BFC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32C05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6CBD16C1">
            <w:pPr>
              <w:jc w:val="center"/>
              <w:rPr>
                <w:rFonts w:hint="eastAsia" w:ascii="宋体" w:hAnsi="宋体" w:eastAsia="宋体" w:cs="宋体"/>
                <w:i w:val="0"/>
                <w:iCs w:val="0"/>
                <w:color w:val="auto"/>
                <w:sz w:val="20"/>
                <w:szCs w:val="20"/>
                <w:highlight w:val="none"/>
                <w:u w:val="none"/>
              </w:rPr>
            </w:pPr>
          </w:p>
        </w:tc>
      </w:tr>
      <w:tr w14:paraId="3ACC26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AC106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88040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CFC0E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80m³/h，H=15m</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15D39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DEEC2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030F69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D13599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vMerge w:val="continue"/>
            <w:tcBorders>
              <w:top w:val="single" w:color="000000" w:sz="4" w:space="0"/>
              <w:left w:val="single" w:color="000000" w:sz="4" w:space="0"/>
              <w:bottom w:val="single" w:color="000000" w:sz="4" w:space="0"/>
              <w:right w:val="single" w:color="000000" w:sz="4" w:space="0"/>
            </w:tcBorders>
            <w:noWrap w:val="0"/>
            <w:vAlign w:val="center"/>
          </w:tcPr>
          <w:p w14:paraId="52753F9B">
            <w:pPr>
              <w:jc w:val="center"/>
              <w:rPr>
                <w:rFonts w:hint="eastAsia" w:ascii="宋体" w:hAnsi="宋体" w:eastAsia="宋体" w:cs="宋体"/>
                <w:i w:val="0"/>
                <w:iCs w:val="0"/>
                <w:color w:val="auto"/>
                <w:sz w:val="20"/>
                <w:szCs w:val="20"/>
                <w:highlight w:val="none"/>
                <w:u w:val="none"/>
              </w:rPr>
            </w:pPr>
          </w:p>
        </w:tc>
      </w:tr>
      <w:tr w14:paraId="1DA26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830B9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1998E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B090C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Y-150，1.6MPa</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AD57D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29445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A940FB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E8B3E3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F63F933">
            <w:pPr>
              <w:jc w:val="center"/>
              <w:rPr>
                <w:rFonts w:hint="eastAsia" w:ascii="宋体" w:hAnsi="宋体" w:eastAsia="宋体" w:cs="宋体"/>
                <w:i w:val="0"/>
                <w:iCs w:val="0"/>
                <w:color w:val="auto"/>
                <w:sz w:val="20"/>
                <w:szCs w:val="20"/>
                <w:highlight w:val="none"/>
                <w:u w:val="none"/>
              </w:rPr>
            </w:pPr>
          </w:p>
        </w:tc>
      </w:tr>
      <w:tr w14:paraId="6F8D5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1826C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4A1BC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C9D90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D87DB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C8F04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28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46E26E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C354C1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5A09CF3">
            <w:pPr>
              <w:jc w:val="center"/>
              <w:rPr>
                <w:rFonts w:hint="eastAsia" w:ascii="宋体" w:hAnsi="宋体" w:eastAsia="宋体" w:cs="宋体"/>
                <w:i w:val="0"/>
                <w:iCs w:val="0"/>
                <w:color w:val="auto"/>
                <w:sz w:val="20"/>
                <w:szCs w:val="20"/>
                <w:highlight w:val="none"/>
                <w:u w:val="none"/>
              </w:rPr>
            </w:pPr>
          </w:p>
        </w:tc>
      </w:tr>
      <w:tr w14:paraId="6BDF9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28BEA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27BBF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ACD03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9CC3A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3F5C1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936FF8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04359C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84A0997">
            <w:pPr>
              <w:jc w:val="center"/>
              <w:rPr>
                <w:rFonts w:hint="eastAsia" w:ascii="宋体" w:hAnsi="宋体" w:eastAsia="宋体" w:cs="宋体"/>
                <w:i w:val="0"/>
                <w:iCs w:val="0"/>
                <w:color w:val="auto"/>
                <w:sz w:val="20"/>
                <w:szCs w:val="20"/>
                <w:highlight w:val="none"/>
                <w:u w:val="none"/>
              </w:rPr>
            </w:pPr>
          </w:p>
        </w:tc>
      </w:tr>
      <w:tr w14:paraId="6EB0D1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D9837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60943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E8CE0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Y-100,0~25mH2O,1.6级,带可排气表阀</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BE637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6F423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17C3B2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E1BD50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FA7FA2F">
            <w:pPr>
              <w:jc w:val="center"/>
              <w:rPr>
                <w:rFonts w:hint="eastAsia" w:ascii="宋体" w:hAnsi="宋体" w:eastAsia="宋体" w:cs="宋体"/>
                <w:i w:val="0"/>
                <w:iCs w:val="0"/>
                <w:color w:val="auto"/>
                <w:sz w:val="20"/>
                <w:szCs w:val="20"/>
                <w:highlight w:val="none"/>
                <w:u w:val="none"/>
              </w:rPr>
            </w:pPr>
          </w:p>
        </w:tc>
      </w:tr>
      <w:tr w14:paraId="3D7312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1F59D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353F0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压力传感器(带数显)</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A14BB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1.6MPa</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EC5AF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136F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5A4BAF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9C1ABB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ED19A6C">
            <w:pPr>
              <w:jc w:val="center"/>
              <w:rPr>
                <w:rFonts w:hint="eastAsia" w:ascii="宋体" w:hAnsi="宋体" w:eastAsia="宋体" w:cs="宋体"/>
                <w:i w:val="0"/>
                <w:iCs w:val="0"/>
                <w:color w:val="auto"/>
                <w:sz w:val="20"/>
                <w:szCs w:val="20"/>
                <w:highlight w:val="none"/>
                <w:u w:val="none"/>
              </w:rPr>
            </w:pPr>
          </w:p>
        </w:tc>
      </w:tr>
      <w:tr w14:paraId="23B4B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F909A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9D7D8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异径三通</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806A4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DN65×65×50,90TR,镀锌</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624FC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E6314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8DFC76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5497F3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0BD50D1">
            <w:pPr>
              <w:jc w:val="center"/>
              <w:rPr>
                <w:rFonts w:hint="eastAsia" w:ascii="宋体" w:hAnsi="宋体" w:eastAsia="宋体" w:cs="宋体"/>
                <w:i w:val="0"/>
                <w:iCs w:val="0"/>
                <w:color w:val="auto"/>
                <w:sz w:val="20"/>
                <w:szCs w:val="20"/>
                <w:highlight w:val="none"/>
                <w:u w:val="none"/>
              </w:rPr>
            </w:pPr>
          </w:p>
        </w:tc>
      </w:tr>
      <w:tr w14:paraId="518DB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FB0C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68E85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异径三通</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602B4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DN80×50×50,90TR,镀锌</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5CE30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FFC52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AFFC36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F1D836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4B15C7C">
            <w:pPr>
              <w:jc w:val="center"/>
              <w:rPr>
                <w:rFonts w:hint="eastAsia" w:ascii="宋体" w:hAnsi="宋体" w:eastAsia="宋体" w:cs="宋体"/>
                <w:i w:val="0"/>
                <w:iCs w:val="0"/>
                <w:color w:val="auto"/>
                <w:sz w:val="20"/>
                <w:szCs w:val="20"/>
                <w:highlight w:val="none"/>
                <w:u w:val="none"/>
              </w:rPr>
            </w:pPr>
          </w:p>
        </w:tc>
      </w:tr>
      <w:tr w14:paraId="1D69A3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41198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86357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直角弯头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54CE9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1500×1000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35828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40B9F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E4B3C5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DD7E27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8A07C0B">
            <w:pPr>
              <w:jc w:val="center"/>
              <w:rPr>
                <w:rFonts w:hint="eastAsia" w:ascii="宋体" w:hAnsi="宋体" w:eastAsia="宋体" w:cs="宋体"/>
                <w:i w:val="0"/>
                <w:iCs w:val="0"/>
                <w:color w:val="auto"/>
                <w:sz w:val="20"/>
                <w:szCs w:val="20"/>
                <w:highlight w:val="none"/>
                <w:u w:val="none"/>
              </w:rPr>
            </w:pPr>
          </w:p>
        </w:tc>
      </w:tr>
      <w:tr w14:paraId="125C8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407FB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FDA9F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SDS射流风机</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C923B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40000m³/h，300Pa</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2ABA6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6AAF2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F2864B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85C8F5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EB9EE2E">
            <w:pPr>
              <w:jc w:val="center"/>
              <w:rPr>
                <w:rFonts w:hint="eastAsia" w:ascii="宋体" w:hAnsi="宋体" w:eastAsia="宋体" w:cs="宋体"/>
                <w:i w:val="0"/>
                <w:iCs w:val="0"/>
                <w:color w:val="auto"/>
                <w:sz w:val="20"/>
                <w:szCs w:val="20"/>
                <w:highlight w:val="none"/>
                <w:u w:val="none"/>
              </w:rPr>
            </w:pPr>
          </w:p>
        </w:tc>
      </w:tr>
      <w:tr w14:paraId="172841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D6B0C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B65B1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变径管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E1C1A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DN1400/DN1300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46C6E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33029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2BB02F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40660B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D84BFC4">
            <w:pPr>
              <w:jc w:val="center"/>
              <w:rPr>
                <w:rFonts w:hint="eastAsia" w:ascii="宋体" w:hAnsi="宋体" w:eastAsia="宋体" w:cs="宋体"/>
                <w:i w:val="0"/>
                <w:iCs w:val="0"/>
                <w:color w:val="auto"/>
                <w:sz w:val="20"/>
                <w:szCs w:val="20"/>
                <w:highlight w:val="none"/>
                <w:u w:val="none"/>
              </w:rPr>
            </w:pPr>
          </w:p>
        </w:tc>
      </w:tr>
      <w:tr w14:paraId="62F2E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49730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26A1F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变径管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32BA6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1500×1000/1240×1420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19EEC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86E3E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7D3FEB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A77552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7215757">
            <w:pPr>
              <w:jc w:val="center"/>
              <w:rPr>
                <w:rFonts w:hint="eastAsia" w:ascii="宋体" w:hAnsi="宋体" w:eastAsia="宋体" w:cs="宋体"/>
                <w:i w:val="0"/>
                <w:iCs w:val="0"/>
                <w:color w:val="auto"/>
                <w:sz w:val="20"/>
                <w:szCs w:val="20"/>
                <w:highlight w:val="none"/>
                <w:u w:val="none"/>
              </w:rPr>
            </w:pPr>
          </w:p>
        </w:tc>
      </w:tr>
      <w:tr w14:paraId="260F7E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4BC6D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6FA36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变径三通</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2B5FC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DN40-40-50，PN6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69FDF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8C02A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7F25F1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B9C791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DE21AA2">
            <w:pPr>
              <w:jc w:val="center"/>
              <w:rPr>
                <w:rFonts w:hint="eastAsia" w:ascii="宋体" w:hAnsi="宋体" w:eastAsia="宋体" w:cs="宋体"/>
                <w:i w:val="0"/>
                <w:iCs w:val="0"/>
                <w:color w:val="auto"/>
                <w:sz w:val="20"/>
                <w:szCs w:val="20"/>
                <w:highlight w:val="none"/>
                <w:u w:val="none"/>
              </w:rPr>
            </w:pPr>
          </w:p>
        </w:tc>
      </w:tr>
      <w:tr w14:paraId="4DFF0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A45AD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ACF1B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除湿机</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2F17F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60L/d</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48D54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18674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801F76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BAB260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BED7D16">
            <w:pPr>
              <w:jc w:val="center"/>
              <w:rPr>
                <w:rFonts w:hint="eastAsia" w:ascii="宋体" w:hAnsi="宋体" w:eastAsia="宋体" w:cs="宋体"/>
                <w:i w:val="0"/>
                <w:iCs w:val="0"/>
                <w:color w:val="auto"/>
                <w:sz w:val="20"/>
                <w:szCs w:val="20"/>
                <w:highlight w:val="none"/>
                <w:u w:val="none"/>
              </w:rPr>
            </w:pPr>
          </w:p>
        </w:tc>
      </w:tr>
      <w:tr w14:paraId="2818D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F1E51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073AB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大小头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A5A8D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1B7AB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BED25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E3613F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74732E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4CA8E9A">
            <w:pPr>
              <w:jc w:val="center"/>
              <w:rPr>
                <w:rFonts w:hint="eastAsia" w:ascii="宋体" w:hAnsi="宋体" w:eastAsia="宋体" w:cs="宋体"/>
                <w:i w:val="0"/>
                <w:iCs w:val="0"/>
                <w:color w:val="auto"/>
                <w:sz w:val="20"/>
                <w:szCs w:val="20"/>
                <w:highlight w:val="none"/>
                <w:u w:val="none"/>
              </w:rPr>
            </w:pPr>
          </w:p>
        </w:tc>
      </w:tr>
      <w:tr w14:paraId="3C68A2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AA52D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9CCC9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大小头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FC874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DN400/DN350，PN16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43196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0C74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1DC5CA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4CE090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5E23313">
            <w:pPr>
              <w:jc w:val="center"/>
              <w:rPr>
                <w:rFonts w:hint="eastAsia" w:ascii="宋体" w:hAnsi="宋体" w:eastAsia="宋体" w:cs="宋体"/>
                <w:i w:val="0"/>
                <w:iCs w:val="0"/>
                <w:color w:val="auto"/>
                <w:sz w:val="20"/>
                <w:szCs w:val="20"/>
                <w:highlight w:val="none"/>
                <w:u w:val="none"/>
              </w:rPr>
            </w:pPr>
          </w:p>
        </w:tc>
      </w:tr>
      <w:tr w14:paraId="10F939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2B858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24E2B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等径三通</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DA926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4B6E4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63168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EA5900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F303F4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294F351">
            <w:pPr>
              <w:jc w:val="center"/>
              <w:rPr>
                <w:rFonts w:hint="eastAsia" w:ascii="宋体" w:hAnsi="宋体" w:eastAsia="宋体" w:cs="宋体"/>
                <w:i w:val="0"/>
                <w:iCs w:val="0"/>
                <w:color w:val="auto"/>
                <w:sz w:val="20"/>
                <w:szCs w:val="20"/>
                <w:highlight w:val="none"/>
                <w:u w:val="none"/>
              </w:rPr>
            </w:pPr>
          </w:p>
        </w:tc>
      </w:tr>
      <w:tr w14:paraId="6F664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6E3B8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2D421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风管支架</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E1683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各类角钢、型钢</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A49AC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t</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F6335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2.50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C2FF05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A970AA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76F5BDE">
            <w:pPr>
              <w:jc w:val="center"/>
              <w:rPr>
                <w:rFonts w:hint="eastAsia" w:ascii="宋体" w:hAnsi="宋体" w:eastAsia="宋体" w:cs="宋体"/>
                <w:i w:val="0"/>
                <w:iCs w:val="0"/>
                <w:color w:val="auto"/>
                <w:sz w:val="20"/>
                <w:szCs w:val="20"/>
                <w:highlight w:val="none"/>
                <w:u w:val="none"/>
              </w:rPr>
            </w:pPr>
          </w:p>
        </w:tc>
      </w:tr>
      <w:tr w14:paraId="2B715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8D2E7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8E008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风机吊架</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BD963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各类角钢、型钢</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8E6FF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t</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A12BD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0DC803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75FED4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E094260">
            <w:pPr>
              <w:jc w:val="center"/>
              <w:rPr>
                <w:rFonts w:hint="eastAsia" w:ascii="宋体" w:hAnsi="宋体" w:eastAsia="宋体" w:cs="宋体"/>
                <w:i w:val="0"/>
                <w:iCs w:val="0"/>
                <w:color w:val="auto"/>
                <w:sz w:val="20"/>
                <w:szCs w:val="20"/>
                <w:highlight w:val="none"/>
                <w:u w:val="none"/>
              </w:rPr>
            </w:pPr>
          </w:p>
        </w:tc>
      </w:tr>
      <w:tr w14:paraId="7A846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D9D63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EAF25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管夹、支架</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9CD2C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各类角钢、型钢</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50127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kg</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24075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FC8395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5889F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3FC1168">
            <w:pPr>
              <w:jc w:val="center"/>
              <w:rPr>
                <w:rFonts w:hint="eastAsia" w:ascii="宋体" w:hAnsi="宋体" w:eastAsia="宋体" w:cs="宋体"/>
                <w:i w:val="0"/>
                <w:iCs w:val="0"/>
                <w:color w:val="auto"/>
                <w:sz w:val="20"/>
                <w:szCs w:val="20"/>
                <w:highlight w:val="none"/>
                <w:u w:val="none"/>
              </w:rPr>
            </w:pPr>
          </w:p>
        </w:tc>
      </w:tr>
      <w:tr w14:paraId="44FD2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897EA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F025C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活接头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0A7FF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60A0F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F0E18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2460C3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1637DC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179CB2A">
            <w:pPr>
              <w:jc w:val="center"/>
              <w:rPr>
                <w:rFonts w:hint="eastAsia" w:ascii="宋体" w:hAnsi="宋体" w:eastAsia="宋体" w:cs="宋体"/>
                <w:i w:val="0"/>
                <w:iCs w:val="0"/>
                <w:color w:val="auto"/>
                <w:sz w:val="20"/>
                <w:szCs w:val="20"/>
                <w:highlight w:val="none"/>
                <w:u w:val="none"/>
              </w:rPr>
            </w:pPr>
          </w:p>
        </w:tc>
      </w:tr>
      <w:tr w14:paraId="4E875F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B1EF2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26DCF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活接头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0D1D7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8DEAD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E090F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AC9D1C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7DC943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BC71B3E">
            <w:pPr>
              <w:jc w:val="center"/>
              <w:rPr>
                <w:rFonts w:hint="eastAsia" w:ascii="宋体" w:hAnsi="宋体" w:eastAsia="宋体" w:cs="宋体"/>
                <w:i w:val="0"/>
                <w:iCs w:val="0"/>
                <w:color w:val="auto"/>
                <w:sz w:val="20"/>
                <w:szCs w:val="20"/>
                <w:highlight w:val="none"/>
                <w:u w:val="none"/>
              </w:rPr>
            </w:pPr>
          </w:p>
        </w:tc>
      </w:tr>
      <w:tr w14:paraId="5CF95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0EDAE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09810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矩形百叶风口</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7A62C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1200×2000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3DB5E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3F131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921AE2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2E8D29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0ACD369">
            <w:pPr>
              <w:jc w:val="center"/>
              <w:rPr>
                <w:rFonts w:hint="eastAsia" w:ascii="宋体" w:hAnsi="宋体" w:eastAsia="宋体" w:cs="宋体"/>
                <w:i w:val="0"/>
                <w:iCs w:val="0"/>
                <w:color w:val="auto"/>
                <w:sz w:val="20"/>
                <w:szCs w:val="20"/>
                <w:highlight w:val="none"/>
                <w:u w:val="none"/>
              </w:rPr>
            </w:pPr>
          </w:p>
        </w:tc>
      </w:tr>
      <w:tr w14:paraId="5EFFE6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64A7B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C2044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天圆地方</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BC3F9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φ660/500×1000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BDC7D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9FF22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787246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256316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9AF1104">
            <w:pPr>
              <w:jc w:val="center"/>
              <w:rPr>
                <w:rFonts w:hint="eastAsia" w:ascii="宋体" w:hAnsi="宋体" w:eastAsia="宋体" w:cs="宋体"/>
                <w:i w:val="0"/>
                <w:iCs w:val="0"/>
                <w:color w:val="auto"/>
                <w:sz w:val="20"/>
                <w:szCs w:val="20"/>
                <w:highlight w:val="none"/>
                <w:u w:val="none"/>
              </w:rPr>
            </w:pPr>
          </w:p>
        </w:tc>
      </w:tr>
      <w:tr w14:paraId="2E32C6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AF5E2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9A64F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矩形百叶风口</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627C8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700×800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2AC1E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AA6F6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2FF49F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BBA787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E4588C3">
            <w:pPr>
              <w:jc w:val="center"/>
              <w:rPr>
                <w:rFonts w:hint="eastAsia" w:ascii="宋体" w:hAnsi="宋体" w:eastAsia="宋体" w:cs="宋体"/>
                <w:i w:val="0"/>
                <w:iCs w:val="0"/>
                <w:color w:val="auto"/>
                <w:sz w:val="20"/>
                <w:szCs w:val="20"/>
                <w:highlight w:val="none"/>
                <w:u w:val="none"/>
              </w:rPr>
            </w:pPr>
          </w:p>
        </w:tc>
      </w:tr>
      <w:tr w14:paraId="611CC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285DC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17371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矩形风管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DE9DB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500×1000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79439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06F1E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77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59B569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6C4AC3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00D9D29">
            <w:pPr>
              <w:jc w:val="center"/>
              <w:rPr>
                <w:rFonts w:hint="eastAsia" w:ascii="宋体" w:hAnsi="宋体" w:eastAsia="宋体" w:cs="宋体"/>
                <w:i w:val="0"/>
                <w:iCs w:val="0"/>
                <w:color w:val="auto"/>
                <w:sz w:val="20"/>
                <w:szCs w:val="20"/>
                <w:highlight w:val="none"/>
                <w:u w:val="none"/>
              </w:rPr>
            </w:pPr>
          </w:p>
        </w:tc>
      </w:tr>
      <w:tr w14:paraId="79DA53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073A8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9CC27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90°弯头风管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31F03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500×1000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1D8F6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C8290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F1C3BB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BED8B7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39F2091">
            <w:pPr>
              <w:jc w:val="center"/>
              <w:rPr>
                <w:rFonts w:hint="eastAsia" w:ascii="宋体" w:hAnsi="宋体" w:eastAsia="宋体" w:cs="宋体"/>
                <w:i w:val="0"/>
                <w:iCs w:val="0"/>
                <w:color w:val="auto"/>
                <w:sz w:val="20"/>
                <w:szCs w:val="20"/>
                <w:highlight w:val="none"/>
                <w:u w:val="none"/>
              </w:rPr>
            </w:pPr>
          </w:p>
        </w:tc>
      </w:tr>
      <w:tr w14:paraId="3C1D82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90E8D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DD4CE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防火柔性连接管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8A316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φ660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2B8A9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F5716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02C01A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7EA895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85BCC3C">
            <w:pPr>
              <w:jc w:val="center"/>
              <w:rPr>
                <w:rFonts w:hint="eastAsia" w:ascii="宋体" w:hAnsi="宋体" w:eastAsia="宋体" w:cs="宋体"/>
                <w:i w:val="0"/>
                <w:iCs w:val="0"/>
                <w:color w:val="auto"/>
                <w:sz w:val="20"/>
                <w:szCs w:val="20"/>
                <w:highlight w:val="none"/>
                <w:u w:val="none"/>
              </w:rPr>
            </w:pPr>
          </w:p>
        </w:tc>
      </w:tr>
      <w:tr w14:paraId="2EAAB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C7343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2CE2A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矩形风管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D0D3B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1500×1000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7C89F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DAD27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310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ADE9E4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53A0AF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32BBE05">
            <w:pPr>
              <w:jc w:val="center"/>
              <w:rPr>
                <w:rFonts w:hint="eastAsia" w:ascii="宋体" w:hAnsi="宋体" w:eastAsia="宋体" w:cs="宋体"/>
                <w:i w:val="0"/>
                <w:iCs w:val="0"/>
                <w:color w:val="auto"/>
                <w:sz w:val="20"/>
                <w:szCs w:val="20"/>
                <w:highlight w:val="none"/>
                <w:u w:val="none"/>
              </w:rPr>
            </w:pPr>
          </w:p>
        </w:tc>
      </w:tr>
      <w:tr w14:paraId="47B9B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FCC2B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1C860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离心风机</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27B4E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40000m³/h，300Pa</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3F0F6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60F93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A87E1E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7B0DF8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2C4218F">
            <w:pPr>
              <w:jc w:val="center"/>
              <w:rPr>
                <w:rFonts w:hint="eastAsia" w:ascii="宋体" w:hAnsi="宋体" w:eastAsia="宋体" w:cs="宋体"/>
                <w:i w:val="0"/>
                <w:iCs w:val="0"/>
                <w:color w:val="auto"/>
                <w:sz w:val="20"/>
                <w:szCs w:val="20"/>
                <w:highlight w:val="none"/>
                <w:u w:val="none"/>
              </w:rPr>
            </w:pPr>
          </w:p>
        </w:tc>
      </w:tr>
      <w:tr w14:paraId="0624A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86538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ACAA8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斜流风机</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4AEA3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12400m³/h，300Pa</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BF832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F64C0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0873F0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9157CA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DC7381F">
            <w:pPr>
              <w:jc w:val="center"/>
              <w:rPr>
                <w:rFonts w:hint="eastAsia" w:ascii="宋体" w:hAnsi="宋体" w:eastAsia="宋体" w:cs="宋体"/>
                <w:i w:val="0"/>
                <w:iCs w:val="0"/>
                <w:color w:val="auto"/>
                <w:sz w:val="20"/>
                <w:szCs w:val="20"/>
                <w:highlight w:val="none"/>
                <w:u w:val="none"/>
              </w:rPr>
            </w:pPr>
          </w:p>
        </w:tc>
      </w:tr>
      <w:tr w14:paraId="4172FE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59902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FEEA1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软管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BD3F5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956FF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EC61C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35C0B6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0004C6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9A1892D">
            <w:pPr>
              <w:jc w:val="center"/>
              <w:rPr>
                <w:rFonts w:hint="eastAsia" w:ascii="宋体" w:hAnsi="宋体" w:eastAsia="宋体" w:cs="宋体"/>
                <w:i w:val="0"/>
                <w:iCs w:val="0"/>
                <w:color w:val="auto"/>
                <w:sz w:val="20"/>
                <w:szCs w:val="20"/>
                <w:highlight w:val="none"/>
                <w:u w:val="none"/>
              </w:rPr>
            </w:pPr>
          </w:p>
        </w:tc>
      </w:tr>
      <w:tr w14:paraId="48AA8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8CCA8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F60E9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软管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0F8EF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EBB4A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F8449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F6B76C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601BFE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308F0D2">
            <w:pPr>
              <w:jc w:val="center"/>
              <w:rPr>
                <w:rFonts w:hint="eastAsia" w:ascii="宋体" w:hAnsi="宋体" w:eastAsia="宋体" w:cs="宋体"/>
                <w:i w:val="0"/>
                <w:iCs w:val="0"/>
                <w:color w:val="auto"/>
                <w:sz w:val="20"/>
                <w:szCs w:val="20"/>
                <w:highlight w:val="none"/>
                <w:u w:val="none"/>
              </w:rPr>
            </w:pPr>
          </w:p>
        </w:tc>
      </w:tr>
      <w:tr w14:paraId="670BD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4973C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A8A39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BCEC0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B5F19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4DE6B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119678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3092EF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C574991">
            <w:pPr>
              <w:jc w:val="center"/>
              <w:rPr>
                <w:rFonts w:hint="eastAsia" w:ascii="宋体" w:hAnsi="宋体" w:eastAsia="宋体" w:cs="宋体"/>
                <w:i w:val="0"/>
                <w:iCs w:val="0"/>
                <w:color w:val="auto"/>
                <w:sz w:val="20"/>
                <w:szCs w:val="20"/>
                <w:highlight w:val="none"/>
                <w:u w:val="none"/>
              </w:rPr>
            </w:pPr>
          </w:p>
        </w:tc>
      </w:tr>
      <w:tr w14:paraId="5BCCB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BA591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01979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8366A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40ADE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B3BFE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66D626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315F47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7CF1B19">
            <w:pPr>
              <w:jc w:val="center"/>
              <w:rPr>
                <w:rFonts w:hint="eastAsia" w:ascii="宋体" w:hAnsi="宋体" w:eastAsia="宋体" w:cs="宋体"/>
                <w:i w:val="0"/>
                <w:iCs w:val="0"/>
                <w:color w:val="auto"/>
                <w:sz w:val="20"/>
                <w:szCs w:val="20"/>
                <w:highlight w:val="none"/>
                <w:u w:val="none"/>
              </w:rPr>
            </w:pPr>
          </w:p>
        </w:tc>
      </w:tr>
      <w:tr w14:paraId="37C95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23A4C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FA4EA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5183A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F4CB7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9B24F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F87BFC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017E6C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B6CBC10">
            <w:pPr>
              <w:jc w:val="center"/>
              <w:rPr>
                <w:rFonts w:hint="eastAsia" w:ascii="宋体" w:hAnsi="宋体" w:eastAsia="宋体" w:cs="宋体"/>
                <w:i w:val="0"/>
                <w:iCs w:val="0"/>
                <w:color w:val="auto"/>
                <w:sz w:val="20"/>
                <w:szCs w:val="20"/>
                <w:highlight w:val="none"/>
                <w:u w:val="none"/>
              </w:rPr>
            </w:pPr>
          </w:p>
        </w:tc>
      </w:tr>
      <w:tr w14:paraId="510A9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2165D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B29B2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24E80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A5CD3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A9880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48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FE46B2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CAF0D8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53E9A1B">
            <w:pPr>
              <w:jc w:val="center"/>
              <w:rPr>
                <w:rFonts w:hint="eastAsia" w:ascii="宋体" w:hAnsi="宋体" w:eastAsia="宋体" w:cs="宋体"/>
                <w:i w:val="0"/>
                <w:iCs w:val="0"/>
                <w:color w:val="auto"/>
                <w:sz w:val="20"/>
                <w:szCs w:val="20"/>
                <w:highlight w:val="none"/>
                <w:u w:val="none"/>
              </w:rPr>
            </w:pPr>
          </w:p>
        </w:tc>
      </w:tr>
      <w:tr w14:paraId="487BCE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7D873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01A5B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9F8D8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E3414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6D45F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895655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31E6F8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BF27C01">
            <w:pPr>
              <w:jc w:val="center"/>
              <w:rPr>
                <w:rFonts w:hint="eastAsia" w:ascii="宋体" w:hAnsi="宋体" w:eastAsia="宋体" w:cs="宋体"/>
                <w:i w:val="0"/>
                <w:iCs w:val="0"/>
                <w:color w:val="auto"/>
                <w:sz w:val="20"/>
                <w:szCs w:val="20"/>
                <w:highlight w:val="none"/>
                <w:u w:val="none"/>
              </w:rPr>
            </w:pPr>
          </w:p>
        </w:tc>
      </w:tr>
      <w:tr w14:paraId="63DF4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7BE55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4CB7D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B78D6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F9153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1591F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3BFE13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386D9A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1666E71">
            <w:pPr>
              <w:jc w:val="center"/>
              <w:rPr>
                <w:rFonts w:hint="eastAsia" w:ascii="宋体" w:hAnsi="宋体" w:eastAsia="宋体" w:cs="宋体"/>
                <w:i w:val="0"/>
                <w:iCs w:val="0"/>
                <w:color w:val="auto"/>
                <w:sz w:val="20"/>
                <w:szCs w:val="20"/>
                <w:highlight w:val="none"/>
                <w:u w:val="none"/>
              </w:rPr>
            </w:pPr>
          </w:p>
        </w:tc>
      </w:tr>
      <w:tr w14:paraId="48E8E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89113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F8FD0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8385F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26E76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7A8BF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DB6951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B927C3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1EFD078">
            <w:pPr>
              <w:jc w:val="center"/>
              <w:rPr>
                <w:rFonts w:hint="eastAsia" w:ascii="宋体" w:hAnsi="宋体" w:eastAsia="宋体" w:cs="宋体"/>
                <w:i w:val="0"/>
                <w:iCs w:val="0"/>
                <w:color w:val="auto"/>
                <w:sz w:val="20"/>
                <w:szCs w:val="20"/>
                <w:highlight w:val="none"/>
                <w:u w:val="none"/>
              </w:rPr>
            </w:pPr>
          </w:p>
        </w:tc>
      </w:tr>
      <w:tr w14:paraId="165BD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0869C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28748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F27C7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ECC55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3BF42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461659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0387C0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0DBB3EB">
            <w:pPr>
              <w:jc w:val="center"/>
              <w:rPr>
                <w:rFonts w:hint="eastAsia" w:ascii="宋体" w:hAnsi="宋体" w:eastAsia="宋体" w:cs="宋体"/>
                <w:i w:val="0"/>
                <w:iCs w:val="0"/>
                <w:color w:val="auto"/>
                <w:sz w:val="20"/>
                <w:szCs w:val="20"/>
                <w:highlight w:val="none"/>
                <w:u w:val="none"/>
              </w:rPr>
            </w:pPr>
          </w:p>
        </w:tc>
      </w:tr>
      <w:tr w14:paraId="51B99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25E8D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55977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E1487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DN65,90ES,镀锌</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3A432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43D0C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B92E1A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92171C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CFCBD52">
            <w:pPr>
              <w:jc w:val="center"/>
              <w:rPr>
                <w:rFonts w:hint="eastAsia" w:ascii="宋体" w:hAnsi="宋体" w:eastAsia="宋体" w:cs="宋体"/>
                <w:i w:val="0"/>
                <w:iCs w:val="0"/>
                <w:color w:val="auto"/>
                <w:sz w:val="20"/>
                <w:szCs w:val="20"/>
                <w:highlight w:val="none"/>
                <w:u w:val="none"/>
              </w:rPr>
            </w:pPr>
          </w:p>
        </w:tc>
      </w:tr>
      <w:tr w14:paraId="51585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10351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A7328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A66B7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DN50,90ELR,镀锌</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6A107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D752F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6C56D0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A3A523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30139E7">
            <w:pPr>
              <w:jc w:val="center"/>
              <w:rPr>
                <w:rFonts w:hint="eastAsia" w:ascii="宋体" w:hAnsi="宋体" w:eastAsia="宋体" w:cs="宋体"/>
                <w:i w:val="0"/>
                <w:iCs w:val="0"/>
                <w:color w:val="auto"/>
                <w:sz w:val="20"/>
                <w:szCs w:val="20"/>
                <w:highlight w:val="none"/>
                <w:u w:val="none"/>
              </w:rPr>
            </w:pPr>
          </w:p>
        </w:tc>
      </w:tr>
      <w:tr w14:paraId="7BA66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0E16C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E99AA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不锈钢无缝管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28390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φ219×5</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925DE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DFEFE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CFC165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10FFBA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F929E07">
            <w:pPr>
              <w:jc w:val="center"/>
              <w:rPr>
                <w:rFonts w:hint="eastAsia" w:ascii="宋体" w:hAnsi="宋体" w:eastAsia="宋体" w:cs="宋体"/>
                <w:i w:val="0"/>
                <w:iCs w:val="0"/>
                <w:color w:val="auto"/>
                <w:sz w:val="20"/>
                <w:szCs w:val="20"/>
                <w:highlight w:val="none"/>
                <w:u w:val="none"/>
              </w:rPr>
            </w:pPr>
          </w:p>
        </w:tc>
      </w:tr>
      <w:tr w14:paraId="4729D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3D686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87EC6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E5A92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6F0BD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DE65A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047181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7E323A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CE4A7AA">
            <w:pPr>
              <w:jc w:val="center"/>
              <w:rPr>
                <w:rFonts w:hint="eastAsia" w:ascii="宋体" w:hAnsi="宋体" w:eastAsia="宋体" w:cs="宋体"/>
                <w:i w:val="0"/>
                <w:iCs w:val="0"/>
                <w:color w:val="auto"/>
                <w:sz w:val="20"/>
                <w:szCs w:val="20"/>
                <w:highlight w:val="none"/>
                <w:u w:val="none"/>
              </w:rPr>
            </w:pPr>
          </w:p>
        </w:tc>
      </w:tr>
      <w:tr w14:paraId="3925C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D0B98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3FA68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66BCF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D3684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733FD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17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B539A1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E83EB3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B12D633">
            <w:pPr>
              <w:jc w:val="center"/>
              <w:rPr>
                <w:rFonts w:hint="eastAsia" w:ascii="宋体" w:hAnsi="宋体" w:eastAsia="宋体" w:cs="宋体"/>
                <w:i w:val="0"/>
                <w:iCs w:val="0"/>
                <w:color w:val="auto"/>
                <w:sz w:val="20"/>
                <w:szCs w:val="20"/>
                <w:highlight w:val="none"/>
                <w:u w:val="none"/>
              </w:rPr>
            </w:pPr>
          </w:p>
        </w:tc>
      </w:tr>
      <w:tr w14:paraId="230EF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9D57F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4E271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78E86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EABCD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9B0B7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147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95DF63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39B849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B932F01">
            <w:pPr>
              <w:jc w:val="center"/>
              <w:rPr>
                <w:rFonts w:hint="eastAsia" w:ascii="宋体" w:hAnsi="宋体" w:eastAsia="宋体" w:cs="宋体"/>
                <w:i w:val="0"/>
                <w:iCs w:val="0"/>
                <w:color w:val="auto"/>
                <w:sz w:val="20"/>
                <w:szCs w:val="20"/>
                <w:highlight w:val="none"/>
                <w:u w:val="none"/>
              </w:rPr>
            </w:pPr>
          </w:p>
        </w:tc>
      </w:tr>
      <w:tr w14:paraId="28C2E0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0BFD7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1F308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40360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12DC9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2A445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28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DB93DE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CC8AFB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0CEC04C">
            <w:pPr>
              <w:jc w:val="center"/>
              <w:rPr>
                <w:rFonts w:hint="eastAsia" w:ascii="宋体" w:hAnsi="宋体" w:eastAsia="宋体" w:cs="宋体"/>
                <w:i w:val="0"/>
                <w:iCs w:val="0"/>
                <w:color w:val="auto"/>
                <w:sz w:val="20"/>
                <w:szCs w:val="20"/>
                <w:highlight w:val="none"/>
                <w:u w:val="none"/>
              </w:rPr>
            </w:pPr>
          </w:p>
        </w:tc>
      </w:tr>
      <w:tr w14:paraId="24CC0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FB5AE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DDCA6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C3D03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3DBF5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AA756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12F848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4F473E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F551CDF">
            <w:pPr>
              <w:jc w:val="center"/>
              <w:rPr>
                <w:rFonts w:hint="eastAsia" w:ascii="宋体" w:hAnsi="宋体" w:eastAsia="宋体" w:cs="宋体"/>
                <w:i w:val="0"/>
                <w:iCs w:val="0"/>
                <w:color w:val="auto"/>
                <w:sz w:val="20"/>
                <w:szCs w:val="20"/>
                <w:highlight w:val="none"/>
                <w:u w:val="none"/>
              </w:rPr>
            </w:pPr>
          </w:p>
        </w:tc>
      </w:tr>
      <w:tr w14:paraId="6BCB1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5C046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6B1D4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607BC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79B53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F10A5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80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C51F28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242C61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61CC40A">
            <w:pPr>
              <w:jc w:val="center"/>
              <w:rPr>
                <w:rFonts w:hint="eastAsia" w:ascii="宋体" w:hAnsi="宋体" w:eastAsia="宋体" w:cs="宋体"/>
                <w:i w:val="0"/>
                <w:iCs w:val="0"/>
                <w:color w:val="auto"/>
                <w:sz w:val="20"/>
                <w:szCs w:val="20"/>
                <w:highlight w:val="none"/>
                <w:u w:val="none"/>
              </w:rPr>
            </w:pPr>
          </w:p>
        </w:tc>
      </w:tr>
      <w:tr w14:paraId="7E55E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B589C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A6DF4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9BDA6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DF978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E0901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620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784008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1788CB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ECB5639">
            <w:pPr>
              <w:jc w:val="center"/>
              <w:rPr>
                <w:rFonts w:hint="eastAsia" w:ascii="宋体" w:hAnsi="宋体" w:eastAsia="宋体" w:cs="宋体"/>
                <w:i w:val="0"/>
                <w:iCs w:val="0"/>
                <w:color w:val="auto"/>
                <w:sz w:val="20"/>
                <w:szCs w:val="20"/>
                <w:highlight w:val="none"/>
                <w:u w:val="none"/>
              </w:rPr>
            </w:pPr>
          </w:p>
        </w:tc>
      </w:tr>
      <w:tr w14:paraId="42A63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8BC5A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DA87D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镀锌焊接钢管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5FE9A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DN50(φ60.3×3.8)</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E0281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46116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888FD5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5A16ED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1EFEB4E">
            <w:pPr>
              <w:jc w:val="center"/>
              <w:rPr>
                <w:rFonts w:hint="eastAsia" w:ascii="宋体" w:hAnsi="宋体" w:eastAsia="宋体" w:cs="宋体"/>
                <w:i w:val="0"/>
                <w:iCs w:val="0"/>
                <w:color w:val="auto"/>
                <w:sz w:val="20"/>
                <w:szCs w:val="20"/>
                <w:highlight w:val="none"/>
                <w:u w:val="none"/>
              </w:rPr>
            </w:pPr>
          </w:p>
        </w:tc>
      </w:tr>
      <w:tr w14:paraId="15A1B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10360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92ADB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镀锌焊接钢管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0632F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DN65(φ76.1×4.0)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252E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2E3CC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27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3B23E7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626FAF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B084E39">
            <w:pPr>
              <w:jc w:val="center"/>
              <w:rPr>
                <w:rFonts w:hint="eastAsia" w:ascii="宋体" w:hAnsi="宋体" w:eastAsia="宋体" w:cs="宋体"/>
                <w:i w:val="0"/>
                <w:iCs w:val="0"/>
                <w:color w:val="auto"/>
                <w:sz w:val="20"/>
                <w:szCs w:val="20"/>
                <w:highlight w:val="none"/>
                <w:u w:val="none"/>
              </w:rPr>
            </w:pPr>
          </w:p>
        </w:tc>
      </w:tr>
      <w:tr w14:paraId="08BFD4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2BF7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A0F84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镀锌焊接钢管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26FE3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DN80(φ87.6×4.0)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76052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39054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320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856222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62F8A1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3E19675">
            <w:pPr>
              <w:jc w:val="center"/>
              <w:rPr>
                <w:rFonts w:hint="eastAsia" w:ascii="宋体" w:hAnsi="宋体" w:eastAsia="宋体" w:cs="宋体"/>
                <w:i w:val="0"/>
                <w:iCs w:val="0"/>
                <w:color w:val="auto"/>
                <w:sz w:val="20"/>
                <w:szCs w:val="20"/>
                <w:highlight w:val="none"/>
                <w:u w:val="none"/>
              </w:rPr>
            </w:pPr>
          </w:p>
        </w:tc>
      </w:tr>
      <w:tr w14:paraId="431A5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A6DB0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E0C73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钢管检修进人孔</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1C6E3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φ800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45BD0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E6E54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58985A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4619E4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3E69B5E">
            <w:pPr>
              <w:jc w:val="center"/>
              <w:rPr>
                <w:rFonts w:hint="eastAsia" w:ascii="宋体" w:hAnsi="宋体" w:eastAsia="宋体" w:cs="宋体"/>
                <w:i w:val="0"/>
                <w:iCs w:val="0"/>
                <w:color w:val="auto"/>
                <w:sz w:val="20"/>
                <w:szCs w:val="20"/>
                <w:highlight w:val="none"/>
                <w:u w:val="none"/>
              </w:rPr>
            </w:pPr>
          </w:p>
        </w:tc>
      </w:tr>
      <w:tr w14:paraId="02454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F9EE3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A6E5E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气体成分监测仪</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9D090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CO2、SO2、H2S等</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EED98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套</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92770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0AB435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2F9433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42A894B">
            <w:pPr>
              <w:jc w:val="center"/>
              <w:rPr>
                <w:rFonts w:hint="eastAsia" w:ascii="宋体" w:hAnsi="宋体" w:eastAsia="宋体" w:cs="宋体"/>
                <w:i w:val="0"/>
                <w:iCs w:val="0"/>
                <w:color w:val="auto"/>
                <w:sz w:val="20"/>
                <w:szCs w:val="20"/>
                <w:highlight w:val="none"/>
                <w:u w:val="none"/>
              </w:rPr>
            </w:pPr>
          </w:p>
        </w:tc>
      </w:tr>
      <w:tr w14:paraId="325CD1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679BB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2ECDD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橡胶软管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F3EB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18D25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24F20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B2F44C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4D88CD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EECD4EB">
            <w:pPr>
              <w:jc w:val="center"/>
              <w:rPr>
                <w:rFonts w:hint="eastAsia" w:ascii="宋体" w:hAnsi="宋体" w:eastAsia="宋体" w:cs="宋体"/>
                <w:i w:val="0"/>
                <w:iCs w:val="0"/>
                <w:color w:val="auto"/>
                <w:sz w:val="20"/>
                <w:szCs w:val="20"/>
                <w:highlight w:val="none"/>
                <w:u w:val="none"/>
              </w:rPr>
            </w:pPr>
          </w:p>
        </w:tc>
      </w:tr>
      <w:tr w14:paraId="3FBDCE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FBDA2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AA4E0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橡胶软管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B5DB1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EAE50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96776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38F8DB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D15FFB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9977C3F">
            <w:pPr>
              <w:jc w:val="center"/>
              <w:rPr>
                <w:rFonts w:hint="eastAsia" w:ascii="宋体" w:hAnsi="宋体" w:eastAsia="宋体" w:cs="宋体"/>
                <w:i w:val="0"/>
                <w:iCs w:val="0"/>
                <w:color w:val="auto"/>
                <w:sz w:val="20"/>
                <w:szCs w:val="20"/>
                <w:highlight w:val="none"/>
                <w:u w:val="none"/>
              </w:rPr>
            </w:pPr>
          </w:p>
        </w:tc>
      </w:tr>
      <w:tr w14:paraId="442840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F8CA3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AE905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橡胶软管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0334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124F5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E534C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18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EA2EDE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7E92C7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35CD460">
            <w:pPr>
              <w:jc w:val="center"/>
              <w:rPr>
                <w:rFonts w:hint="eastAsia" w:ascii="宋体" w:hAnsi="宋体" w:eastAsia="宋体" w:cs="宋体"/>
                <w:i w:val="0"/>
                <w:iCs w:val="0"/>
                <w:color w:val="auto"/>
                <w:sz w:val="20"/>
                <w:szCs w:val="20"/>
                <w:highlight w:val="none"/>
                <w:u w:val="none"/>
              </w:rPr>
            </w:pPr>
          </w:p>
        </w:tc>
      </w:tr>
      <w:tr w14:paraId="2DFC7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F2C65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八</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74F1A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其他</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1D3E7EF">
            <w:pPr>
              <w:jc w:val="center"/>
              <w:rPr>
                <w:rFonts w:hint="eastAsia" w:ascii="宋体" w:hAnsi="宋体" w:eastAsia="宋体" w:cs="宋体"/>
                <w:i w:val="0"/>
                <w:iCs w:val="0"/>
                <w:color w:val="auto"/>
                <w:sz w:val="20"/>
                <w:szCs w:val="20"/>
                <w:highlight w:val="none"/>
                <w:u w:val="none"/>
              </w:rPr>
            </w:pP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59D3B52">
            <w:pPr>
              <w:jc w:val="center"/>
              <w:rPr>
                <w:rFonts w:hint="eastAsia" w:ascii="宋体" w:hAnsi="宋体" w:eastAsia="宋体" w:cs="宋体"/>
                <w:i w:val="0"/>
                <w:iCs w:val="0"/>
                <w:color w:val="auto"/>
                <w:sz w:val="20"/>
                <w:szCs w:val="20"/>
                <w:highlight w:val="none"/>
                <w:u w:val="none"/>
              </w:rPr>
            </w:pP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34C5BE6">
            <w:pPr>
              <w:jc w:val="center"/>
              <w:rPr>
                <w:rFonts w:hint="eastAsia" w:ascii="宋体" w:hAnsi="宋体" w:eastAsia="宋体" w:cs="宋体"/>
                <w:i w:val="0"/>
                <w:iCs w:val="0"/>
                <w:color w:val="auto"/>
                <w:sz w:val="20"/>
                <w:szCs w:val="20"/>
                <w:highlight w:val="none"/>
                <w:u w:val="none"/>
              </w:rPr>
            </w:pPr>
          </w:p>
        </w:tc>
        <w:tc>
          <w:tcPr>
            <w:tcW w:w="275" w:type="pct"/>
            <w:tcBorders>
              <w:top w:val="single" w:color="000000" w:sz="4" w:space="0"/>
              <w:left w:val="single" w:color="000000" w:sz="4" w:space="0"/>
              <w:bottom w:val="single" w:color="000000" w:sz="4" w:space="0"/>
              <w:right w:val="single" w:color="000000" w:sz="4" w:space="0"/>
            </w:tcBorders>
            <w:noWrap/>
            <w:vAlign w:val="center"/>
          </w:tcPr>
          <w:p w14:paraId="6DD93335">
            <w:pPr>
              <w:jc w:val="center"/>
              <w:rPr>
                <w:rFonts w:hint="eastAsia" w:ascii="宋体" w:hAnsi="宋体" w:eastAsia="宋体" w:cs="宋体"/>
                <w:i w:val="0"/>
                <w:iCs w:val="0"/>
                <w:color w:val="auto"/>
                <w:sz w:val="20"/>
                <w:szCs w:val="20"/>
                <w:highlight w:val="none"/>
                <w:u w:val="none"/>
              </w:rPr>
            </w:pPr>
          </w:p>
        </w:tc>
        <w:tc>
          <w:tcPr>
            <w:tcW w:w="284" w:type="pct"/>
            <w:tcBorders>
              <w:top w:val="single" w:color="000000" w:sz="4" w:space="0"/>
              <w:left w:val="single" w:color="000000" w:sz="4" w:space="0"/>
              <w:bottom w:val="single" w:color="000000" w:sz="4" w:space="0"/>
              <w:right w:val="single" w:color="000000" w:sz="4" w:space="0"/>
            </w:tcBorders>
            <w:noWrap/>
            <w:vAlign w:val="center"/>
          </w:tcPr>
          <w:p w14:paraId="48F8AAEA">
            <w:pPr>
              <w:jc w:val="center"/>
              <w:rPr>
                <w:rFonts w:hint="eastAsia" w:ascii="宋体" w:hAnsi="宋体" w:eastAsia="宋体" w:cs="宋体"/>
                <w:i w:val="0"/>
                <w:iCs w:val="0"/>
                <w:color w:val="auto"/>
                <w:sz w:val="20"/>
                <w:szCs w:val="20"/>
                <w:highlight w:val="none"/>
                <w:u w:val="none"/>
              </w:rPr>
            </w:pPr>
          </w:p>
        </w:tc>
        <w:tc>
          <w:tcPr>
            <w:tcW w:w="1253" w:type="pct"/>
            <w:tcBorders>
              <w:top w:val="single" w:color="000000" w:sz="4" w:space="0"/>
              <w:left w:val="single" w:color="000000" w:sz="4" w:space="0"/>
              <w:bottom w:val="single" w:color="000000" w:sz="4" w:space="0"/>
              <w:right w:val="single" w:color="000000" w:sz="4" w:space="0"/>
            </w:tcBorders>
            <w:noWrap/>
            <w:vAlign w:val="center"/>
          </w:tcPr>
          <w:p w14:paraId="2998F2CE">
            <w:pPr>
              <w:jc w:val="center"/>
              <w:rPr>
                <w:rFonts w:hint="eastAsia" w:ascii="宋体" w:hAnsi="宋体" w:eastAsia="宋体" w:cs="宋体"/>
                <w:i w:val="0"/>
                <w:iCs w:val="0"/>
                <w:color w:val="auto"/>
                <w:sz w:val="20"/>
                <w:szCs w:val="20"/>
                <w:highlight w:val="none"/>
                <w:u w:val="none"/>
              </w:rPr>
            </w:pPr>
          </w:p>
        </w:tc>
      </w:tr>
      <w:tr w14:paraId="6C83D2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C69FE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82264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92A41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DN2600，PN16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90AA2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E4D12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E4DCD7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E78C52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389044F">
            <w:pPr>
              <w:rPr>
                <w:rFonts w:hint="eastAsia" w:ascii="宋体" w:hAnsi="宋体" w:eastAsia="宋体" w:cs="宋体"/>
                <w:i w:val="0"/>
                <w:iCs w:val="0"/>
                <w:color w:val="auto"/>
                <w:sz w:val="20"/>
                <w:szCs w:val="20"/>
                <w:highlight w:val="none"/>
                <w:u w:val="none"/>
              </w:rPr>
            </w:pPr>
          </w:p>
        </w:tc>
      </w:tr>
      <w:tr w14:paraId="7A05E4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6FEEC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D809B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419F9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4E7B7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4AD83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9B0ABF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634CFD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AF732F0">
            <w:pPr>
              <w:rPr>
                <w:rFonts w:hint="eastAsia" w:ascii="宋体" w:hAnsi="宋体" w:eastAsia="宋体" w:cs="宋体"/>
                <w:i w:val="0"/>
                <w:iCs w:val="0"/>
                <w:color w:val="auto"/>
                <w:sz w:val="20"/>
                <w:szCs w:val="20"/>
                <w:highlight w:val="none"/>
                <w:u w:val="none"/>
              </w:rPr>
            </w:pPr>
          </w:p>
        </w:tc>
      </w:tr>
      <w:tr w14:paraId="24BA7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EED0F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FE2FF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470FF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3212C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3690D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2DC878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0D688A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11CED6D">
            <w:pPr>
              <w:rPr>
                <w:rFonts w:hint="eastAsia" w:ascii="宋体" w:hAnsi="宋体" w:eastAsia="宋体" w:cs="宋体"/>
                <w:i w:val="0"/>
                <w:iCs w:val="0"/>
                <w:color w:val="auto"/>
                <w:sz w:val="20"/>
                <w:szCs w:val="20"/>
                <w:highlight w:val="none"/>
                <w:u w:val="none"/>
              </w:rPr>
            </w:pPr>
          </w:p>
        </w:tc>
      </w:tr>
      <w:tr w14:paraId="61CF5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70F0B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4F266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D20F4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700ED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C197C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5C4ECA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2D3085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ED52C6B">
            <w:pPr>
              <w:rPr>
                <w:rFonts w:hint="eastAsia" w:ascii="宋体" w:hAnsi="宋体" w:eastAsia="宋体" w:cs="宋体"/>
                <w:i w:val="0"/>
                <w:iCs w:val="0"/>
                <w:color w:val="auto"/>
                <w:sz w:val="20"/>
                <w:szCs w:val="20"/>
                <w:highlight w:val="none"/>
                <w:u w:val="none"/>
              </w:rPr>
            </w:pPr>
          </w:p>
        </w:tc>
      </w:tr>
      <w:tr w14:paraId="57E46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70EAD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8BF2F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20DC5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8CACD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79478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98CA57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BE67F8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4400FF0">
            <w:pPr>
              <w:rPr>
                <w:rFonts w:hint="eastAsia" w:ascii="宋体" w:hAnsi="宋体" w:eastAsia="宋体" w:cs="宋体"/>
                <w:i w:val="0"/>
                <w:iCs w:val="0"/>
                <w:color w:val="auto"/>
                <w:sz w:val="20"/>
                <w:szCs w:val="20"/>
                <w:highlight w:val="none"/>
                <w:u w:val="none"/>
              </w:rPr>
            </w:pPr>
          </w:p>
        </w:tc>
      </w:tr>
      <w:tr w14:paraId="1FDBFF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75FB0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07A81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EE811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E6005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B7058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61EEB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499B7E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8D39F40">
            <w:pPr>
              <w:rPr>
                <w:rFonts w:hint="eastAsia" w:ascii="宋体" w:hAnsi="宋体" w:eastAsia="宋体" w:cs="宋体"/>
                <w:i w:val="0"/>
                <w:iCs w:val="0"/>
                <w:color w:val="auto"/>
                <w:sz w:val="20"/>
                <w:szCs w:val="20"/>
                <w:highlight w:val="none"/>
                <w:u w:val="none"/>
              </w:rPr>
            </w:pPr>
          </w:p>
        </w:tc>
      </w:tr>
      <w:tr w14:paraId="14440B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1864B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39A48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E0D03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2EF7F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EB5E9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8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C3EF41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F81479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F8453DE">
            <w:pPr>
              <w:rPr>
                <w:rFonts w:hint="eastAsia" w:ascii="宋体" w:hAnsi="宋体" w:eastAsia="宋体" w:cs="宋体"/>
                <w:i w:val="0"/>
                <w:iCs w:val="0"/>
                <w:color w:val="auto"/>
                <w:sz w:val="20"/>
                <w:szCs w:val="20"/>
                <w:highlight w:val="none"/>
                <w:u w:val="none"/>
              </w:rPr>
            </w:pPr>
          </w:p>
        </w:tc>
      </w:tr>
      <w:tr w14:paraId="2D6F5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7DD2D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34797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DDE1E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407AE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1910E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17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56B4C7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0BA840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0519D871">
            <w:pPr>
              <w:rPr>
                <w:rFonts w:hint="eastAsia" w:ascii="宋体" w:hAnsi="宋体" w:eastAsia="宋体" w:cs="宋体"/>
                <w:i w:val="0"/>
                <w:iCs w:val="0"/>
                <w:color w:val="auto"/>
                <w:sz w:val="20"/>
                <w:szCs w:val="20"/>
                <w:highlight w:val="none"/>
                <w:u w:val="none"/>
              </w:rPr>
            </w:pPr>
          </w:p>
        </w:tc>
      </w:tr>
      <w:tr w14:paraId="1530E5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CB736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378C9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D8C8D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6DC54B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20B3B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93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E4A4C0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217DCC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0AD421D">
            <w:pPr>
              <w:rPr>
                <w:rFonts w:hint="eastAsia" w:ascii="宋体" w:hAnsi="宋体" w:eastAsia="宋体" w:cs="宋体"/>
                <w:i w:val="0"/>
                <w:iCs w:val="0"/>
                <w:color w:val="auto"/>
                <w:sz w:val="20"/>
                <w:szCs w:val="20"/>
                <w:highlight w:val="none"/>
                <w:u w:val="none"/>
              </w:rPr>
            </w:pPr>
          </w:p>
        </w:tc>
      </w:tr>
      <w:tr w14:paraId="07235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4FE29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6777E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C09E2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658FF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AE64E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7A519B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B347A4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8D88840">
            <w:pPr>
              <w:rPr>
                <w:rFonts w:hint="eastAsia" w:ascii="宋体" w:hAnsi="宋体" w:eastAsia="宋体" w:cs="宋体"/>
                <w:i w:val="0"/>
                <w:iCs w:val="0"/>
                <w:color w:val="auto"/>
                <w:sz w:val="20"/>
                <w:szCs w:val="20"/>
                <w:highlight w:val="none"/>
                <w:u w:val="none"/>
              </w:rPr>
            </w:pPr>
          </w:p>
        </w:tc>
      </w:tr>
      <w:tr w14:paraId="3C7A1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FB2F2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A47C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7396F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11EA37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67E63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803022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1A891F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D931FD9">
            <w:pPr>
              <w:rPr>
                <w:rFonts w:hint="eastAsia" w:ascii="宋体" w:hAnsi="宋体" w:eastAsia="宋体" w:cs="宋体"/>
                <w:i w:val="0"/>
                <w:iCs w:val="0"/>
                <w:color w:val="auto"/>
                <w:sz w:val="20"/>
                <w:szCs w:val="20"/>
                <w:highlight w:val="none"/>
                <w:u w:val="none"/>
              </w:rPr>
            </w:pPr>
          </w:p>
        </w:tc>
      </w:tr>
      <w:tr w14:paraId="17C91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0A6C5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90E84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10C72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1E0E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60529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ECAD3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5F6833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6F35962">
            <w:pPr>
              <w:rPr>
                <w:rFonts w:hint="eastAsia" w:ascii="宋体" w:hAnsi="宋体" w:eastAsia="宋体" w:cs="宋体"/>
                <w:i w:val="0"/>
                <w:iCs w:val="0"/>
                <w:color w:val="auto"/>
                <w:sz w:val="20"/>
                <w:szCs w:val="20"/>
                <w:highlight w:val="none"/>
                <w:u w:val="none"/>
              </w:rPr>
            </w:pPr>
          </w:p>
        </w:tc>
      </w:tr>
      <w:tr w14:paraId="732E5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FEBD6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61C63F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2488A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PL，RF，DN1800，PN16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63820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4C2F31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700012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AADE6D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9DD2384">
            <w:pPr>
              <w:rPr>
                <w:rFonts w:hint="eastAsia" w:ascii="宋体" w:hAnsi="宋体" w:eastAsia="宋体" w:cs="宋体"/>
                <w:i w:val="0"/>
                <w:iCs w:val="0"/>
                <w:color w:val="auto"/>
                <w:sz w:val="20"/>
                <w:szCs w:val="20"/>
                <w:highlight w:val="none"/>
                <w:u w:val="none"/>
              </w:rPr>
            </w:pPr>
          </w:p>
        </w:tc>
      </w:tr>
      <w:tr w14:paraId="5F3F6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6DE99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C0284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94525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PL，RF，DN500，PN16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50126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54C5C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B5BEDA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483557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86CC6A9">
            <w:pPr>
              <w:rPr>
                <w:rFonts w:hint="eastAsia" w:ascii="宋体" w:hAnsi="宋体" w:eastAsia="宋体" w:cs="宋体"/>
                <w:i w:val="0"/>
                <w:iCs w:val="0"/>
                <w:color w:val="auto"/>
                <w:sz w:val="20"/>
                <w:szCs w:val="20"/>
                <w:highlight w:val="none"/>
                <w:u w:val="none"/>
              </w:rPr>
            </w:pPr>
          </w:p>
        </w:tc>
      </w:tr>
      <w:tr w14:paraId="6E351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31B99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88FE7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DF874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D1FA7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45A0F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AA2BD8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A39ACA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2D07BA2">
            <w:pPr>
              <w:rPr>
                <w:rFonts w:hint="eastAsia" w:ascii="宋体" w:hAnsi="宋体" w:eastAsia="宋体" w:cs="宋体"/>
                <w:i w:val="0"/>
                <w:iCs w:val="0"/>
                <w:color w:val="auto"/>
                <w:sz w:val="20"/>
                <w:szCs w:val="20"/>
                <w:highlight w:val="none"/>
                <w:u w:val="none"/>
              </w:rPr>
            </w:pPr>
          </w:p>
        </w:tc>
      </w:tr>
      <w:tr w14:paraId="75994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4B6F4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D181D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F9B1B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PL，RF，DN150，PN16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4B6A4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F4715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0B6549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28EF70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7EBED5B">
            <w:pPr>
              <w:rPr>
                <w:rFonts w:hint="eastAsia" w:ascii="宋体" w:hAnsi="宋体" w:eastAsia="宋体" w:cs="宋体"/>
                <w:i w:val="0"/>
                <w:iCs w:val="0"/>
                <w:color w:val="auto"/>
                <w:sz w:val="20"/>
                <w:szCs w:val="20"/>
                <w:highlight w:val="none"/>
                <w:u w:val="none"/>
              </w:rPr>
            </w:pPr>
          </w:p>
        </w:tc>
      </w:tr>
      <w:tr w14:paraId="39BC8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EBC34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B8B82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72B86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PL，RF，DN125，PN16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97AE3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D4D48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C07EE7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CEA474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82E989C">
            <w:pPr>
              <w:rPr>
                <w:rFonts w:hint="eastAsia" w:ascii="宋体" w:hAnsi="宋体" w:eastAsia="宋体" w:cs="宋体"/>
                <w:i w:val="0"/>
                <w:iCs w:val="0"/>
                <w:color w:val="auto"/>
                <w:sz w:val="20"/>
                <w:szCs w:val="20"/>
                <w:highlight w:val="none"/>
                <w:u w:val="none"/>
              </w:rPr>
            </w:pPr>
          </w:p>
        </w:tc>
      </w:tr>
      <w:tr w14:paraId="5B29C5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411FC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18</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6CE4CD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2B150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PL，RF，DN40，PN6</w:t>
            </w:r>
          </w:p>
        </w:tc>
        <w:tc>
          <w:tcPr>
            <w:tcW w:w="238" w:type="pct"/>
            <w:tcBorders>
              <w:top w:val="single" w:color="000000" w:sz="4" w:space="0"/>
              <w:left w:val="single" w:color="000000" w:sz="4" w:space="0"/>
              <w:bottom w:val="single" w:color="000000" w:sz="4" w:space="0"/>
              <w:right w:val="single" w:color="000000" w:sz="4" w:space="0"/>
            </w:tcBorders>
            <w:noWrap w:val="0"/>
            <w:vAlign w:val="center"/>
          </w:tcPr>
          <w:p w14:paraId="2D7976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362298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627CC1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4282DB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E67C5CB">
            <w:pPr>
              <w:jc w:val="center"/>
              <w:rPr>
                <w:rFonts w:hint="eastAsia" w:ascii="宋体" w:hAnsi="宋体" w:eastAsia="宋体" w:cs="宋体"/>
                <w:i w:val="0"/>
                <w:iCs w:val="0"/>
                <w:color w:val="auto"/>
                <w:sz w:val="20"/>
                <w:szCs w:val="20"/>
                <w:highlight w:val="none"/>
                <w:u w:val="none"/>
              </w:rPr>
            </w:pPr>
          </w:p>
        </w:tc>
      </w:tr>
      <w:tr w14:paraId="1ED98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247AF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19</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646F1D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16" w:type="pct"/>
            <w:tcBorders>
              <w:top w:val="single" w:color="000000" w:sz="4" w:space="0"/>
              <w:left w:val="single" w:color="000000" w:sz="4" w:space="0"/>
              <w:bottom w:val="single" w:color="000000" w:sz="4" w:space="0"/>
              <w:right w:val="single" w:color="000000" w:sz="4" w:space="0"/>
            </w:tcBorders>
            <w:noWrap w:val="0"/>
            <w:vAlign w:val="center"/>
          </w:tcPr>
          <w:p w14:paraId="41BE42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PL，RF，DN50，PN6</w:t>
            </w:r>
          </w:p>
        </w:tc>
        <w:tc>
          <w:tcPr>
            <w:tcW w:w="238" w:type="pct"/>
            <w:tcBorders>
              <w:top w:val="single" w:color="000000" w:sz="4" w:space="0"/>
              <w:left w:val="single" w:color="000000" w:sz="4" w:space="0"/>
              <w:bottom w:val="single" w:color="000000" w:sz="4" w:space="0"/>
              <w:right w:val="single" w:color="000000" w:sz="4" w:space="0"/>
            </w:tcBorders>
            <w:noWrap w:val="0"/>
            <w:vAlign w:val="center"/>
          </w:tcPr>
          <w:p w14:paraId="4CE351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0"/>
            <w:vAlign w:val="center"/>
          </w:tcPr>
          <w:p w14:paraId="64C230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18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E2BEE8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3AC19E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9E08D68">
            <w:pPr>
              <w:jc w:val="center"/>
              <w:rPr>
                <w:rFonts w:hint="eastAsia" w:ascii="宋体" w:hAnsi="宋体" w:eastAsia="宋体" w:cs="宋体"/>
                <w:i w:val="0"/>
                <w:iCs w:val="0"/>
                <w:color w:val="auto"/>
                <w:sz w:val="20"/>
                <w:szCs w:val="20"/>
                <w:highlight w:val="none"/>
                <w:u w:val="none"/>
              </w:rPr>
            </w:pPr>
          </w:p>
        </w:tc>
      </w:tr>
      <w:tr w14:paraId="62491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7A60B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43BB8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18AF1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DN2600，PN16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2DEA3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0D584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2B2E471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7563587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3E4883A">
            <w:pPr>
              <w:rPr>
                <w:rFonts w:hint="eastAsia" w:ascii="宋体" w:hAnsi="宋体" w:eastAsia="宋体" w:cs="宋体"/>
                <w:i w:val="0"/>
                <w:iCs w:val="0"/>
                <w:color w:val="auto"/>
                <w:sz w:val="20"/>
                <w:szCs w:val="20"/>
                <w:highlight w:val="none"/>
                <w:u w:val="none"/>
              </w:rPr>
            </w:pPr>
          </w:p>
        </w:tc>
      </w:tr>
      <w:tr w14:paraId="20FFD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504D4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4DF9D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BA655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DN1800，PN16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B56A7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27C81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06CD81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970B92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90BA28B">
            <w:pPr>
              <w:rPr>
                <w:rFonts w:hint="eastAsia" w:ascii="宋体" w:hAnsi="宋体" w:eastAsia="宋体" w:cs="宋体"/>
                <w:i w:val="0"/>
                <w:iCs w:val="0"/>
                <w:color w:val="auto"/>
                <w:sz w:val="20"/>
                <w:szCs w:val="20"/>
                <w:highlight w:val="none"/>
                <w:u w:val="none"/>
              </w:rPr>
            </w:pPr>
          </w:p>
        </w:tc>
      </w:tr>
      <w:tr w14:paraId="4A98DE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BA862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C2219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BCE7A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6D733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CE8E5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2B80B0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89E2F1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5FD3B3B">
            <w:pPr>
              <w:rPr>
                <w:rFonts w:hint="eastAsia" w:ascii="宋体" w:hAnsi="宋体" w:eastAsia="宋体" w:cs="宋体"/>
                <w:i w:val="0"/>
                <w:iCs w:val="0"/>
                <w:color w:val="auto"/>
                <w:sz w:val="20"/>
                <w:szCs w:val="20"/>
                <w:highlight w:val="none"/>
                <w:u w:val="none"/>
              </w:rPr>
            </w:pPr>
          </w:p>
        </w:tc>
      </w:tr>
      <w:tr w14:paraId="7BC04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093E1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BEC6D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5BBEA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CF8D8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71E59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EEEA01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6AF53C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796E781">
            <w:pPr>
              <w:rPr>
                <w:rFonts w:hint="eastAsia" w:ascii="宋体" w:hAnsi="宋体" w:eastAsia="宋体" w:cs="宋体"/>
                <w:i w:val="0"/>
                <w:iCs w:val="0"/>
                <w:color w:val="auto"/>
                <w:sz w:val="20"/>
                <w:szCs w:val="20"/>
                <w:highlight w:val="none"/>
                <w:u w:val="none"/>
              </w:rPr>
            </w:pPr>
          </w:p>
        </w:tc>
      </w:tr>
      <w:tr w14:paraId="745E0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4BA860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BA933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D6D04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42918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A1485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5C380E1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C9CA7A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213C5602">
            <w:pPr>
              <w:rPr>
                <w:rFonts w:hint="eastAsia" w:ascii="宋体" w:hAnsi="宋体" w:eastAsia="宋体" w:cs="宋体"/>
                <w:i w:val="0"/>
                <w:iCs w:val="0"/>
                <w:color w:val="auto"/>
                <w:sz w:val="20"/>
                <w:szCs w:val="20"/>
                <w:highlight w:val="none"/>
                <w:u w:val="none"/>
              </w:rPr>
            </w:pPr>
          </w:p>
        </w:tc>
      </w:tr>
      <w:tr w14:paraId="250CC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126E9F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072E9A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619493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86D9C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AC58B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616833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A612B1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DD5C07B">
            <w:pPr>
              <w:rPr>
                <w:rFonts w:hint="eastAsia" w:ascii="宋体" w:hAnsi="宋体" w:eastAsia="宋体" w:cs="宋体"/>
                <w:i w:val="0"/>
                <w:iCs w:val="0"/>
                <w:color w:val="auto"/>
                <w:sz w:val="20"/>
                <w:szCs w:val="20"/>
                <w:highlight w:val="none"/>
                <w:u w:val="none"/>
              </w:rPr>
            </w:pPr>
          </w:p>
        </w:tc>
      </w:tr>
      <w:tr w14:paraId="6DC82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975D8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4C519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F55BB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1C0719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01C212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C41BAF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35D733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62E15A3">
            <w:pPr>
              <w:rPr>
                <w:rFonts w:hint="eastAsia" w:ascii="宋体" w:hAnsi="宋体" w:eastAsia="宋体" w:cs="宋体"/>
                <w:i w:val="0"/>
                <w:iCs w:val="0"/>
                <w:color w:val="auto"/>
                <w:sz w:val="20"/>
                <w:szCs w:val="20"/>
                <w:highlight w:val="none"/>
                <w:u w:val="none"/>
              </w:rPr>
            </w:pPr>
          </w:p>
        </w:tc>
      </w:tr>
      <w:tr w14:paraId="5DE134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59643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9CA3E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470651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91434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78ABD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91B340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48B50C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C6A1BF0">
            <w:pPr>
              <w:rPr>
                <w:rFonts w:hint="eastAsia" w:ascii="宋体" w:hAnsi="宋体" w:eastAsia="宋体" w:cs="宋体"/>
                <w:i w:val="0"/>
                <w:iCs w:val="0"/>
                <w:color w:val="auto"/>
                <w:sz w:val="20"/>
                <w:szCs w:val="20"/>
                <w:highlight w:val="none"/>
                <w:u w:val="none"/>
              </w:rPr>
            </w:pPr>
          </w:p>
        </w:tc>
      </w:tr>
      <w:tr w14:paraId="230A50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903DD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118EF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F307C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8EED7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B19FF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3DB613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2D9A09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03DC7B4">
            <w:pPr>
              <w:rPr>
                <w:rFonts w:hint="eastAsia" w:ascii="宋体" w:hAnsi="宋体" w:eastAsia="宋体" w:cs="宋体"/>
                <w:i w:val="0"/>
                <w:iCs w:val="0"/>
                <w:color w:val="auto"/>
                <w:sz w:val="20"/>
                <w:szCs w:val="20"/>
                <w:highlight w:val="none"/>
                <w:u w:val="none"/>
              </w:rPr>
            </w:pPr>
          </w:p>
        </w:tc>
      </w:tr>
      <w:tr w14:paraId="545F1C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3BF0D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29</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3BDE04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DF292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39262A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68CC61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95ABBE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DE3FD2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524B6D2">
            <w:pPr>
              <w:rPr>
                <w:rFonts w:hint="eastAsia" w:ascii="宋体" w:hAnsi="宋体" w:eastAsia="宋体" w:cs="宋体"/>
                <w:i w:val="0"/>
                <w:iCs w:val="0"/>
                <w:color w:val="auto"/>
                <w:sz w:val="20"/>
                <w:szCs w:val="20"/>
                <w:highlight w:val="none"/>
                <w:u w:val="none"/>
              </w:rPr>
            </w:pPr>
          </w:p>
        </w:tc>
      </w:tr>
      <w:tr w14:paraId="78659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22A40E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30</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A1B05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侧开式圆形拍门</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60169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DN900，PN6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FFB38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42CEA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670D86B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C2C0A0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A4640BD">
            <w:pPr>
              <w:rPr>
                <w:rFonts w:hint="eastAsia" w:ascii="宋体" w:hAnsi="宋体" w:eastAsia="宋体" w:cs="宋体"/>
                <w:i w:val="0"/>
                <w:iCs w:val="0"/>
                <w:color w:val="auto"/>
                <w:sz w:val="20"/>
                <w:szCs w:val="20"/>
                <w:highlight w:val="none"/>
                <w:u w:val="none"/>
              </w:rPr>
            </w:pPr>
          </w:p>
        </w:tc>
      </w:tr>
      <w:tr w14:paraId="4ABB35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71C11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31</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8CCE7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侧开式圆形拍门</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0F172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9497D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89173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3917695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4A3EEF6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5A3D53E">
            <w:pPr>
              <w:rPr>
                <w:rFonts w:hint="eastAsia" w:ascii="宋体" w:hAnsi="宋体" w:eastAsia="宋体" w:cs="宋体"/>
                <w:i w:val="0"/>
                <w:iCs w:val="0"/>
                <w:color w:val="auto"/>
                <w:sz w:val="20"/>
                <w:szCs w:val="20"/>
                <w:highlight w:val="none"/>
                <w:u w:val="none"/>
              </w:rPr>
            </w:pPr>
          </w:p>
        </w:tc>
      </w:tr>
      <w:tr w14:paraId="2D943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58C582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32</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4E3773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密封进人孔(钢盖板)</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D7237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07AC4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29EFED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BFBD0B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5618F4D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1937E701">
            <w:pPr>
              <w:rPr>
                <w:rFonts w:hint="eastAsia" w:ascii="宋体" w:hAnsi="宋体" w:eastAsia="宋体" w:cs="宋体"/>
                <w:i w:val="0"/>
                <w:iCs w:val="0"/>
                <w:color w:val="auto"/>
                <w:sz w:val="20"/>
                <w:szCs w:val="20"/>
                <w:highlight w:val="none"/>
                <w:u w:val="none"/>
              </w:rPr>
            </w:pPr>
          </w:p>
        </w:tc>
      </w:tr>
      <w:tr w14:paraId="0A2B8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F61B1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33</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7CA122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密封进人孔(钢盖板)</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2F524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C478B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0857B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832BCD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0AFE48D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726FBEB7">
            <w:pPr>
              <w:rPr>
                <w:rFonts w:hint="eastAsia" w:ascii="宋体" w:hAnsi="宋体" w:eastAsia="宋体" w:cs="宋体"/>
                <w:i w:val="0"/>
                <w:iCs w:val="0"/>
                <w:color w:val="auto"/>
                <w:sz w:val="20"/>
                <w:szCs w:val="20"/>
                <w:highlight w:val="none"/>
                <w:u w:val="none"/>
              </w:rPr>
            </w:pPr>
          </w:p>
        </w:tc>
      </w:tr>
      <w:tr w14:paraId="0D881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8CE10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34</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6BA95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十字伸缩滤管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F7196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D21AE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133A9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04ADB24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B21DD3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4FC47727">
            <w:pPr>
              <w:rPr>
                <w:rFonts w:hint="eastAsia" w:ascii="宋体" w:hAnsi="宋体" w:eastAsia="宋体" w:cs="宋体"/>
                <w:i w:val="0"/>
                <w:iCs w:val="0"/>
                <w:color w:val="auto"/>
                <w:sz w:val="20"/>
                <w:szCs w:val="20"/>
                <w:highlight w:val="none"/>
                <w:u w:val="none"/>
              </w:rPr>
            </w:pPr>
          </w:p>
        </w:tc>
      </w:tr>
      <w:tr w14:paraId="0436D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FF59D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35</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13A205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十字伸缩滤管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1D4CAE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5E902D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68221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184EE78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837692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5D55053A">
            <w:pPr>
              <w:rPr>
                <w:rFonts w:hint="eastAsia" w:ascii="宋体" w:hAnsi="宋体" w:eastAsia="宋体" w:cs="宋体"/>
                <w:i w:val="0"/>
                <w:iCs w:val="0"/>
                <w:color w:val="auto"/>
                <w:sz w:val="20"/>
                <w:szCs w:val="20"/>
                <w:highlight w:val="none"/>
                <w:u w:val="none"/>
              </w:rPr>
            </w:pPr>
          </w:p>
        </w:tc>
      </w:tr>
      <w:tr w14:paraId="213D2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6BD777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36</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22B548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十字伸缩滤管</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5A3CD4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061308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36C52A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D0CEA0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668C3F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935B9E8">
            <w:pPr>
              <w:rPr>
                <w:rFonts w:hint="eastAsia" w:ascii="宋体" w:hAnsi="宋体" w:eastAsia="宋体" w:cs="宋体"/>
                <w:i w:val="0"/>
                <w:iCs w:val="0"/>
                <w:color w:val="auto"/>
                <w:sz w:val="20"/>
                <w:szCs w:val="20"/>
                <w:highlight w:val="none"/>
                <w:u w:val="none"/>
              </w:rPr>
            </w:pPr>
          </w:p>
        </w:tc>
      </w:tr>
      <w:tr w14:paraId="75874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30FA15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37</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5D831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7A8364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DN900，PN6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CBA8E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BC6DD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9024E3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277644D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C883BAE">
            <w:pPr>
              <w:rPr>
                <w:rFonts w:hint="eastAsia" w:ascii="宋体" w:hAnsi="宋体" w:eastAsia="宋体" w:cs="宋体"/>
                <w:i w:val="0"/>
                <w:iCs w:val="0"/>
                <w:color w:val="auto"/>
                <w:sz w:val="20"/>
                <w:szCs w:val="20"/>
                <w:highlight w:val="none"/>
                <w:u w:val="none"/>
              </w:rPr>
            </w:pPr>
          </w:p>
        </w:tc>
      </w:tr>
      <w:tr w14:paraId="19F53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4848C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38</w:t>
            </w:r>
          </w:p>
        </w:tc>
        <w:tc>
          <w:tcPr>
            <w:tcW w:w="850" w:type="pct"/>
            <w:tcBorders>
              <w:top w:val="single" w:color="000000" w:sz="4" w:space="0"/>
              <w:left w:val="single" w:color="000000" w:sz="4" w:space="0"/>
              <w:bottom w:val="single" w:color="000000" w:sz="4" w:space="0"/>
              <w:right w:val="single" w:color="000000" w:sz="4" w:space="0"/>
            </w:tcBorders>
            <w:noWrap/>
            <w:vAlign w:val="center"/>
          </w:tcPr>
          <w:p w14:paraId="57DD0F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33B58B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DN500，PN6</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7DB9A5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12B820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BC8CA7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6F73AAF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23F98A0">
            <w:pPr>
              <w:rPr>
                <w:rFonts w:hint="eastAsia" w:ascii="宋体" w:hAnsi="宋体" w:eastAsia="宋体" w:cs="宋体"/>
                <w:i w:val="0"/>
                <w:iCs w:val="0"/>
                <w:color w:val="auto"/>
                <w:sz w:val="20"/>
                <w:szCs w:val="20"/>
                <w:highlight w:val="none"/>
                <w:u w:val="none"/>
              </w:rPr>
            </w:pPr>
          </w:p>
        </w:tc>
      </w:tr>
      <w:tr w14:paraId="57AEBE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0B6620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39</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77C966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电动葫芦(含配套轨道安装)</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226601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10t</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23673E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5E831E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456A447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1D7A4B5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6014D9C1">
            <w:pPr>
              <w:rPr>
                <w:rFonts w:hint="eastAsia" w:ascii="宋体" w:hAnsi="宋体" w:eastAsia="宋体" w:cs="宋体"/>
                <w:i w:val="0"/>
                <w:iCs w:val="0"/>
                <w:color w:val="auto"/>
                <w:sz w:val="20"/>
                <w:szCs w:val="20"/>
                <w:highlight w:val="none"/>
                <w:u w:val="none"/>
              </w:rPr>
            </w:pPr>
          </w:p>
        </w:tc>
      </w:tr>
      <w:tr w14:paraId="5410A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238" w:type="pct"/>
            <w:tcBorders>
              <w:top w:val="single" w:color="000000" w:sz="4" w:space="0"/>
              <w:left w:val="single" w:color="000000" w:sz="4" w:space="0"/>
              <w:bottom w:val="single" w:color="000000" w:sz="4" w:space="0"/>
              <w:right w:val="single" w:color="000000" w:sz="4" w:space="0"/>
            </w:tcBorders>
            <w:noWrap/>
            <w:vAlign w:val="center"/>
          </w:tcPr>
          <w:p w14:paraId="7DE87C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w:t>
            </w:r>
          </w:p>
        </w:tc>
        <w:tc>
          <w:tcPr>
            <w:tcW w:w="850" w:type="pct"/>
            <w:tcBorders>
              <w:top w:val="single" w:color="000000" w:sz="4" w:space="0"/>
              <w:left w:val="single" w:color="000000" w:sz="4" w:space="0"/>
              <w:bottom w:val="single" w:color="000000" w:sz="4" w:space="0"/>
              <w:right w:val="single" w:color="000000" w:sz="4" w:space="0"/>
            </w:tcBorders>
            <w:noWrap w:val="0"/>
            <w:vAlign w:val="center"/>
          </w:tcPr>
          <w:p w14:paraId="0FABA6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电动葫芦(含配套轨道安装)</w:t>
            </w:r>
          </w:p>
        </w:tc>
        <w:tc>
          <w:tcPr>
            <w:tcW w:w="1616" w:type="pct"/>
            <w:tcBorders>
              <w:top w:val="single" w:color="000000" w:sz="4" w:space="0"/>
              <w:left w:val="single" w:color="000000" w:sz="4" w:space="0"/>
              <w:bottom w:val="single" w:color="000000" w:sz="4" w:space="0"/>
              <w:right w:val="single" w:color="000000" w:sz="4" w:space="0"/>
            </w:tcBorders>
            <w:noWrap/>
            <w:vAlign w:val="center"/>
          </w:tcPr>
          <w:p w14:paraId="034D70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16t</w:t>
            </w:r>
          </w:p>
        </w:tc>
        <w:tc>
          <w:tcPr>
            <w:tcW w:w="238" w:type="pct"/>
            <w:tcBorders>
              <w:top w:val="single" w:color="000000" w:sz="4" w:space="0"/>
              <w:left w:val="single" w:color="000000" w:sz="4" w:space="0"/>
              <w:bottom w:val="single" w:color="000000" w:sz="4" w:space="0"/>
              <w:right w:val="single" w:color="000000" w:sz="4" w:space="0"/>
            </w:tcBorders>
            <w:noWrap/>
            <w:vAlign w:val="center"/>
          </w:tcPr>
          <w:p w14:paraId="4A26F7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40" w:type="pct"/>
            <w:tcBorders>
              <w:top w:val="single" w:color="000000" w:sz="4" w:space="0"/>
              <w:left w:val="single" w:color="000000" w:sz="4" w:space="0"/>
              <w:bottom w:val="single" w:color="000000" w:sz="4" w:space="0"/>
              <w:right w:val="single" w:color="000000" w:sz="4" w:space="0"/>
            </w:tcBorders>
            <w:noWrap/>
            <w:vAlign w:val="center"/>
          </w:tcPr>
          <w:p w14:paraId="7A0A95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275" w:type="pct"/>
            <w:tcBorders>
              <w:top w:val="single" w:color="000000" w:sz="4" w:space="0"/>
              <w:left w:val="single" w:color="000000" w:sz="4" w:space="0"/>
              <w:bottom w:val="single" w:color="000000" w:sz="4" w:space="0"/>
              <w:right w:val="single" w:color="000000" w:sz="4" w:space="0"/>
            </w:tcBorders>
            <w:noWrap w:val="0"/>
            <w:vAlign w:val="center"/>
          </w:tcPr>
          <w:p w14:paraId="738EF17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284" w:type="pct"/>
            <w:tcBorders>
              <w:top w:val="single" w:color="000000" w:sz="4" w:space="0"/>
              <w:left w:val="single" w:color="000000" w:sz="4" w:space="0"/>
              <w:bottom w:val="single" w:color="000000" w:sz="4" w:space="0"/>
              <w:right w:val="single" w:color="000000" w:sz="4" w:space="0"/>
            </w:tcBorders>
            <w:noWrap w:val="0"/>
            <w:vAlign w:val="center"/>
          </w:tcPr>
          <w:p w14:paraId="32F33F8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c>
          <w:tcPr>
            <w:tcW w:w="1253" w:type="pct"/>
            <w:tcBorders>
              <w:top w:val="single" w:color="000000" w:sz="4" w:space="0"/>
              <w:left w:val="single" w:color="000000" w:sz="4" w:space="0"/>
              <w:bottom w:val="single" w:color="000000" w:sz="4" w:space="0"/>
              <w:right w:val="single" w:color="000000" w:sz="4" w:space="0"/>
            </w:tcBorders>
            <w:noWrap w:val="0"/>
            <w:vAlign w:val="center"/>
          </w:tcPr>
          <w:p w14:paraId="34299A82">
            <w:pPr>
              <w:rPr>
                <w:rFonts w:hint="eastAsia" w:ascii="宋体" w:hAnsi="宋体" w:eastAsia="宋体" w:cs="宋体"/>
                <w:i w:val="0"/>
                <w:iCs w:val="0"/>
                <w:color w:val="auto"/>
                <w:sz w:val="20"/>
                <w:szCs w:val="20"/>
                <w:highlight w:val="none"/>
                <w:u w:val="none"/>
              </w:rPr>
            </w:pPr>
          </w:p>
        </w:tc>
      </w:tr>
    </w:tbl>
    <w:p w14:paraId="4C0057A2">
      <w:pPr>
        <w:pStyle w:val="55"/>
        <w:topLinePunct/>
        <w:adjustRightInd w:val="0"/>
        <w:snapToGrid w:val="0"/>
        <w:spacing w:beforeLines="0" w:afterLines="0" w:line="360" w:lineRule="auto"/>
        <w:ind w:firstLine="480" w:firstLineChars="200"/>
        <w:jc w:val="both"/>
        <w:rPr>
          <w:rFonts w:hint="eastAsia" w:ascii="宋体" w:hAnsi="宋体" w:eastAsia="宋体" w:cs="宋体"/>
          <w:b w:val="0"/>
          <w:bCs w:val="0"/>
          <w:i w:val="0"/>
          <w:iCs w:val="0"/>
          <w:snapToGrid w:val="0"/>
          <w:color w:val="auto"/>
          <w:kern w:val="2"/>
          <w:sz w:val="24"/>
          <w:szCs w:val="24"/>
          <w:highlight w:val="none"/>
          <w:u w:val="none"/>
          <w:lang w:val="en-US" w:eastAsia="zh-CN" w:bidi="ar-SA"/>
        </w:rPr>
      </w:pPr>
    </w:p>
    <w:p w14:paraId="186B7603">
      <w:pPr>
        <w:keepNext w:val="0"/>
        <w:keepLines w:val="0"/>
        <w:pageBreakBefore w:val="0"/>
        <w:widowControl/>
        <w:kinsoku/>
        <w:wordWrap/>
        <w:overflowPunct w:val="0"/>
        <w:topLinePunct/>
        <w:autoSpaceDE/>
        <w:autoSpaceDN/>
        <w:bidi w:val="0"/>
        <w:adjustRightInd w:val="0"/>
        <w:spacing w:beforeLines="0" w:afterLines="0" w:line="360" w:lineRule="auto"/>
        <w:ind w:firstLine="482"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说明</w:t>
      </w:r>
      <w:r>
        <w:rPr>
          <w:rFonts w:hint="eastAsia" w:ascii="宋体" w:hAnsi="宋体" w:eastAsia="宋体" w:cs="宋体"/>
          <w:color w:val="auto"/>
          <w:kern w:val="0"/>
          <w:sz w:val="24"/>
          <w:szCs w:val="24"/>
          <w:highlight w:val="none"/>
          <w:lang w:val="en-US" w:eastAsia="zh-CN" w:bidi="ar-SA"/>
        </w:rPr>
        <w:t>：</w:t>
      </w:r>
    </w:p>
    <w:p w14:paraId="34E92B07">
      <w:pPr>
        <w:keepNext w:val="0"/>
        <w:keepLines w:val="0"/>
        <w:pageBreakBefore w:val="0"/>
        <w:widowControl/>
        <w:kinsoku/>
        <w:wordWrap/>
        <w:overflowPunct w:val="0"/>
        <w:topLinePunct/>
        <w:autoSpaceDE/>
        <w:autoSpaceDN/>
        <w:bidi w:val="0"/>
        <w:adjustRightInd w:val="0"/>
        <w:spacing w:beforeLines="0" w:afterLines="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 阀门等设备制作、防腐及其他相关要求详见施工图及招标文件第六章技术标准和要求相关规定；</w:t>
      </w:r>
    </w:p>
    <w:p w14:paraId="44C8ED7E">
      <w:pPr>
        <w:keepNext w:val="0"/>
        <w:keepLines w:val="0"/>
        <w:pageBreakBefore w:val="0"/>
        <w:widowControl/>
        <w:kinsoku/>
        <w:wordWrap/>
        <w:overflowPunct w:val="0"/>
        <w:topLinePunct/>
        <w:autoSpaceDE/>
        <w:autoSpaceDN/>
        <w:bidi w:val="0"/>
        <w:adjustRightInd/>
        <w:spacing w:beforeLines="0" w:afterLines="0" w:line="360" w:lineRule="auto"/>
        <w:ind w:firstLine="480" w:firstLineChars="20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 本工程量清单所列数量是投标报价的依据，不是最终的结算数量，不作为结算依据。最终结算数量以实际供应的合格数量，按相关计量和支付规定执行。</w:t>
      </w:r>
    </w:p>
    <w:p w14:paraId="7944FD52">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 卖方应按买方书面供货通知书的规定的时间、数量、交货地点供货。卖方在春节及其他节假日期间应确保正常供货。</w:t>
      </w:r>
    </w:p>
    <w:p w14:paraId="7BBCBD40">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 本标需要提供调流阀在线监测，空气阀在线监测，水锤仿真系统完整的硬件系统（不含软件）。卖方应配齐除软件外的其他所有硬件设施,应配合后期系统软件承包商的相关工作，卖方应确保硬件、软件运行良好，相关费用（不含软件）包含在本标段相应项目报价中。</w:t>
      </w:r>
    </w:p>
    <w:p w14:paraId="31DCF179">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5. 调节阀状态监测系统硬件、空气阀状态监测系统硬件、水锤仿真系统硬件等表中所有未注明品牌的设备，卖方在合同实施过程中应选用质量良好、市场占有率高、用户口碑好的品牌，并征得买方同意，如未能征得买方同意，买方有权拒收。</w:t>
      </w:r>
    </w:p>
    <w:p w14:paraId="40F2F105">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 对于招标文件中有推荐品牌的设备，投标人应在推荐的品牌或其他同等档次及以上品牌中选择，并在投标报价表中填报其选用的品牌，一种设备只能填写一个品牌。如投标人填报推荐范围以外的品牌,且不能证明填报的品牌相当于招标人推荐品牌或同等档次以上（设备的性能、技术标准、行业知名度均不低于现有推荐品牌），则招标人在发布中标通知书前有权要求投标人从推荐品牌中重新选择一个品牌，投标人应无条件服从，且不得以此为由要求增加费用，投标报价不调整。</w:t>
      </w:r>
    </w:p>
    <w:p w14:paraId="705114F9">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对己填报品牌的项目，在合同实施期间，卖方不得擅自更改合同文件中所采用的品牌，如确实需要变更，须经设计单位、监理单位审核，报买方批准。</w:t>
      </w:r>
    </w:p>
    <w:p w14:paraId="3BD7DEE6">
      <w:pPr>
        <w:keepNext w:val="0"/>
        <w:keepLines w:val="0"/>
        <w:pageBreakBefore w:val="0"/>
        <w:widowControl/>
        <w:numPr>
          <w:ilvl w:val="0"/>
          <w:numId w:val="0"/>
        </w:numPr>
        <w:kinsoku/>
        <w:wordWrap/>
        <w:overflowPunct w:val="0"/>
        <w:topLinePunct/>
        <w:autoSpaceDE/>
        <w:autoSpaceDN/>
        <w:bidi w:val="0"/>
        <w:adjustRightInd/>
        <w:snapToGrid/>
        <w:spacing w:beforeLines="0" w:after="0" w:afterLines="0" w:line="360" w:lineRule="auto"/>
        <w:ind w:left="0" w:firstLine="480" w:firstLineChars="200"/>
        <w:jc w:val="left"/>
        <w:textAlignment w:val="auto"/>
        <w:outlineLvl w:val="9"/>
        <w:rPr>
          <w:rFonts w:hint="eastAsia" w:ascii="宋体" w:hAnsi="宋体" w:eastAsia="宋体" w:cs="宋体"/>
          <w:b w:val="0"/>
          <w:color w:val="auto"/>
          <w:kern w:val="0"/>
          <w:sz w:val="24"/>
          <w:szCs w:val="24"/>
          <w:highlight w:val="none"/>
        </w:rPr>
        <w:sectPr>
          <w:pgSz w:w="16840" w:h="11907" w:orient="landscape"/>
          <w:pgMar w:top="1474" w:right="1418" w:bottom="1559" w:left="1418" w:header="0" w:footer="723" w:gutter="0"/>
          <w:pgNumType w:fmt="decimal"/>
          <w:cols w:space="720" w:num="1"/>
        </w:sectPr>
      </w:pPr>
      <w:bookmarkStart w:id="931" w:name="_bookmark13"/>
      <w:bookmarkEnd w:id="931"/>
      <w:bookmarkStart w:id="932" w:name="_bookmark14"/>
      <w:bookmarkEnd w:id="932"/>
      <w:bookmarkStart w:id="933" w:name="_Toc26666"/>
      <w:bookmarkStart w:id="934" w:name="_Toc6513"/>
      <w:bookmarkStart w:id="935" w:name="_Toc29850"/>
      <w:bookmarkStart w:id="936" w:name="_Toc14742"/>
      <w:bookmarkStart w:id="937" w:name="_Toc10517"/>
      <w:bookmarkStart w:id="938" w:name="_Toc14922"/>
      <w:bookmarkStart w:id="939" w:name="_Toc22245"/>
      <w:bookmarkStart w:id="940" w:name="_Toc1460"/>
      <w:bookmarkStart w:id="941" w:name="_Toc18439"/>
      <w:bookmarkStart w:id="942" w:name="_Toc32084"/>
      <w:bookmarkStart w:id="943" w:name="_Toc13016"/>
      <w:bookmarkStart w:id="944" w:name="_Toc30153"/>
      <w:bookmarkStart w:id="945" w:name="_Toc7871"/>
      <w:bookmarkStart w:id="946" w:name="_Toc23341"/>
      <w:bookmarkStart w:id="947" w:name="_Toc21584"/>
      <w:bookmarkStart w:id="948" w:name="_Toc28233"/>
      <w:bookmarkStart w:id="949" w:name="_Toc7628"/>
    </w:p>
    <w:p w14:paraId="0A4DFFB7">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hint="eastAsia" w:ascii="宋体" w:hAnsi="宋体" w:eastAsia="宋体" w:cs="宋体"/>
          <w:b/>
          <w:bCs/>
          <w:color w:val="auto"/>
          <w:sz w:val="36"/>
          <w:szCs w:val="36"/>
          <w:highlight w:val="none"/>
          <w:lang w:val="en-US" w:eastAsia="zh-CN"/>
        </w:rPr>
      </w:pPr>
      <w:bookmarkStart w:id="950" w:name="_Toc5896"/>
      <w:bookmarkStart w:id="951" w:name="_Toc19144"/>
      <w:bookmarkStart w:id="952" w:name="_Toc13774"/>
      <w:bookmarkStart w:id="953" w:name="_Toc26702"/>
      <w:bookmarkStart w:id="954" w:name="_Toc27691"/>
      <w:bookmarkStart w:id="955" w:name="_Toc27698"/>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lang w:val="en-US" w:eastAsia="zh-CN"/>
        </w:rPr>
        <w:t>六</w:t>
      </w:r>
      <w:r>
        <w:rPr>
          <w:rFonts w:hint="eastAsia" w:ascii="宋体" w:hAnsi="宋体" w:eastAsia="宋体" w:cs="宋体"/>
          <w:b/>
          <w:bCs/>
          <w:color w:val="auto"/>
          <w:sz w:val="36"/>
          <w:szCs w:val="36"/>
          <w:highlight w:val="none"/>
        </w:rPr>
        <w:t>章  技术</w:t>
      </w:r>
      <w:r>
        <w:rPr>
          <w:rFonts w:hint="eastAsia" w:ascii="宋体" w:hAnsi="宋体" w:eastAsia="宋体" w:cs="宋体"/>
          <w:b/>
          <w:bCs/>
          <w:color w:val="auto"/>
          <w:sz w:val="36"/>
          <w:szCs w:val="36"/>
          <w:highlight w:val="none"/>
          <w:lang w:val="en-US" w:eastAsia="zh-CN"/>
        </w:rPr>
        <w:t>标准和</w:t>
      </w:r>
      <w:r>
        <w:rPr>
          <w:rFonts w:hint="eastAsia" w:ascii="宋体" w:hAnsi="宋体" w:eastAsia="宋体" w:cs="宋体"/>
          <w:b/>
          <w:bCs/>
          <w:color w:val="auto"/>
          <w:sz w:val="36"/>
          <w:szCs w:val="36"/>
          <w:highlight w:val="none"/>
        </w:rPr>
        <w:t>要求</w:t>
      </w:r>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14:paraId="4F63EDFA">
      <w:pPr>
        <w:keepNext w:val="0"/>
        <w:keepLines w:val="0"/>
        <w:pageBreakBefore w:val="0"/>
        <w:widowControl/>
        <w:kinsoku/>
        <w:wordWrap/>
        <w:overflowPunct/>
        <w:topLinePunct/>
        <w:autoSpaceDE/>
        <w:autoSpaceDN/>
        <w:bidi w:val="0"/>
        <w:adjustRightInd/>
        <w:snapToGrid/>
        <w:spacing w:line="360" w:lineRule="auto"/>
        <w:ind w:right="0" w:rightChars="0"/>
        <w:jc w:val="left"/>
        <w:textAlignment w:val="auto"/>
        <w:outlineLvl w:val="1"/>
        <w:rPr>
          <w:rFonts w:hint="eastAsia" w:ascii="宋体" w:hAnsi="宋体" w:eastAsia="宋体" w:cs="宋体"/>
          <w:b/>
          <w:bCs/>
          <w:snapToGrid/>
          <w:color w:val="auto"/>
          <w:sz w:val="24"/>
          <w:szCs w:val="24"/>
          <w:highlight w:val="none"/>
          <w:lang w:bidi="en-US"/>
        </w:rPr>
      </w:pPr>
      <w:bookmarkStart w:id="956" w:name="_Toc2781"/>
      <w:bookmarkStart w:id="957" w:name="_Toc21534"/>
      <w:bookmarkStart w:id="958" w:name="_Toc23925"/>
      <w:bookmarkStart w:id="959" w:name="_Toc3058"/>
      <w:bookmarkStart w:id="960" w:name="_Toc20207"/>
      <w:bookmarkStart w:id="961" w:name="_Toc25711"/>
      <w:bookmarkStart w:id="962" w:name="_Toc5889"/>
      <w:bookmarkStart w:id="963" w:name="_Toc14159"/>
      <w:bookmarkStart w:id="964" w:name="_Toc3780"/>
      <w:bookmarkStart w:id="965" w:name="_Toc3792"/>
      <w:bookmarkStart w:id="966" w:name="_Toc1656"/>
      <w:bookmarkStart w:id="967" w:name="_Toc10635"/>
      <w:bookmarkStart w:id="968" w:name="_Toc20810"/>
      <w:bookmarkStart w:id="969" w:name="_Toc11144"/>
      <w:bookmarkStart w:id="970" w:name="_Toc5300"/>
      <w:bookmarkStart w:id="971" w:name="_Toc24593"/>
      <w:bookmarkStart w:id="972" w:name="_Toc30906"/>
      <w:bookmarkStart w:id="973" w:name="_Toc30324"/>
      <w:bookmarkStart w:id="974" w:name="_Toc18543"/>
      <w:bookmarkStart w:id="975" w:name="_Toc25131"/>
      <w:bookmarkStart w:id="976" w:name="_Toc30788"/>
      <w:bookmarkStart w:id="977" w:name="_Toc12932"/>
      <w:bookmarkStart w:id="978" w:name="_Toc12342"/>
      <w:r>
        <w:rPr>
          <w:rFonts w:hint="eastAsia" w:ascii="宋体" w:hAnsi="宋体" w:eastAsia="宋体" w:cs="宋体"/>
          <w:b/>
          <w:bCs/>
          <w:snapToGrid/>
          <w:color w:val="auto"/>
          <w:sz w:val="24"/>
          <w:szCs w:val="24"/>
          <w:highlight w:val="none"/>
          <w:lang w:val="en-US" w:eastAsia="zh-CN" w:bidi="en-US"/>
        </w:rPr>
        <w:t xml:space="preserve">一  </w:t>
      </w:r>
      <w:r>
        <w:rPr>
          <w:rFonts w:hint="eastAsia" w:ascii="宋体" w:hAnsi="宋体" w:eastAsia="宋体" w:cs="宋体"/>
          <w:b/>
          <w:bCs/>
          <w:snapToGrid/>
          <w:color w:val="auto"/>
          <w:sz w:val="24"/>
          <w:szCs w:val="24"/>
          <w:highlight w:val="none"/>
          <w:lang w:bidi="en-US"/>
        </w:rPr>
        <w:t>一般规定</w:t>
      </w:r>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p>
    <w:p w14:paraId="4E643DE4">
      <w:pPr>
        <w:pStyle w:val="57"/>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default" w:ascii="宋体" w:hAnsi="宋体" w:eastAsia="宋体" w:cs="宋体"/>
          <w:bCs/>
          <w:color w:val="auto"/>
          <w:spacing w:val="-2"/>
          <w:sz w:val="24"/>
          <w:szCs w:val="24"/>
          <w:highlight w:val="none"/>
          <w:lang w:val="en-US" w:eastAsia="zh-CN"/>
        </w:rPr>
      </w:pPr>
      <w:r>
        <w:rPr>
          <w:rFonts w:hint="eastAsia" w:ascii="宋体" w:hAnsi="宋体" w:eastAsia="宋体" w:cs="宋体"/>
          <w:bCs/>
          <w:color w:val="auto"/>
          <w:spacing w:val="-2"/>
          <w:sz w:val="24"/>
          <w:szCs w:val="24"/>
          <w:highlight w:val="none"/>
          <w:lang w:val="en-US" w:eastAsia="zh-CN"/>
        </w:rPr>
        <w:t>1.1 一般规定</w:t>
      </w:r>
    </w:p>
    <w:p w14:paraId="17543718">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本条款提出的是最低限度的技术要求，并未对一切技术细节做出规定，也未充分引述有关标准和规范的条文。</w:t>
      </w: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保证提供满足本技术条款、施工图纸和工业标准的优质产品。本章节技术标准与要求与招标图纸、规程规范等要求不一致的按设计图纸、规程规范相关要求执行；安全生产及文明施工按国家、浙江省、绍兴市有关规定执行并满足有关要求</w:t>
      </w:r>
      <w:r>
        <w:rPr>
          <w:rFonts w:hint="eastAsia" w:ascii="宋体" w:hAnsi="宋体" w:eastAsia="宋体" w:cs="宋体"/>
          <w:snapToGrid/>
          <w:color w:val="auto"/>
          <w:kern w:val="2"/>
          <w:sz w:val="24"/>
          <w:szCs w:val="24"/>
          <w:highlight w:val="none"/>
          <w:lang w:eastAsia="zh-CN"/>
        </w:rPr>
        <w:t>。</w:t>
      </w:r>
    </w:p>
    <w:p w14:paraId="66CEA53C">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如</w:t>
      </w: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在报价过程中没有以书面形式对本条款的条文提出技术偏差，则</w:t>
      </w:r>
      <w:r>
        <w:rPr>
          <w:rFonts w:hint="eastAsia" w:ascii="宋体" w:hAnsi="宋体" w:eastAsia="宋体" w:cs="宋体"/>
          <w:snapToGrid/>
          <w:color w:val="auto"/>
          <w:kern w:val="2"/>
          <w:sz w:val="24"/>
          <w:szCs w:val="24"/>
          <w:highlight w:val="none"/>
          <w:lang w:eastAsia="zh-CN"/>
        </w:rPr>
        <w:t>买方</w:t>
      </w:r>
      <w:r>
        <w:rPr>
          <w:rFonts w:hint="eastAsia" w:ascii="宋体" w:hAnsi="宋体" w:eastAsia="宋体" w:cs="宋体"/>
          <w:snapToGrid/>
          <w:color w:val="auto"/>
          <w:kern w:val="2"/>
          <w:sz w:val="24"/>
          <w:szCs w:val="24"/>
          <w:highlight w:val="none"/>
        </w:rPr>
        <w:t>可以认为</w:t>
      </w: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产品完全满足本技术条款、施工图纸的要求。</w:t>
      </w:r>
    </w:p>
    <w:p w14:paraId="5E9B351A">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如</w:t>
      </w:r>
      <w:r>
        <w:rPr>
          <w:rFonts w:hint="eastAsia" w:ascii="宋体" w:hAnsi="宋体" w:eastAsia="宋体" w:cs="宋体"/>
          <w:snapToGrid/>
          <w:color w:val="auto"/>
          <w:kern w:val="2"/>
          <w:sz w:val="24"/>
          <w:szCs w:val="24"/>
          <w:highlight w:val="none"/>
          <w:lang w:eastAsia="zh-CN"/>
        </w:rPr>
        <w:t>买方</w:t>
      </w:r>
      <w:r>
        <w:rPr>
          <w:rFonts w:hint="eastAsia" w:ascii="宋体" w:hAnsi="宋体" w:eastAsia="宋体" w:cs="宋体"/>
          <w:snapToGrid/>
          <w:color w:val="auto"/>
          <w:kern w:val="2"/>
          <w:sz w:val="24"/>
          <w:szCs w:val="24"/>
          <w:highlight w:val="none"/>
        </w:rPr>
        <w:t>有本条款以外的特殊要求，将以书面形式提出，并对每一点作详细说明。本条款未尽事宜由双方与设计单位共同协商。</w:t>
      </w:r>
    </w:p>
    <w:p w14:paraId="2737A27C">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snapToGrid/>
          <w:color w:val="auto"/>
          <w:kern w:val="2"/>
          <w:sz w:val="24"/>
          <w:szCs w:val="24"/>
          <w:highlight w:val="none"/>
          <w:lang w:val="en-US" w:eastAsia="zh-CN"/>
        </w:rPr>
      </w:pPr>
      <w:r>
        <w:rPr>
          <w:rFonts w:hint="eastAsia" w:ascii="宋体" w:hAnsi="宋体" w:eastAsia="宋体" w:cs="宋体"/>
          <w:b/>
          <w:bCs/>
          <w:snapToGrid/>
          <w:color w:val="auto"/>
          <w:kern w:val="2"/>
          <w:sz w:val="24"/>
          <w:szCs w:val="24"/>
          <w:highlight w:val="none"/>
          <w:lang w:val="en-US" w:eastAsia="zh-CN"/>
        </w:rPr>
        <w:t>本次招标主要设备品牌</w:t>
      </w:r>
      <w:r>
        <w:rPr>
          <w:rFonts w:hint="eastAsia" w:ascii="宋体" w:hAnsi="宋体" w:eastAsia="宋体" w:cs="宋体"/>
          <w:b/>
          <w:bCs/>
          <w:color w:val="auto"/>
          <w:sz w:val="24"/>
          <w:szCs w:val="24"/>
          <w:highlight w:val="none"/>
          <w:lang w:val="en-US" w:eastAsia="zh-CN"/>
        </w:rPr>
        <w:t>（排名不分先后）</w:t>
      </w:r>
      <w:r>
        <w:rPr>
          <w:rFonts w:hint="eastAsia" w:ascii="宋体" w:hAnsi="宋体" w:eastAsia="宋体" w:cs="宋体"/>
          <w:b/>
          <w:bCs/>
          <w:snapToGrid/>
          <w:color w:val="auto"/>
          <w:kern w:val="2"/>
          <w:sz w:val="24"/>
          <w:szCs w:val="24"/>
          <w:highlight w:val="none"/>
          <w:lang w:val="en-US" w:eastAsia="zh-CN"/>
        </w:rPr>
        <w:t>要求如下，同类设备须选用同一品牌：</w:t>
      </w:r>
    </w:p>
    <w:p w14:paraId="4AB220EF">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snapToGrid/>
          <w:color w:val="auto"/>
          <w:kern w:val="2"/>
          <w:sz w:val="24"/>
          <w:szCs w:val="24"/>
          <w:highlight w:val="none"/>
          <w:lang w:val="en-US" w:eastAsia="zh-CN"/>
        </w:rPr>
      </w:pPr>
      <w:r>
        <w:rPr>
          <w:rFonts w:hint="eastAsia" w:ascii="宋体" w:hAnsi="宋体" w:eastAsia="宋体" w:cs="宋体"/>
          <w:b/>
          <w:bCs/>
          <w:snapToGrid/>
          <w:color w:val="auto"/>
          <w:kern w:val="2"/>
          <w:sz w:val="24"/>
          <w:szCs w:val="24"/>
          <w:highlight w:val="none"/>
          <w:lang w:val="en-US" w:eastAsia="zh-CN"/>
        </w:rPr>
        <w:t>蝶阀：</w:t>
      </w:r>
      <w:r>
        <w:rPr>
          <w:rFonts w:hint="eastAsia" w:ascii="宋体" w:hAnsi="宋体" w:eastAsia="宋体" w:cs="宋体"/>
          <w:b/>
          <w:bCs/>
          <w:color w:val="auto"/>
          <w:sz w:val="24"/>
          <w:szCs w:val="24"/>
          <w:highlight w:val="none"/>
          <w:lang w:val="en-US" w:eastAsia="zh-CN"/>
        </w:rPr>
        <w:t>VAG、AVK、上海冠龙、湖北洪城、中核苏阀或其他同等档次及以上品牌；</w:t>
      </w:r>
    </w:p>
    <w:p w14:paraId="771C5F13">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偏心半球阀：株洲南方、上海冠龙、VAG、武汉大禹、安徽红星或其他同等档次及以上品牌；</w:t>
      </w:r>
    </w:p>
    <w:p w14:paraId="36EDE83C">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活塞（调流）阀：VAG、AVK、上海冠龙、易华德、湖北洪城或其他同等档次及以上品牌；</w:t>
      </w:r>
    </w:p>
    <w:p w14:paraId="7160533C">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固定锥阀：AVK、上海冠龙、VAG、湖北洪城、武汉大禹或其他同等档次及以上品牌；</w:t>
      </w:r>
    </w:p>
    <w:p w14:paraId="093BEDCE">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复合式空气阀：安徽天海流体、安徽红星、安徽铜都、株洲南方、武汉大禹或其他同等档次及以上品牌；</w:t>
      </w:r>
    </w:p>
    <w:p w14:paraId="27CB47F0">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多功能斜板阀：株洲南方、安徽红星、武汉大禹、安徽天海流体、湖北洪城或其他同等档次及以上品牌；</w:t>
      </w:r>
    </w:p>
    <w:p w14:paraId="6C886EDA">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闸阀：安徽天海流体、安徽红星、安徽铜都、武汉大禹、株洲南方都或其他同等档次及以上品牌；</w:t>
      </w:r>
    </w:p>
    <w:p w14:paraId="69F0A872">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止回阀：安徽天海流体、安徽红星、安徽铜都、武汉大禹、株洲南方或其他同等档次及以上品牌；</w:t>
      </w:r>
    </w:p>
    <w:p w14:paraId="5A779BF1">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电动双梁桥式起重机：卫华、振华重工、大连重工、法兰泰克、奥力通或其他同等档次及以上品牌；</w:t>
      </w:r>
    </w:p>
    <w:p w14:paraId="6C779B50">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超声波流量计：Accusonic（阿克索尼）、Hydrovision（哈着威）、Ultraflux（优创）、E+H（恩德斯豪斯）、SIEMENS（西门子）或其他同等档次及以上品牌；</w:t>
      </w:r>
    </w:p>
    <w:p w14:paraId="18ECAC58">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电磁流量计：KROHNE(科隆)、E+H（恩德斯豪斯）、ABB、SIEMENS（西门子）、EMERSON（爱默生）或其他同等档次及以上品牌；</w:t>
      </w:r>
    </w:p>
    <w:p w14:paraId="58148BBA">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2" w:firstLineChars="200"/>
        <w:jc w:val="both"/>
        <w:textAlignment w:val="baseline"/>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水泵：利欧、飞力、格兰富、安德里茨、赛莱默或其他同等档次及以上品牌。</w:t>
      </w:r>
    </w:p>
    <w:p w14:paraId="6506556B">
      <w:pPr>
        <w:pStyle w:val="57"/>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Cs/>
          <w:color w:val="auto"/>
          <w:spacing w:val="-2"/>
          <w:sz w:val="24"/>
          <w:szCs w:val="24"/>
          <w:highlight w:val="none"/>
        </w:rPr>
        <w:t>1.</w:t>
      </w:r>
      <w:r>
        <w:rPr>
          <w:rFonts w:hint="eastAsia" w:ascii="宋体" w:hAnsi="宋体" w:eastAsia="宋体" w:cs="宋体"/>
          <w:bCs/>
          <w:color w:val="auto"/>
          <w:spacing w:val="-2"/>
          <w:sz w:val="24"/>
          <w:szCs w:val="24"/>
          <w:highlight w:val="none"/>
          <w:lang w:val="en-US" w:eastAsia="zh-CN"/>
        </w:rPr>
        <w:t>2</w:t>
      </w:r>
      <w:r>
        <w:rPr>
          <w:rFonts w:hint="eastAsia" w:ascii="宋体" w:hAnsi="宋体" w:eastAsia="宋体" w:cs="宋体"/>
          <w:b/>
          <w:bCs/>
          <w:snapToGrid w:val="0"/>
          <w:color w:val="auto"/>
          <w:spacing w:val="-2"/>
          <w:sz w:val="24"/>
          <w:szCs w:val="24"/>
          <w:highlight w:val="none"/>
          <w:lang w:val="en-US" w:eastAsia="zh-CN"/>
        </w:rPr>
        <w:t xml:space="preserve"> </w:t>
      </w:r>
      <w:r>
        <w:rPr>
          <w:rFonts w:hint="eastAsia" w:ascii="宋体" w:hAnsi="宋体" w:eastAsia="宋体" w:cs="宋体"/>
          <w:bCs/>
          <w:color w:val="auto"/>
          <w:spacing w:val="-2"/>
          <w:sz w:val="24"/>
          <w:szCs w:val="24"/>
          <w:highlight w:val="none"/>
        </w:rPr>
        <w:t xml:space="preserve"> 应用范围</w:t>
      </w:r>
    </w:p>
    <w:p w14:paraId="42944704">
      <w:pPr>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本章规定适用于本</w:t>
      </w:r>
      <w:r>
        <w:rPr>
          <w:rFonts w:hint="eastAsia" w:ascii="宋体" w:hAnsi="宋体" w:eastAsia="宋体" w:cs="宋体"/>
          <w:snapToGrid/>
          <w:color w:val="auto"/>
          <w:kern w:val="2"/>
          <w:sz w:val="24"/>
          <w:szCs w:val="24"/>
          <w:highlight w:val="none"/>
          <w:lang w:val="en-US" w:eastAsia="zh-CN"/>
        </w:rPr>
        <w:t>招标范围内所有</w:t>
      </w:r>
      <w:r>
        <w:rPr>
          <w:rFonts w:hint="eastAsia" w:ascii="宋体" w:hAnsi="宋体" w:eastAsia="宋体" w:cs="宋体"/>
          <w:snapToGrid/>
          <w:color w:val="auto"/>
          <w:kern w:val="2"/>
          <w:sz w:val="24"/>
          <w:szCs w:val="24"/>
          <w:highlight w:val="none"/>
        </w:rPr>
        <w:t>阀门，</w:t>
      </w:r>
      <w:r>
        <w:rPr>
          <w:rFonts w:hint="eastAsia" w:ascii="宋体" w:hAnsi="宋体" w:eastAsia="宋体" w:cs="宋体"/>
          <w:snapToGrid/>
          <w:color w:val="auto"/>
          <w:kern w:val="2"/>
          <w:sz w:val="24"/>
          <w:szCs w:val="24"/>
          <w:highlight w:val="none"/>
          <w:lang w:val="en-US" w:eastAsia="zh-CN"/>
        </w:rPr>
        <w:t>包括</w:t>
      </w:r>
      <w:r>
        <w:rPr>
          <w:rFonts w:hint="eastAsia" w:ascii="宋体" w:hAnsi="宋体" w:eastAsia="宋体" w:cs="宋体"/>
          <w:snapToGrid/>
          <w:color w:val="auto"/>
          <w:kern w:val="2"/>
          <w:sz w:val="24"/>
          <w:szCs w:val="24"/>
          <w:highlight w:val="none"/>
        </w:rPr>
        <w:t>锥形阀、偏心半球阀、</w:t>
      </w:r>
      <w:r>
        <w:rPr>
          <w:rFonts w:hint="eastAsia" w:ascii="宋体" w:hAnsi="宋体" w:eastAsia="宋体" w:cs="宋体"/>
          <w:snapToGrid/>
          <w:color w:val="auto"/>
          <w:kern w:val="2"/>
          <w:sz w:val="24"/>
          <w:szCs w:val="24"/>
          <w:highlight w:val="none"/>
          <w:lang w:eastAsia="zh-CN"/>
        </w:rPr>
        <w:t>活塞式流量调节阀</w:t>
      </w:r>
      <w:r>
        <w:rPr>
          <w:rFonts w:hint="eastAsia" w:ascii="宋体" w:hAnsi="宋体" w:eastAsia="宋体" w:cs="宋体"/>
          <w:snapToGrid/>
          <w:color w:val="auto"/>
          <w:kern w:val="2"/>
          <w:sz w:val="24"/>
          <w:szCs w:val="24"/>
          <w:highlight w:val="none"/>
        </w:rPr>
        <w:t>、空气阀、伸缩节等。</w:t>
      </w:r>
    </w:p>
    <w:p w14:paraId="4BEB3C28">
      <w:pPr>
        <w:pStyle w:val="57"/>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Cs/>
          <w:color w:val="auto"/>
          <w:spacing w:val="-2"/>
          <w:sz w:val="24"/>
          <w:szCs w:val="24"/>
          <w:highlight w:val="none"/>
        </w:rPr>
        <w:t>1.</w:t>
      </w:r>
      <w:r>
        <w:rPr>
          <w:rFonts w:hint="eastAsia" w:ascii="宋体" w:hAnsi="宋体" w:eastAsia="宋体" w:cs="宋体"/>
          <w:bCs/>
          <w:color w:val="auto"/>
          <w:spacing w:val="-2"/>
          <w:sz w:val="24"/>
          <w:szCs w:val="24"/>
          <w:highlight w:val="none"/>
          <w:lang w:val="en-US" w:eastAsia="zh-CN"/>
        </w:rPr>
        <w:t>3</w:t>
      </w:r>
      <w:r>
        <w:rPr>
          <w:rFonts w:hint="eastAsia" w:ascii="宋体" w:hAnsi="宋体" w:eastAsia="宋体" w:cs="宋体"/>
          <w:b/>
          <w:bCs/>
          <w:snapToGrid w:val="0"/>
          <w:color w:val="auto"/>
          <w:spacing w:val="-2"/>
          <w:sz w:val="24"/>
          <w:szCs w:val="24"/>
          <w:highlight w:val="none"/>
          <w:lang w:eastAsia="zh-CN"/>
        </w:rPr>
        <w:t xml:space="preserve"> </w:t>
      </w:r>
      <w:r>
        <w:rPr>
          <w:rFonts w:hint="eastAsia" w:ascii="宋体" w:hAnsi="宋体" w:eastAsia="宋体" w:cs="宋体"/>
          <w:bCs/>
          <w:color w:val="auto"/>
          <w:spacing w:val="-2"/>
          <w:sz w:val="24"/>
          <w:szCs w:val="24"/>
          <w:highlight w:val="none"/>
          <w:lang w:val="en-US" w:eastAsia="zh-CN"/>
        </w:rPr>
        <w:t>卖方</w:t>
      </w:r>
      <w:r>
        <w:rPr>
          <w:rFonts w:hint="eastAsia" w:ascii="宋体" w:hAnsi="宋体" w:eastAsia="宋体" w:cs="宋体"/>
          <w:bCs/>
          <w:color w:val="auto"/>
          <w:spacing w:val="-2"/>
          <w:sz w:val="24"/>
          <w:szCs w:val="24"/>
          <w:highlight w:val="none"/>
        </w:rPr>
        <w:t>的责任</w:t>
      </w:r>
    </w:p>
    <w:p w14:paraId="57EBAE47">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w:t>
      </w: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 xml:space="preserve">.1 </w:t>
      </w:r>
      <w:r>
        <w:rPr>
          <w:rFonts w:hint="eastAsia" w:ascii="宋体" w:hAnsi="宋体" w:eastAsia="宋体" w:cs="宋体"/>
          <w:snapToGrid/>
          <w:color w:val="auto"/>
          <w:kern w:val="2"/>
          <w:sz w:val="24"/>
          <w:szCs w:val="24"/>
          <w:highlight w:val="none"/>
          <w:lang w:val="en-US" w:eastAsia="zh-CN"/>
        </w:rPr>
        <w:t>卖方</w:t>
      </w:r>
      <w:r>
        <w:rPr>
          <w:rFonts w:hint="eastAsia" w:ascii="宋体" w:hAnsi="宋体" w:eastAsia="宋体" w:cs="宋体"/>
          <w:snapToGrid/>
          <w:color w:val="auto"/>
          <w:kern w:val="2"/>
          <w:sz w:val="24"/>
          <w:szCs w:val="24"/>
          <w:highlight w:val="none"/>
        </w:rPr>
        <w:t>应负责阀门产品设计，</w:t>
      </w: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负责采购本工程阀门制造所需的全部钢材、外购件（如电动机、电控柜等）、焊接材料、连接件和涂装材料，并应按本合同的有关规定，对上述材料和连接件进行检验和验收。</w:t>
      </w:r>
    </w:p>
    <w:p w14:paraId="6A26DF1C">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w:t>
      </w: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 xml:space="preserve">.2 </w:t>
      </w: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应负责阀门的成套制造，包括按有关的规定进行阀门零部件制造、组装、试验、运输、涂装以及质量检查和验收等全部工作。</w:t>
      </w:r>
    </w:p>
    <w:p w14:paraId="47636627">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w:t>
      </w: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 xml:space="preserve">.3 </w:t>
      </w:r>
      <w:r>
        <w:rPr>
          <w:rFonts w:hint="eastAsia" w:ascii="宋体" w:hAnsi="宋体" w:eastAsia="宋体" w:cs="宋体"/>
          <w:snapToGrid/>
          <w:color w:val="auto"/>
          <w:kern w:val="2"/>
          <w:sz w:val="24"/>
          <w:szCs w:val="24"/>
          <w:highlight w:val="none"/>
          <w:lang w:val="en-US" w:eastAsia="zh-CN"/>
        </w:rPr>
        <w:t>卖方</w:t>
      </w:r>
      <w:r>
        <w:rPr>
          <w:rFonts w:hint="eastAsia" w:ascii="宋体" w:hAnsi="宋体" w:eastAsia="宋体" w:cs="宋体"/>
          <w:snapToGrid/>
          <w:color w:val="auto"/>
          <w:kern w:val="2"/>
          <w:sz w:val="24"/>
          <w:szCs w:val="24"/>
          <w:highlight w:val="none"/>
        </w:rPr>
        <w:t>应指派有上岗证的合格焊工和无损检测人员进行焊接和检验工作，且人证合一，并应按有关规定进行焊接工艺评定。</w:t>
      </w:r>
    </w:p>
    <w:p w14:paraId="1A7BB034">
      <w:pPr>
        <w:pStyle w:val="57"/>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Cs/>
          <w:color w:val="auto"/>
          <w:spacing w:val="-2"/>
          <w:sz w:val="24"/>
          <w:szCs w:val="24"/>
          <w:highlight w:val="none"/>
        </w:rPr>
      </w:pPr>
      <w:r>
        <w:rPr>
          <w:rFonts w:hint="eastAsia" w:ascii="宋体" w:hAnsi="宋体" w:eastAsia="宋体" w:cs="宋体"/>
          <w:bCs/>
          <w:color w:val="auto"/>
          <w:spacing w:val="-2"/>
          <w:sz w:val="24"/>
          <w:szCs w:val="24"/>
          <w:highlight w:val="none"/>
        </w:rPr>
        <w:t>1.</w:t>
      </w:r>
      <w:r>
        <w:rPr>
          <w:rFonts w:hint="eastAsia" w:ascii="宋体" w:hAnsi="宋体" w:eastAsia="宋体" w:cs="宋体"/>
          <w:bCs/>
          <w:color w:val="auto"/>
          <w:spacing w:val="-2"/>
          <w:sz w:val="24"/>
          <w:szCs w:val="24"/>
          <w:highlight w:val="none"/>
          <w:lang w:val="en-US" w:eastAsia="zh-CN"/>
        </w:rPr>
        <w:t>4</w:t>
      </w:r>
      <w:r>
        <w:rPr>
          <w:rFonts w:hint="eastAsia" w:ascii="宋体" w:hAnsi="宋体" w:eastAsia="宋体" w:cs="宋体"/>
          <w:bCs/>
          <w:color w:val="auto"/>
          <w:spacing w:val="-2"/>
          <w:sz w:val="24"/>
          <w:szCs w:val="24"/>
          <w:highlight w:val="none"/>
        </w:rPr>
        <w:t xml:space="preserve"> </w:t>
      </w:r>
      <w:r>
        <w:rPr>
          <w:rFonts w:hint="eastAsia" w:ascii="宋体" w:hAnsi="宋体" w:eastAsia="宋体" w:cs="宋体"/>
          <w:b/>
          <w:bCs/>
          <w:snapToGrid w:val="0"/>
          <w:color w:val="auto"/>
          <w:spacing w:val="-2"/>
          <w:sz w:val="24"/>
          <w:szCs w:val="24"/>
          <w:highlight w:val="none"/>
          <w:lang w:val="en-US" w:eastAsia="zh-CN"/>
        </w:rPr>
        <w:t xml:space="preserve"> </w:t>
      </w:r>
      <w:r>
        <w:rPr>
          <w:rFonts w:hint="eastAsia" w:ascii="宋体" w:hAnsi="宋体" w:eastAsia="宋体" w:cs="宋体"/>
          <w:bCs/>
          <w:color w:val="auto"/>
          <w:spacing w:val="-2"/>
          <w:sz w:val="24"/>
          <w:szCs w:val="24"/>
          <w:highlight w:val="none"/>
        </w:rPr>
        <w:t>主要提交件</w:t>
      </w:r>
    </w:p>
    <w:p w14:paraId="623254B8">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.1 施工措施计划</w:t>
      </w:r>
    </w:p>
    <w:p w14:paraId="77C3F0B2">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应在阀门制造开工前，提交一份阀门制造的施工措施计划。其内容应包括：</w:t>
      </w:r>
    </w:p>
    <w:p w14:paraId="5161859C">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1）阀门的制造工艺设计。</w:t>
      </w:r>
    </w:p>
    <w:p w14:paraId="43A8BC48">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2）阀门主要外购件的供应商和技术资料。</w:t>
      </w:r>
    </w:p>
    <w:p w14:paraId="5477D8CD">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3）阀门的运输措施。</w:t>
      </w:r>
    </w:p>
    <w:p w14:paraId="196C99EF">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4）质量和安全保证措施。</w:t>
      </w:r>
    </w:p>
    <w:p w14:paraId="61D76605">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5）制造进度计划。</w:t>
      </w:r>
    </w:p>
    <w:p w14:paraId="12C25258">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.2 材料采购计划</w:t>
      </w:r>
    </w:p>
    <w:p w14:paraId="3E898957">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应根据合同进度计划和施工图纸的要求，并按本合同的有关规定提交阀门材料的采购计划。</w:t>
      </w:r>
    </w:p>
    <w:p w14:paraId="04FC1F9F">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.3 材料检验成果报告</w:t>
      </w:r>
    </w:p>
    <w:p w14:paraId="32955631">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按本合同有关规定所作的钢材检验成果、主要外购件检验成果、焊接材料检验成果和涂装材料检验成果。</w:t>
      </w:r>
    </w:p>
    <w:p w14:paraId="1FEF8533">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.4 产品设计图纸</w:t>
      </w:r>
    </w:p>
    <w:p w14:paraId="305E78FF">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应按</w:t>
      </w:r>
      <w:r>
        <w:rPr>
          <w:rFonts w:hint="eastAsia" w:ascii="宋体" w:hAnsi="宋体" w:eastAsia="宋体" w:cs="宋体"/>
          <w:snapToGrid/>
          <w:color w:val="auto"/>
          <w:kern w:val="2"/>
          <w:sz w:val="24"/>
          <w:szCs w:val="24"/>
          <w:highlight w:val="none"/>
          <w:lang w:eastAsia="zh-CN"/>
        </w:rPr>
        <w:t>买方</w:t>
      </w:r>
      <w:r>
        <w:rPr>
          <w:rFonts w:hint="eastAsia" w:ascii="宋体" w:hAnsi="宋体" w:eastAsia="宋体" w:cs="宋体"/>
          <w:snapToGrid/>
          <w:color w:val="auto"/>
          <w:kern w:val="2"/>
          <w:sz w:val="24"/>
          <w:szCs w:val="24"/>
          <w:highlight w:val="none"/>
        </w:rPr>
        <w:t>提供的阀门参数设计产品。</w:t>
      </w:r>
    </w:p>
    <w:p w14:paraId="60E180ED">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.5 组装工艺计划</w:t>
      </w:r>
    </w:p>
    <w:p w14:paraId="435731E1">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应在各项阀门组装开始前编制一份组装工艺计划。</w:t>
      </w:r>
    </w:p>
    <w:p w14:paraId="31603C19">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.6 焊接工艺评定报告</w:t>
      </w:r>
    </w:p>
    <w:p w14:paraId="06AFCAFE">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应在报送焊接工艺计划的同时编制焊接工艺评定报告。</w:t>
      </w:r>
    </w:p>
    <w:p w14:paraId="4DC43FC7">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.7 工厂及现场试验措施计划和试验成果报告</w:t>
      </w:r>
    </w:p>
    <w:p w14:paraId="3A4A8FCF">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应提交一份工厂及现场试验措施计划和试验成果报告。</w:t>
      </w:r>
    </w:p>
    <w:p w14:paraId="2B796A65">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.8 阀门制造的质量检查记录</w:t>
      </w:r>
    </w:p>
    <w:p w14:paraId="122CA81F">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应在阀门制造过程中，及时提交阀门制造的质量检查记录。</w:t>
      </w:r>
    </w:p>
    <w:p w14:paraId="369A7528">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.9 涂装工艺措施报告和质量检验成果</w:t>
      </w:r>
    </w:p>
    <w:p w14:paraId="71E4BE81">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应提交一份阀门涂装工艺措施和涂装质量检验成果。</w:t>
      </w:r>
    </w:p>
    <w:p w14:paraId="767AEE09">
      <w:pPr>
        <w:pStyle w:val="58"/>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 w:val="0"/>
          <w:snapToGrid/>
          <w:color w:val="auto"/>
          <w:kern w:val="2"/>
          <w:sz w:val="24"/>
          <w:szCs w:val="24"/>
          <w:highlight w:val="none"/>
        </w:rPr>
      </w:pPr>
      <w:r>
        <w:rPr>
          <w:rFonts w:hint="eastAsia" w:ascii="宋体" w:hAnsi="宋体" w:eastAsia="宋体" w:cs="宋体"/>
          <w:b w:val="0"/>
          <w:snapToGrid/>
          <w:color w:val="auto"/>
          <w:kern w:val="2"/>
          <w:sz w:val="24"/>
          <w:szCs w:val="24"/>
          <w:highlight w:val="none"/>
        </w:rPr>
        <w:t>1.</w:t>
      </w:r>
      <w:r>
        <w:rPr>
          <w:rFonts w:hint="eastAsia" w:ascii="宋体" w:hAnsi="宋体" w:eastAsia="宋体" w:cs="宋体"/>
          <w:b w:val="0"/>
          <w:snapToGrid/>
          <w:color w:val="auto"/>
          <w:kern w:val="2"/>
          <w:sz w:val="24"/>
          <w:szCs w:val="24"/>
          <w:highlight w:val="none"/>
          <w:lang w:val="en-US" w:eastAsia="zh-CN"/>
        </w:rPr>
        <w:t>4</w:t>
      </w:r>
      <w:r>
        <w:rPr>
          <w:rFonts w:hint="eastAsia" w:ascii="宋体" w:hAnsi="宋体" w:eastAsia="宋体" w:cs="宋体"/>
          <w:b w:val="0"/>
          <w:snapToGrid/>
          <w:color w:val="auto"/>
          <w:kern w:val="2"/>
          <w:sz w:val="24"/>
          <w:szCs w:val="24"/>
          <w:highlight w:val="none"/>
        </w:rPr>
        <w:t>.10 出厂资料</w:t>
      </w:r>
    </w:p>
    <w:p w14:paraId="07202FC2">
      <w:pPr>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w:t>
      </w:r>
      <w:r>
        <w:rPr>
          <w:rFonts w:hint="eastAsia" w:ascii="宋体" w:hAnsi="宋体" w:eastAsia="宋体" w:cs="宋体"/>
          <w:snapToGrid/>
          <w:color w:val="auto"/>
          <w:kern w:val="2"/>
          <w:sz w:val="24"/>
          <w:szCs w:val="24"/>
          <w:highlight w:val="none"/>
          <w:lang w:val="en-US" w:eastAsia="zh-CN"/>
        </w:rPr>
        <w:t>4</w:t>
      </w:r>
      <w:r>
        <w:rPr>
          <w:rFonts w:hint="eastAsia" w:ascii="宋体" w:hAnsi="宋体" w:eastAsia="宋体" w:cs="宋体"/>
          <w:snapToGrid/>
          <w:color w:val="auto"/>
          <w:kern w:val="2"/>
          <w:sz w:val="24"/>
          <w:szCs w:val="24"/>
          <w:highlight w:val="none"/>
        </w:rPr>
        <w:t>.10.1 全部阀门制造结束后，</w:t>
      </w:r>
      <w:r>
        <w:rPr>
          <w:rFonts w:hint="eastAsia" w:ascii="宋体" w:hAnsi="宋体" w:eastAsia="宋体" w:cs="宋体"/>
          <w:snapToGrid/>
          <w:color w:val="auto"/>
          <w:kern w:val="2"/>
          <w:sz w:val="24"/>
          <w:szCs w:val="24"/>
          <w:highlight w:val="none"/>
          <w:lang w:eastAsia="zh-CN"/>
        </w:rPr>
        <w:t>卖方</w:t>
      </w:r>
      <w:r>
        <w:rPr>
          <w:rFonts w:hint="eastAsia" w:ascii="宋体" w:hAnsi="宋体" w:eastAsia="宋体" w:cs="宋体"/>
          <w:snapToGrid/>
          <w:color w:val="auto"/>
          <w:kern w:val="2"/>
          <w:sz w:val="24"/>
          <w:szCs w:val="24"/>
          <w:highlight w:val="none"/>
        </w:rPr>
        <w:t>应规范提交出厂资料。</w:t>
      </w:r>
    </w:p>
    <w:p w14:paraId="10E179D9">
      <w:pPr>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rPr>
          <w:rFonts w:hint="eastAsia" w:ascii="宋体" w:hAnsi="宋体" w:eastAsia="宋体" w:cs="宋体"/>
          <w:b w:val="0"/>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1.</w:t>
      </w:r>
      <w:r>
        <w:rPr>
          <w:rFonts w:hint="eastAsia" w:ascii="宋体" w:hAnsi="宋体" w:eastAsia="宋体" w:cs="宋体"/>
          <w:bCs w:val="0"/>
          <w:snapToGrid/>
          <w:color w:val="auto"/>
          <w:kern w:val="2"/>
          <w:sz w:val="24"/>
          <w:szCs w:val="24"/>
          <w:highlight w:val="none"/>
          <w:lang w:val="en-US" w:eastAsia="zh-CN"/>
        </w:rPr>
        <w:t>4</w:t>
      </w:r>
      <w:r>
        <w:rPr>
          <w:rFonts w:hint="eastAsia" w:ascii="宋体" w:hAnsi="宋体" w:eastAsia="宋体" w:cs="宋体"/>
          <w:bCs w:val="0"/>
          <w:snapToGrid/>
          <w:color w:val="auto"/>
          <w:kern w:val="2"/>
          <w:sz w:val="24"/>
          <w:szCs w:val="24"/>
          <w:highlight w:val="none"/>
        </w:rPr>
        <w:t>.10.2</w:t>
      </w:r>
      <w:r>
        <w:rPr>
          <w:rFonts w:hint="eastAsia" w:ascii="宋体" w:hAnsi="宋体" w:eastAsia="宋体" w:cs="宋体"/>
          <w:b w:val="0"/>
          <w:bCs w:val="0"/>
          <w:snapToGrid/>
          <w:color w:val="auto"/>
          <w:kern w:val="2"/>
          <w:sz w:val="24"/>
          <w:szCs w:val="24"/>
          <w:highlight w:val="none"/>
        </w:rPr>
        <w:t xml:space="preserve"> 设备出厂资料应满足档案管理要求。</w:t>
      </w:r>
    </w:p>
    <w:p w14:paraId="64C1EC99">
      <w:pPr>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rPr>
          <w:rFonts w:hint="eastAsia" w:ascii="宋体" w:hAnsi="宋体" w:eastAsia="宋体" w:cs="宋体"/>
          <w:snapToGrid/>
          <w:color w:val="auto"/>
          <w:kern w:val="2"/>
          <w:sz w:val="24"/>
          <w:szCs w:val="24"/>
          <w:highlight w:val="none"/>
          <w:u w:val="none"/>
          <w:lang w:val="en-US" w:eastAsia="zh-CN"/>
        </w:rPr>
      </w:pPr>
      <w:r>
        <w:rPr>
          <w:rFonts w:hint="eastAsia" w:ascii="宋体" w:hAnsi="宋体" w:eastAsia="宋体" w:cs="宋体"/>
          <w:b w:val="0"/>
          <w:snapToGrid/>
          <w:color w:val="auto"/>
          <w:kern w:val="2"/>
          <w:sz w:val="24"/>
          <w:szCs w:val="24"/>
          <w:highlight w:val="none"/>
          <w:lang w:val="en-US" w:eastAsia="zh-CN" w:bidi="ar-SA"/>
        </w:rPr>
        <w:t>1.4.11 质量标准：</w:t>
      </w:r>
      <w:r>
        <w:rPr>
          <w:rFonts w:hint="eastAsia" w:ascii="宋体" w:hAnsi="宋体" w:eastAsia="宋体" w:cs="宋体"/>
          <w:snapToGrid/>
          <w:color w:val="auto"/>
          <w:kern w:val="2"/>
          <w:sz w:val="24"/>
          <w:szCs w:val="24"/>
          <w:highlight w:val="none"/>
          <w:u w:val="none"/>
          <w:lang w:eastAsia="zh-CN"/>
        </w:rPr>
        <w:t>合格，</w:t>
      </w:r>
      <w:r>
        <w:rPr>
          <w:rFonts w:hint="eastAsia" w:ascii="宋体" w:hAnsi="宋体" w:eastAsia="宋体" w:cs="宋体"/>
          <w:snapToGrid/>
          <w:color w:val="auto"/>
          <w:kern w:val="2"/>
          <w:sz w:val="24"/>
          <w:szCs w:val="24"/>
          <w:highlight w:val="none"/>
          <w:u w:val="none"/>
          <w:lang w:val="en-US" w:eastAsia="zh-CN"/>
        </w:rPr>
        <w:t>符合技术条款要求。</w:t>
      </w:r>
    </w:p>
    <w:p w14:paraId="4EF2FB69">
      <w:pPr>
        <w:pStyle w:val="57"/>
        <w:keepNext w:val="0"/>
        <w:keepLines w:val="0"/>
        <w:pageBreakBefore w:val="0"/>
        <w:widowControl w:val="0"/>
        <w:kinsoku/>
        <w:wordWrap/>
        <w:overflowPunct/>
        <w:topLinePunct/>
        <w:autoSpaceDE/>
        <w:autoSpaceDN/>
        <w:bidi w:val="0"/>
        <w:adjustRightInd/>
        <w:snapToGrid/>
        <w:spacing w:line="360" w:lineRule="auto"/>
        <w:ind w:left="0" w:leftChars="0" w:right="105" w:rightChars="50" w:firstLine="0" w:firstLineChars="0"/>
        <w:jc w:val="both"/>
        <w:textAlignment w:val="auto"/>
        <w:outlineLvl w:val="9"/>
        <w:rPr>
          <w:rFonts w:hint="eastAsia" w:ascii="宋体" w:hAnsi="宋体" w:eastAsia="宋体" w:cs="宋体"/>
          <w:bCs/>
          <w:color w:val="auto"/>
          <w:spacing w:val="-2"/>
          <w:sz w:val="24"/>
          <w:szCs w:val="24"/>
          <w:highlight w:val="none"/>
          <w:lang w:val="en-US" w:eastAsia="zh-CN"/>
        </w:rPr>
      </w:pPr>
      <w:r>
        <w:rPr>
          <w:rFonts w:hint="eastAsia" w:ascii="宋体" w:hAnsi="宋体" w:eastAsia="宋体" w:cs="宋体"/>
          <w:bCs/>
          <w:color w:val="auto"/>
          <w:spacing w:val="-2"/>
          <w:sz w:val="24"/>
          <w:szCs w:val="24"/>
          <w:highlight w:val="none"/>
          <w:lang w:val="en-US" w:eastAsia="zh-CN"/>
        </w:rPr>
        <w:t>1.5  饮用水阀门要求</w:t>
      </w:r>
    </w:p>
    <w:p w14:paraId="4849E35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对于具有饮用水要求的阀门还应满足以下规定：</w:t>
      </w:r>
    </w:p>
    <w:p w14:paraId="5BEDFDF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1.5</w:t>
      </w:r>
      <w:r>
        <w:rPr>
          <w:rFonts w:hint="eastAsia" w:ascii="宋体" w:hAnsi="宋体" w:eastAsia="宋体" w:cs="宋体"/>
          <w:snapToGrid/>
          <w:color w:val="auto"/>
          <w:kern w:val="2"/>
          <w:sz w:val="24"/>
          <w:szCs w:val="24"/>
          <w:highlight w:val="none"/>
        </w:rPr>
        <w:t>.1 阀门卫生要求应符合《生活饮用水输配水设备及防护材料的安全性评价标准》（GB/T 17219）的规定。</w:t>
      </w:r>
    </w:p>
    <w:p w14:paraId="185D7D5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1.5</w:t>
      </w:r>
      <w:r>
        <w:rPr>
          <w:rFonts w:hint="eastAsia" w:ascii="宋体" w:hAnsi="宋体" w:eastAsia="宋体" w:cs="宋体"/>
          <w:snapToGrid/>
          <w:color w:val="auto"/>
          <w:kern w:val="2"/>
          <w:sz w:val="24"/>
          <w:szCs w:val="24"/>
          <w:highlight w:val="none"/>
        </w:rPr>
        <w:t>.2 凡与水接触的阀门材料，不应污染水质，不应使用含有石棉的材料。</w:t>
      </w:r>
    </w:p>
    <w:p w14:paraId="5610A20F">
      <w:pPr>
        <w:widowControl w:val="0"/>
        <w:autoSpaceDE/>
        <w:autoSpaceDN/>
        <w:spacing w:line="360" w:lineRule="auto"/>
        <w:ind w:firstLine="0" w:firstLineChars="0"/>
        <w:jc w:val="both"/>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1</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lang w:val="en-US" w:eastAsia="zh-CN"/>
        </w:rPr>
        <w:t>5</w:t>
      </w:r>
      <w:r>
        <w:rPr>
          <w:rFonts w:hint="eastAsia" w:ascii="宋体" w:hAnsi="宋体" w:eastAsia="宋体" w:cs="宋体"/>
          <w:snapToGrid/>
          <w:color w:val="auto"/>
          <w:kern w:val="2"/>
          <w:sz w:val="24"/>
          <w:szCs w:val="24"/>
          <w:highlight w:val="none"/>
        </w:rPr>
        <w:t>.3 若使用铜合金材料时，则铜合金含锌量应小于16%</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含铅量应不大于8%</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采用铝青铜时应进行表面失铝处理。</w:t>
      </w:r>
    </w:p>
    <w:p w14:paraId="2887BF94">
      <w:pPr>
        <w:pStyle w:val="57"/>
        <w:keepNext w:val="0"/>
        <w:keepLines w:val="0"/>
        <w:pageBreakBefore w:val="0"/>
        <w:widowControl w:val="0"/>
        <w:kinsoku/>
        <w:wordWrap/>
        <w:overflowPunct/>
        <w:topLinePunct/>
        <w:autoSpaceDE/>
        <w:autoSpaceDN/>
        <w:bidi w:val="0"/>
        <w:adjustRightInd/>
        <w:snapToGrid/>
        <w:spacing w:line="360" w:lineRule="auto"/>
        <w:ind w:right="105" w:rightChars="50"/>
        <w:jc w:val="both"/>
        <w:textAlignment w:val="auto"/>
        <w:outlineLvl w:val="1"/>
        <w:rPr>
          <w:rFonts w:hint="eastAsia" w:ascii="宋体" w:hAnsi="宋体" w:eastAsia="宋体" w:cs="宋体"/>
          <w:bCs/>
          <w:snapToGrid/>
          <w:color w:val="auto"/>
          <w:sz w:val="24"/>
          <w:szCs w:val="24"/>
          <w:highlight w:val="none"/>
          <w:lang w:bidi="en-US"/>
        </w:rPr>
      </w:pPr>
      <w:bookmarkStart w:id="979" w:name="_Toc2449"/>
      <w:bookmarkStart w:id="980" w:name="_Toc1300"/>
      <w:bookmarkStart w:id="981" w:name="_Toc29790"/>
      <w:bookmarkStart w:id="982" w:name="_Toc14769"/>
      <w:bookmarkStart w:id="983" w:name="_Toc6480"/>
      <w:bookmarkStart w:id="984" w:name="_Toc16044"/>
      <w:bookmarkStart w:id="985" w:name="_Toc14718"/>
      <w:bookmarkStart w:id="986" w:name="_Toc2203"/>
      <w:bookmarkStart w:id="987" w:name="_Toc24461"/>
      <w:bookmarkStart w:id="988" w:name="_Toc1020"/>
      <w:bookmarkStart w:id="989" w:name="_Toc15332"/>
      <w:bookmarkStart w:id="990" w:name="_Toc31802"/>
      <w:bookmarkStart w:id="991" w:name="_Toc7491"/>
      <w:bookmarkStart w:id="992" w:name="_Toc9832"/>
      <w:bookmarkStart w:id="993" w:name="_Toc16620"/>
      <w:bookmarkStart w:id="994" w:name="_Toc14746"/>
      <w:bookmarkStart w:id="995" w:name="_Toc32523"/>
      <w:bookmarkStart w:id="996" w:name="_Toc29222"/>
      <w:bookmarkStart w:id="997" w:name="_Toc30992"/>
      <w:bookmarkStart w:id="998" w:name="_Toc18305"/>
      <w:bookmarkStart w:id="999" w:name="_Toc12677"/>
      <w:bookmarkStart w:id="1000" w:name="_Toc17905"/>
      <w:bookmarkStart w:id="1001" w:name="_Toc6722"/>
      <w:r>
        <w:rPr>
          <w:rFonts w:hint="eastAsia" w:ascii="宋体" w:hAnsi="宋体" w:eastAsia="宋体" w:cs="宋体"/>
          <w:b/>
          <w:bCs/>
          <w:snapToGrid/>
          <w:color w:val="auto"/>
          <w:spacing w:val="0"/>
          <w:sz w:val="24"/>
          <w:szCs w:val="24"/>
          <w:highlight w:val="none"/>
          <w:lang w:val="en-US" w:eastAsia="zh-CN" w:bidi="en-US"/>
        </w:rPr>
        <w:t xml:space="preserve">二  </w:t>
      </w:r>
      <w:r>
        <w:rPr>
          <w:rFonts w:hint="eastAsia" w:ascii="宋体" w:hAnsi="宋体" w:eastAsia="宋体" w:cs="宋体"/>
          <w:bCs/>
          <w:snapToGrid/>
          <w:color w:val="auto"/>
          <w:sz w:val="24"/>
          <w:szCs w:val="24"/>
          <w:highlight w:val="none"/>
          <w:lang w:bidi="en-US"/>
        </w:rPr>
        <w:t>引用标准和规程规范</w:t>
      </w:r>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p>
    <w:tbl>
      <w:tblPr>
        <w:tblStyle w:val="22"/>
        <w:tblW w:w="93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779"/>
        <w:gridCol w:w="7540"/>
      </w:tblGrid>
      <w:tr w14:paraId="3D694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01918822">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NB</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lang w:val="en-US" w:eastAsia="zh-CN"/>
              </w:rPr>
              <w:t>T1051</w:t>
            </w:r>
          </w:p>
        </w:tc>
        <w:tc>
          <w:tcPr>
            <w:tcW w:w="7540" w:type="dxa"/>
            <w:noWrap w:val="0"/>
            <w:vAlign w:val="center"/>
          </w:tcPr>
          <w:p w14:paraId="14E8139B">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水电工程泄水阀技术条件</w:t>
            </w:r>
          </w:p>
        </w:tc>
      </w:tr>
      <w:tr w14:paraId="191C8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2955BB4C">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lang w:val="en-US" w:eastAsia="zh-CN"/>
              </w:rPr>
            </w:pPr>
            <w:r>
              <w:rPr>
                <w:rFonts w:hint="eastAsia" w:ascii="宋体" w:hAnsi="宋体" w:eastAsia="宋体" w:cs="宋体"/>
                <w:snapToGrid/>
                <w:color w:val="auto"/>
                <w:kern w:val="2"/>
                <w:sz w:val="24"/>
                <w:szCs w:val="24"/>
                <w:highlight w:val="none"/>
              </w:rPr>
              <w:t>SL105</w:t>
            </w:r>
          </w:p>
        </w:tc>
        <w:tc>
          <w:tcPr>
            <w:tcW w:w="7540" w:type="dxa"/>
            <w:noWrap w:val="0"/>
            <w:vAlign w:val="center"/>
          </w:tcPr>
          <w:p w14:paraId="2E25984D">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水工金属结构防腐蚀规范</w:t>
            </w:r>
          </w:p>
        </w:tc>
      </w:tr>
      <w:tr w14:paraId="7CCAF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584E8ECF">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713</w:t>
            </w:r>
          </w:p>
        </w:tc>
        <w:tc>
          <w:tcPr>
            <w:tcW w:w="7540" w:type="dxa"/>
            <w:noWrap w:val="0"/>
            <w:vAlign w:val="center"/>
          </w:tcPr>
          <w:p w14:paraId="04E05293">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锅炉和压力容器用钢板</w:t>
            </w:r>
          </w:p>
        </w:tc>
      </w:tr>
      <w:tr w14:paraId="49DD2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1CD9E3FF">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3274</w:t>
            </w:r>
          </w:p>
        </w:tc>
        <w:tc>
          <w:tcPr>
            <w:tcW w:w="7540" w:type="dxa"/>
            <w:noWrap w:val="0"/>
            <w:vAlign w:val="center"/>
          </w:tcPr>
          <w:p w14:paraId="6E878F0F">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碳素结构钢和低合金结构钢热轧钢板和钢带</w:t>
            </w:r>
          </w:p>
        </w:tc>
      </w:tr>
      <w:tr w14:paraId="16486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3065FFD1">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12220</w:t>
            </w:r>
          </w:p>
        </w:tc>
        <w:tc>
          <w:tcPr>
            <w:tcW w:w="7540" w:type="dxa"/>
            <w:noWrap w:val="0"/>
            <w:vAlign w:val="center"/>
          </w:tcPr>
          <w:p w14:paraId="4A722695">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通用阀门 标志</w:t>
            </w:r>
          </w:p>
        </w:tc>
      </w:tr>
      <w:tr w14:paraId="461F7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14589540">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12221</w:t>
            </w:r>
          </w:p>
        </w:tc>
        <w:tc>
          <w:tcPr>
            <w:tcW w:w="7540" w:type="dxa"/>
            <w:noWrap w:val="0"/>
            <w:vAlign w:val="center"/>
          </w:tcPr>
          <w:p w14:paraId="4E4271B5">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通用阀门 法兰连接金属阀门结构长度</w:t>
            </w:r>
          </w:p>
        </w:tc>
      </w:tr>
      <w:tr w14:paraId="6A1329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373A6C0B">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12226</w:t>
            </w:r>
          </w:p>
        </w:tc>
        <w:tc>
          <w:tcPr>
            <w:tcW w:w="7540" w:type="dxa"/>
            <w:noWrap w:val="0"/>
            <w:vAlign w:val="center"/>
          </w:tcPr>
          <w:p w14:paraId="61F7FA81">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通用阀门 灰铸铁件技术条件</w:t>
            </w:r>
          </w:p>
        </w:tc>
      </w:tr>
      <w:tr w14:paraId="11BFF2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58074F08">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12227</w:t>
            </w:r>
          </w:p>
        </w:tc>
        <w:tc>
          <w:tcPr>
            <w:tcW w:w="7540" w:type="dxa"/>
            <w:noWrap w:val="0"/>
            <w:vAlign w:val="center"/>
          </w:tcPr>
          <w:p w14:paraId="7AB1AAA5">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通用阀门 球墨铸铁件技术条件</w:t>
            </w:r>
          </w:p>
        </w:tc>
      </w:tr>
      <w:tr w14:paraId="7DBAD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6D748268">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12228</w:t>
            </w:r>
          </w:p>
        </w:tc>
        <w:tc>
          <w:tcPr>
            <w:tcW w:w="7540" w:type="dxa"/>
            <w:noWrap w:val="0"/>
            <w:vAlign w:val="center"/>
          </w:tcPr>
          <w:p w14:paraId="266D47A7">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通用阀门 碳素钢锻件技术条件</w:t>
            </w:r>
          </w:p>
        </w:tc>
      </w:tr>
      <w:tr w14:paraId="6D11F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576BDF81">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12465</w:t>
            </w:r>
          </w:p>
        </w:tc>
        <w:tc>
          <w:tcPr>
            <w:tcW w:w="7540" w:type="dxa"/>
            <w:noWrap w:val="0"/>
            <w:vAlign w:val="center"/>
          </w:tcPr>
          <w:p w14:paraId="48306996">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管路补偿接头</w:t>
            </w:r>
          </w:p>
        </w:tc>
      </w:tr>
      <w:tr w14:paraId="7D255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05290D90">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9124.1</w:t>
            </w:r>
          </w:p>
        </w:tc>
        <w:tc>
          <w:tcPr>
            <w:tcW w:w="7540" w:type="dxa"/>
            <w:noWrap w:val="0"/>
            <w:vAlign w:val="center"/>
          </w:tcPr>
          <w:p w14:paraId="6C357FB1">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钢制管法兰</w:t>
            </w:r>
          </w:p>
        </w:tc>
      </w:tr>
      <w:tr w14:paraId="64127D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40ED4B1A">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9123.1</w:t>
            </w:r>
          </w:p>
        </w:tc>
        <w:tc>
          <w:tcPr>
            <w:tcW w:w="7540" w:type="dxa"/>
            <w:noWrap w:val="0"/>
            <w:vAlign w:val="center"/>
          </w:tcPr>
          <w:p w14:paraId="6D8BC856">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钢制管法兰盖</w:t>
            </w:r>
          </w:p>
        </w:tc>
      </w:tr>
      <w:tr w14:paraId="5FABE4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5B96DE98">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32808</w:t>
            </w:r>
          </w:p>
        </w:tc>
        <w:tc>
          <w:tcPr>
            <w:tcW w:w="7540" w:type="dxa"/>
            <w:noWrap w:val="0"/>
            <w:vAlign w:val="center"/>
          </w:tcPr>
          <w:p w14:paraId="04D4C7D5">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阀门型号编制方法</w:t>
            </w:r>
          </w:p>
        </w:tc>
      </w:tr>
      <w:tr w14:paraId="736EC9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598CB520">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5118</w:t>
            </w:r>
          </w:p>
        </w:tc>
        <w:tc>
          <w:tcPr>
            <w:tcW w:w="7540" w:type="dxa"/>
            <w:noWrap w:val="0"/>
            <w:vAlign w:val="center"/>
          </w:tcPr>
          <w:p w14:paraId="644ACAEB">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热强钢焊条</w:t>
            </w:r>
          </w:p>
        </w:tc>
      </w:tr>
      <w:tr w14:paraId="60186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4E5E1841">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5293</w:t>
            </w:r>
          </w:p>
        </w:tc>
        <w:tc>
          <w:tcPr>
            <w:tcW w:w="7540" w:type="dxa"/>
            <w:noWrap w:val="0"/>
            <w:vAlign w:val="center"/>
          </w:tcPr>
          <w:p w14:paraId="639F432B">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埋弧焊用非合金钢及细晶粒钢实心焊丝、药芯焊丝和焊丝</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焊剂组合分类要求</w:t>
            </w:r>
          </w:p>
        </w:tc>
      </w:tr>
      <w:tr w14:paraId="6492E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23F37E69">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985.1</w:t>
            </w:r>
          </w:p>
        </w:tc>
        <w:tc>
          <w:tcPr>
            <w:tcW w:w="7540" w:type="dxa"/>
            <w:noWrap w:val="0"/>
            <w:vAlign w:val="center"/>
          </w:tcPr>
          <w:p w14:paraId="5655AF1F">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气焊、焊条电弧焊、气体保护焊和高能束焊的推荐坡口</w:t>
            </w:r>
          </w:p>
        </w:tc>
      </w:tr>
      <w:tr w14:paraId="31E2E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691F12C9">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985.2</w:t>
            </w:r>
          </w:p>
        </w:tc>
        <w:tc>
          <w:tcPr>
            <w:tcW w:w="7540" w:type="dxa"/>
            <w:noWrap w:val="0"/>
            <w:vAlign w:val="center"/>
          </w:tcPr>
          <w:p w14:paraId="3C0EE497">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埋弧焊的推荐坡口</w:t>
            </w:r>
          </w:p>
        </w:tc>
      </w:tr>
      <w:tr w14:paraId="782114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2B2B9746">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JB/T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5943</w:t>
            </w:r>
          </w:p>
        </w:tc>
        <w:tc>
          <w:tcPr>
            <w:tcW w:w="7540" w:type="dxa"/>
            <w:noWrap w:val="0"/>
            <w:vAlign w:val="center"/>
          </w:tcPr>
          <w:p w14:paraId="4016B345">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工程机械 焊接件通用技术条件</w:t>
            </w:r>
          </w:p>
        </w:tc>
      </w:tr>
      <w:tr w14:paraId="7603B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2DB11010">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3323.1</w:t>
            </w:r>
          </w:p>
        </w:tc>
        <w:tc>
          <w:tcPr>
            <w:tcW w:w="7540" w:type="dxa"/>
            <w:noWrap w:val="0"/>
            <w:vAlign w:val="center"/>
          </w:tcPr>
          <w:p w14:paraId="21245139">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焊缝无损检测 射线检测 第1部分：X和</w:t>
            </w:r>
            <w:r>
              <w:rPr>
                <w:rFonts w:hint="eastAsia" w:ascii="宋体" w:hAnsi="宋体" w:eastAsia="宋体" w:cs="宋体"/>
                <w:snapToGrid/>
                <w:color w:val="auto"/>
                <w:kern w:val="2"/>
                <w:sz w:val="24"/>
                <w:szCs w:val="24"/>
                <w:highlight w:val="none"/>
                <w:lang w:eastAsia="zh-CN"/>
              </w:rPr>
              <w:t>伽马</w:t>
            </w:r>
            <w:r>
              <w:rPr>
                <w:rFonts w:hint="eastAsia" w:ascii="宋体" w:hAnsi="宋体" w:eastAsia="宋体" w:cs="宋体"/>
                <w:snapToGrid/>
                <w:color w:val="auto"/>
                <w:kern w:val="2"/>
                <w:sz w:val="24"/>
                <w:szCs w:val="24"/>
                <w:highlight w:val="none"/>
              </w:rPr>
              <w:t>射线的胶片技术</w:t>
            </w:r>
          </w:p>
        </w:tc>
      </w:tr>
      <w:tr w14:paraId="1A5CA8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527A12B3">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3323.2</w:t>
            </w:r>
          </w:p>
        </w:tc>
        <w:tc>
          <w:tcPr>
            <w:tcW w:w="7540" w:type="dxa"/>
            <w:noWrap w:val="0"/>
            <w:vAlign w:val="center"/>
          </w:tcPr>
          <w:p w14:paraId="7FA8C531">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焊缝无损检测 射线检测 第2部分：使用数字化探测器的X和</w:t>
            </w:r>
            <w:r>
              <w:rPr>
                <w:rFonts w:hint="eastAsia" w:ascii="宋体" w:hAnsi="宋体" w:eastAsia="宋体" w:cs="宋体"/>
                <w:snapToGrid/>
                <w:color w:val="auto"/>
                <w:kern w:val="2"/>
                <w:sz w:val="24"/>
                <w:szCs w:val="24"/>
                <w:highlight w:val="none"/>
                <w:lang w:eastAsia="zh-CN"/>
              </w:rPr>
              <w:t>伽马</w:t>
            </w:r>
            <w:r>
              <w:rPr>
                <w:rFonts w:hint="eastAsia" w:ascii="宋体" w:hAnsi="宋体" w:eastAsia="宋体" w:cs="宋体"/>
                <w:snapToGrid/>
                <w:color w:val="auto"/>
                <w:kern w:val="2"/>
                <w:sz w:val="24"/>
                <w:szCs w:val="24"/>
                <w:highlight w:val="none"/>
              </w:rPr>
              <w:t>射线技术</w:t>
            </w:r>
          </w:p>
        </w:tc>
      </w:tr>
      <w:tr w14:paraId="35056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6F1228A8">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3632</w:t>
            </w:r>
          </w:p>
        </w:tc>
        <w:tc>
          <w:tcPr>
            <w:tcW w:w="7540" w:type="dxa"/>
            <w:noWrap w:val="0"/>
            <w:vAlign w:val="center"/>
          </w:tcPr>
          <w:p w14:paraId="5760408E">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钢结构用扭剪型高强度螺栓连接副</w:t>
            </w:r>
          </w:p>
        </w:tc>
      </w:tr>
      <w:tr w14:paraId="5FEE4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462EFE10">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1228</w:t>
            </w:r>
          </w:p>
        </w:tc>
        <w:tc>
          <w:tcPr>
            <w:tcW w:w="7540" w:type="dxa"/>
            <w:noWrap w:val="0"/>
            <w:vAlign w:val="center"/>
          </w:tcPr>
          <w:p w14:paraId="67CBA36F">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钢结构用高强度大六角头螺栓</w:t>
            </w:r>
          </w:p>
        </w:tc>
      </w:tr>
      <w:tr w14:paraId="41E1E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1F103C90">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1231</w:t>
            </w:r>
          </w:p>
        </w:tc>
        <w:tc>
          <w:tcPr>
            <w:tcW w:w="7540" w:type="dxa"/>
            <w:noWrap w:val="0"/>
            <w:vAlign w:val="center"/>
          </w:tcPr>
          <w:p w14:paraId="5BC2FF37">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钢结构用高强度大六角头螺栓、大六角螺母、垫圈技术条件</w:t>
            </w:r>
          </w:p>
        </w:tc>
      </w:tr>
      <w:tr w14:paraId="7F535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7C124C56">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17219</w:t>
            </w:r>
          </w:p>
        </w:tc>
        <w:tc>
          <w:tcPr>
            <w:tcW w:w="7540" w:type="dxa"/>
            <w:noWrap w:val="0"/>
            <w:vAlign w:val="center"/>
          </w:tcPr>
          <w:p w14:paraId="17D9EA9E">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生活饮用水输配水设备及防护材料的安全性评价标准</w:t>
            </w:r>
          </w:p>
        </w:tc>
      </w:tr>
      <w:tr w14:paraId="3C932F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51FE6692">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5749</w:t>
            </w:r>
          </w:p>
        </w:tc>
        <w:tc>
          <w:tcPr>
            <w:tcW w:w="7540" w:type="dxa"/>
            <w:noWrap w:val="0"/>
            <w:vAlign w:val="center"/>
          </w:tcPr>
          <w:p w14:paraId="399440FD">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生活饮用水卫生标准</w:t>
            </w:r>
          </w:p>
        </w:tc>
      </w:tr>
      <w:tr w14:paraId="7B3B7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8" w:hRule="atLeast"/>
          <w:jc w:val="center"/>
        </w:trPr>
        <w:tc>
          <w:tcPr>
            <w:tcW w:w="1779" w:type="dxa"/>
            <w:noWrap w:val="0"/>
            <w:vAlign w:val="center"/>
          </w:tcPr>
          <w:p w14:paraId="2C91B3EB">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191</w:t>
            </w:r>
          </w:p>
          <w:p w14:paraId="2D9463F5">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13306</w:t>
            </w:r>
          </w:p>
        </w:tc>
        <w:tc>
          <w:tcPr>
            <w:tcW w:w="7540" w:type="dxa"/>
            <w:noWrap w:val="0"/>
            <w:vAlign w:val="center"/>
          </w:tcPr>
          <w:p w14:paraId="71DA869A">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包装储运图示标志标牌</w:t>
            </w:r>
          </w:p>
        </w:tc>
      </w:tr>
      <w:tr w14:paraId="1DB76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9" w:hRule="atLeast"/>
          <w:jc w:val="center"/>
        </w:trPr>
        <w:tc>
          <w:tcPr>
            <w:tcW w:w="1779" w:type="dxa"/>
            <w:noWrap w:val="0"/>
            <w:vAlign w:val="center"/>
          </w:tcPr>
          <w:p w14:paraId="6D5946FC">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GB/T</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13384</w:t>
            </w:r>
          </w:p>
        </w:tc>
        <w:tc>
          <w:tcPr>
            <w:tcW w:w="7540" w:type="dxa"/>
            <w:noWrap w:val="0"/>
            <w:vAlign w:val="center"/>
          </w:tcPr>
          <w:p w14:paraId="7DE92DBF">
            <w:pPr>
              <w:keepNext w:val="0"/>
              <w:keepLines w:val="0"/>
              <w:pageBreakBefore w:val="0"/>
              <w:widowControl w:val="0"/>
              <w:kinsoku/>
              <w:wordWrap/>
              <w:overflowPunct/>
              <w:topLinePunct/>
              <w:autoSpaceDE/>
              <w:autoSpaceDN/>
              <w:bidi w:val="0"/>
              <w:adjustRightInd w:val="0"/>
              <w:snapToGrid w:val="0"/>
              <w:spacing w:before="60" w:line="360" w:lineRule="auto"/>
              <w:ind w:left="0" w:leftChars="0" w:right="0" w:rightChars="0"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机电产品包装通用技术条件</w:t>
            </w:r>
          </w:p>
        </w:tc>
      </w:tr>
    </w:tbl>
    <w:p w14:paraId="1D77B795">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以上所列标准，是设计、制造、检修、安装及验收必须依照的标准，但并不限于此。在合同执行过程中如有新的版本或替代标准时，则按新颁发的版本或其替代标准以及相应标准执行。当标准之间的技术要求不一致时，按要求严格的标准内容执行。</w:t>
      </w:r>
    </w:p>
    <w:p w14:paraId="70AF65AA">
      <w:pPr>
        <w:pStyle w:val="41"/>
        <w:numPr>
          <w:ilvl w:val="0"/>
          <w:numId w:val="0"/>
        </w:numPr>
        <w:kinsoku/>
        <w:topLinePunct/>
        <w:spacing w:line="360" w:lineRule="auto"/>
        <w:jc w:val="left"/>
        <w:outlineLvl w:val="1"/>
        <w:rPr>
          <w:rFonts w:hint="eastAsia" w:ascii="宋体" w:hAnsi="宋体" w:eastAsia="宋体" w:cs="宋体"/>
          <w:b/>
          <w:color w:val="auto"/>
          <w:sz w:val="24"/>
          <w:szCs w:val="24"/>
          <w:highlight w:val="none"/>
        </w:rPr>
      </w:pPr>
      <w:bookmarkStart w:id="1002" w:name="_Toc26730"/>
      <w:bookmarkStart w:id="1003" w:name="_Toc12744"/>
      <w:bookmarkStart w:id="1004" w:name="_Toc21798"/>
      <w:bookmarkStart w:id="1005" w:name="_Toc11962"/>
      <w:bookmarkStart w:id="1006" w:name="_Toc30472"/>
      <w:bookmarkStart w:id="1007" w:name="_Toc4431"/>
      <w:bookmarkStart w:id="1008" w:name="_Toc28441"/>
      <w:bookmarkStart w:id="1009" w:name="_Toc16684"/>
      <w:bookmarkStart w:id="1010" w:name="_Toc19823"/>
      <w:bookmarkStart w:id="1011" w:name="_Toc28777"/>
      <w:bookmarkStart w:id="1012" w:name="_Toc28754"/>
      <w:bookmarkStart w:id="1013" w:name="_Toc2842"/>
      <w:bookmarkStart w:id="1014" w:name="_Toc31957"/>
      <w:bookmarkStart w:id="1015" w:name="_Toc29078"/>
      <w:bookmarkStart w:id="1016" w:name="_Toc27403"/>
      <w:bookmarkStart w:id="1017" w:name="_Toc6420"/>
      <w:bookmarkStart w:id="1018" w:name="_Toc23818"/>
      <w:bookmarkStart w:id="1019" w:name="_Toc28639"/>
      <w:bookmarkStart w:id="1020" w:name="_Toc23553"/>
      <w:bookmarkStart w:id="1021" w:name="_Toc14904"/>
      <w:bookmarkStart w:id="1022" w:name="_Toc24325"/>
      <w:bookmarkStart w:id="1023" w:name="_Toc23941"/>
      <w:bookmarkStart w:id="1024" w:name="_Toc12560"/>
      <w:r>
        <w:rPr>
          <w:rFonts w:hint="eastAsia" w:ascii="宋体" w:hAnsi="宋体" w:eastAsia="宋体" w:cs="宋体"/>
          <w:b/>
          <w:bCs/>
          <w:snapToGrid/>
          <w:color w:val="auto"/>
          <w:spacing w:val="0"/>
          <w:sz w:val="24"/>
          <w:szCs w:val="24"/>
          <w:highlight w:val="none"/>
          <w:lang w:val="en-US" w:eastAsia="zh-CN" w:bidi="en-US"/>
        </w:rPr>
        <w:t>三  手电两用偏心半球阀</w:t>
      </w:r>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p>
    <w:p w14:paraId="25C2511F">
      <w:pPr>
        <w:kinsoku/>
        <w:topLinePunc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3.1 </w:t>
      </w:r>
      <w:r>
        <w:rPr>
          <w:rFonts w:hint="eastAsia" w:ascii="宋体" w:hAnsi="宋体" w:eastAsia="宋体" w:cs="宋体"/>
          <w:b/>
          <w:color w:val="auto"/>
          <w:sz w:val="24"/>
          <w:szCs w:val="24"/>
          <w:highlight w:val="none"/>
        </w:rPr>
        <w:t>电两用偏心半球阀总要求</w:t>
      </w:r>
    </w:p>
    <w:p w14:paraId="3A341C33">
      <w:pPr>
        <w:pStyle w:val="41"/>
        <w:keepNext w:val="0"/>
        <w:keepLines w:val="0"/>
        <w:pageBreakBefore w:val="0"/>
        <w:widowControl/>
        <w:numPr>
          <w:ilvl w:val="1"/>
          <w:numId w:val="0"/>
        </w:numPr>
        <w:kinsoku/>
        <w:wordWrap/>
        <w:overflowPunct/>
        <w:topLinePunct/>
        <w:autoSpaceDE w:val="0"/>
        <w:autoSpaceDN w:val="0"/>
        <w:bidi w:val="0"/>
        <w:adjustRightInd w:val="0"/>
        <w:snapToGrid w:val="0"/>
        <w:spacing w:line="360" w:lineRule="auto"/>
        <w:ind w:left="0" w:leftChars="0"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bidi="ar-SA"/>
        </w:rPr>
        <w:t>3.</w:t>
      </w:r>
      <w:r>
        <w:rPr>
          <w:rFonts w:hint="default" w:ascii="宋体" w:hAnsi="宋体" w:eastAsia="宋体" w:cs="宋体"/>
          <w:snapToGrid/>
          <w:color w:val="auto"/>
          <w:kern w:val="2"/>
          <w:sz w:val="24"/>
          <w:szCs w:val="24"/>
          <w:highlight w:val="none"/>
          <w:lang w:val="en-US" w:eastAsia="zh-CN" w:bidi="ar-SA"/>
        </w:rPr>
        <w:t>1.1</w:t>
      </w:r>
      <w:r>
        <w:rPr>
          <w:rFonts w:hint="eastAsia" w:ascii="宋体" w:hAnsi="宋体" w:eastAsia="宋体" w:cs="宋体"/>
          <w:snapToGrid/>
          <w:color w:val="auto"/>
          <w:kern w:val="2"/>
          <w:sz w:val="24"/>
          <w:szCs w:val="24"/>
          <w:highlight w:val="none"/>
          <w:lang w:val="en-US" w:eastAsia="zh-CN" w:bidi="ar-SA"/>
        </w:rPr>
        <w:t xml:space="preserve"> </w:t>
      </w:r>
      <w:r>
        <w:rPr>
          <w:rFonts w:hint="eastAsia" w:ascii="宋体" w:hAnsi="宋体" w:eastAsia="宋体" w:cs="宋体"/>
          <w:snapToGrid/>
          <w:color w:val="auto"/>
          <w:kern w:val="2"/>
          <w:sz w:val="24"/>
          <w:szCs w:val="24"/>
          <w:highlight w:val="none"/>
        </w:rPr>
        <w:t>所有偏心半球阀均按GB26146-2010《偏心半球阀》执行。</w:t>
      </w:r>
    </w:p>
    <w:p w14:paraId="5363BA42">
      <w:pPr>
        <w:pStyle w:val="41"/>
        <w:keepNext w:val="0"/>
        <w:keepLines w:val="0"/>
        <w:pageBreakBefore w:val="0"/>
        <w:widowControl/>
        <w:numPr>
          <w:ilvl w:val="1"/>
          <w:numId w:val="0"/>
        </w:numPr>
        <w:kinsoku/>
        <w:wordWrap/>
        <w:overflowPunct/>
        <w:topLinePunct/>
        <w:autoSpaceDE w:val="0"/>
        <w:autoSpaceDN w:val="0"/>
        <w:bidi w:val="0"/>
        <w:adjustRightInd w:val="0"/>
        <w:snapToGrid w:val="0"/>
        <w:spacing w:line="360" w:lineRule="auto"/>
        <w:ind w:left="0" w:leftChars="0" w:firstLine="0" w:firstLineChars="0"/>
        <w:jc w:val="left"/>
        <w:textAlignment w:val="baseline"/>
        <w:rPr>
          <w:rFonts w:hint="eastAsia" w:ascii="宋体" w:hAnsi="宋体" w:eastAsia="宋体" w:cs="宋体"/>
          <w:color w:val="auto"/>
          <w:kern w:val="0"/>
          <w:sz w:val="24"/>
          <w:szCs w:val="24"/>
          <w:highlight w:val="none"/>
        </w:rPr>
      </w:pPr>
      <w:r>
        <w:rPr>
          <w:rFonts w:hint="eastAsia" w:ascii="宋体" w:hAnsi="宋体" w:eastAsia="宋体" w:cs="宋体"/>
          <w:snapToGrid w:val="0"/>
          <w:color w:val="auto"/>
          <w:kern w:val="0"/>
          <w:sz w:val="24"/>
          <w:szCs w:val="24"/>
          <w:highlight w:val="none"/>
          <w:lang w:val="en-US" w:eastAsia="zh-CN" w:bidi="ar-SA"/>
        </w:rPr>
        <w:t>3.</w:t>
      </w:r>
      <w:r>
        <w:rPr>
          <w:rFonts w:hint="default" w:ascii="宋体" w:hAnsi="宋体" w:eastAsia="宋体" w:cs="宋体"/>
          <w:snapToGrid w:val="0"/>
          <w:color w:val="auto"/>
          <w:kern w:val="0"/>
          <w:sz w:val="24"/>
          <w:szCs w:val="24"/>
          <w:highlight w:val="none"/>
          <w:lang w:val="en-US" w:eastAsia="zh-CN" w:bidi="ar-SA"/>
        </w:rPr>
        <w:t>1.2</w:t>
      </w:r>
      <w:r>
        <w:rPr>
          <w:rFonts w:hint="eastAsia" w:ascii="宋体" w:hAnsi="宋体" w:eastAsia="宋体" w:cs="宋体"/>
          <w:snapToGrid w:val="0"/>
          <w:color w:val="auto"/>
          <w:kern w:val="0"/>
          <w:sz w:val="24"/>
          <w:szCs w:val="24"/>
          <w:highlight w:val="none"/>
          <w:lang w:val="en-US" w:eastAsia="zh-CN" w:bidi="ar-SA"/>
        </w:rPr>
        <w:t xml:space="preserve"> </w:t>
      </w:r>
      <w:r>
        <w:rPr>
          <w:rFonts w:hint="eastAsia" w:ascii="宋体" w:hAnsi="宋体" w:eastAsia="宋体" w:cs="宋体"/>
          <w:snapToGrid/>
          <w:color w:val="auto"/>
          <w:kern w:val="2"/>
          <w:sz w:val="24"/>
          <w:szCs w:val="24"/>
          <w:highlight w:val="none"/>
        </w:rPr>
        <w:t>当遇到断电时，操作人员可以通过电动操作机构上的手轮，对阀门进行单人手动操作。并能在合理的时间内，实现阀门的全开或者全关。</w:t>
      </w:r>
    </w:p>
    <w:p w14:paraId="7209CA8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3.2 </w:t>
      </w:r>
      <w:r>
        <w:rPr>
          <w:rFonts w:hint="eastAsia" w:ascii="宋体" w:hAnsi="宋体" w:eastAsia="宋体" w:cs="宋体"/>
          <w:b/>
          <w:color w:val="auto"/>
          <w:sz w:val="24"/>
          <w:szCs w:val="24"/>
          <w:highlight w:val="none"/>
        </w:rPr>
        <w:t>供货范围及备品备件</w:t>
      </w:r>
    </w:p>
    <w:p w14:paraId="0163913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2.1本工程所有偏心半球阀供货范围包含：阀门本体、电动操作机构、配对法兰及连接件、预埋件、备品备件、专用工具、C</w:t>
      </w:r>
      <w:r>
        <w:rPr>
          <w:rFonts w:hint="eastAsia" w:ascii="宋体" w:hAnsi="宋体" w:eastAsia="宋体" w:cs="宋体"/>
          <w:snapToGrid/>
          <w:color w:val="auto"/>
          <w:kern w:val="2"/>
          <w:sz w:val="24"/>
          <w:szCs w:val="24"/>
          <w:highlight w:val="none"/>
          <w:vertAlign w:val="baseline"/>
        </w:rPr>
        <w:t>2</w:t>
      </w:r>
      <w:r>
        <w:rPr>
          <w:rFonts w:hint="eastAsia" w:ascii="宋体" w:hAnsi="宋体" w:eastAsia="宋体" w:cs="宋体"/>
          <w:snapToGrid/>
          <w:color w:val="auto"/>
          <w:kern w:val="2"/>
          <w:sz w:val="24"/>
          <w:szCs w:val="24"/>
          <w:highlight w:val="none"/>
        </w:rPr>
        <w:t>F钢制伸缩节。每个偏心半球阀还应随设备提供正常使用和维护所需的专用工具以及在两年质保期内所需的备品备件。包括但不限于如下内容：阀盖密封圈、阀座密封条（如有）、阀轴密封圈、阀座密封圈，上述备品备件每种规格阀门各一套。</w:t>
      </w:r>
    </w:p>
    <w:p w14:paraId="3A1549D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3.3 其他</w:t>
      </w:r>
    </w:p>
    <w:p w14:paraId="569F117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3.</w:t>
      </w: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 xml:space="preserve">  所有偏心半球阀均为上装结构。</w:t>
      </w:r>
    </w:p>
    <w:p w14:paraId="2B6C0ED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3.</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 xml:space="preserve">  本工程所有偏心半球阀均采用全通径的型式。流道最小处的直径不得小于阀门公称直径的0.95倍。</w:t>
      </w:r>
    </w:p>
    <w:p w14:paraId="7378A61B">
      <w:pPr>
        <w:keepNext w:val="0"/>
        <w:keepLines w:val="0"/>
        <w:pageBreakBefore w:val="0"/>
        <w:kinsoku/>
        <w:wordWrap/>
        <w:overflowPunct/>
        <w:topLinePunct/>
        <w:bidi w:val="0"/>
        <w:adjustRightInd w:val="0"/>
        <w:snapToGrid w:val="0"/>
        <w:spacing w:line="360" w:lineRule="auto"/>
        <w:ind w:firstLine="0" w:firstLineChars="0"/>
        <w:jc w:val="left"/>
        <w:textAlignment w:val="baseline"/>
        <w:rPr>
          <w:rStyle w:val="63"/>
          <w:rFonts w:hint="eastAsia" w:ascii="宋体" w:hAnsi="宋体" w:eastAsia="宋体" w:cs="宋体"/>
          <w:b w:val="0"/>
          <w:color w:val="auto"/>
          <w:sz w:val="24"/>
          <w:szCs w:val="24"/>
          <w:highlight w:val="none"/>
        </w:rPr>
      </w:pPr>
      <w:r>
        <w:rPr>
          <w:rFonts w:hint="eastAsia" w:ascii="宋体" w:hAnsi="宋体" w:eastAsia="宋体" w:cs="宋体"/>
          <w:b/>
          <w:color w:val="auto"/>
          <w:sz w:val="24"/>
          <w:szCs w:val="24"/>
          <w:highlight w:val="none"/>
          <w:lang w:val="en-US" w:eastAsia="zh-CN"/>
        </w:rPr>
        <w:t xml:space="preserve">3.4 </w:t>
      </w:r>
      <w:r>
        <w:rPr>
          <w:rFonts w:hint="eastAsia" w:ascii="宋体" w:hAnsi="宋体" w:eastAsia="宋体" w:cs="宋体"/>
          <w:b/>
          <w:color w:val="auto"/>
          <w:sz w:val="24"/>
          <w:szCs w:val="24"/>
          <w:highlight w:val="none"/>
        </w:rPr>
        <w:t>手电两用偏心半球阀结构</w:t>
      </w:r>
    </w:p>
    <w:p w14:paraId="7C0BD46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4.1 阀体</w:t>
      </w:r>
    </w:p>
    <w:p w14:paraId="12BE4A1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Style w:val="63"/>
          <w:rFonts w:hint="eastAsia" w:ascii="宋体" w:hAnsi="宋体" w:eastAsia="宋体" w:cs="宋体"/>
          <w:b w:val="0"/>
          <w:snapToGrid/>
          <w:color w:val="auto"/>
          <w:kern w:val="2"/>
          <w:sz w:val="24"/>
          <w:szCs w:val="24"/>
          <w:highlight w:val="none"/>
          <w:lang w:val="en-US"/>
        </w:rPr>
        <w:t>3.</w:t>
      </w:r>
      <w:r>
        <w:rPr>
          <w:rStyle w:val="63"/>
          <w:rFonts w:hint="eastAsia" w:ascii="宋体" w:hAnsi="宋体" w:eastAsia="宋体" w:cs="宋体"/>
          <w:b w:val="0"/>
          <w:snapToGrid/>
          <w:color w:val="auto"/>
          <w:kern w:val="2"/>
          <w:sz w:val="24"/>
          <w:szCs w:val="24"/>
          <w:highlight w:val="none"/>
        </w:rPr>
        <w:t>4.1.1</w:t>
      </w:r>
      <w:r>
        <w:rPr>
          <w:rFonts w:hint="eastAsia" w:ascii="宋体" w:hAnsi="宋体" w:eastAsia="宋体" w:cs="宋体"/>
          <w:snapToGrid/>
          <w:color w:val="auto"/>
          <w:kern w:val="2"/>
          <w:sz w:val="24"/>
          <w:szCs w:val="24"/>
          <w:highlight w:val="none"/>
        </w:rPr>
        <w:t>所有偏心半球阀的阀体最小厚度不得低于GB26146-2010的规定。</w:t>
      </w:r>
    </w:p>
    <w:p w14:paraId="2893412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4.1.2本工程所有偏心半球阀均采用全通径的型式。流道最小处的直径不得小于阀门公称直径的0.95倍。</w:t>
      </w:r>
    </w:p>
    <w:p w14:paraId="6AE43AE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4.1.3所有偏心半球阀的主阀体、副阀体应是整体铸造成型。</w:t>
      </w:r>
    </w:p>
    <w:p w14:paraId="7CA74E5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4.1.4半球体为实心半球，密封面部位应是球面或是球冠。</w:t>
      </w:r>
    </w:p>
    <w:p w14:paraId="3C9FB14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4.1.5半球阀全开时，应保证球体中心与阀体通道中心在同一轴线上。</w:t>
      </w:r>
    </w:p>
    <w:p w14:paraId="3AA4ECE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4.1.6所有偏心半球阀阀体的适当位置设置吊环，且设置地脚支撑。</w:t>
      </w:r>
    </w:p>
    <w:p w14:paraId="18610F0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4.1.7所有阀体上应标注介质流向的箭头。</w:t>
      </w:r>
    </w:p>
    <w:p w14:paraId="4B3D0E9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4.2阀盖</w:t>
      </w:r>
    </w:p>
    <w:p w14:paraId="619065C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4.2.1阀体与阀盖（或主阀体与副阀体）采用螺栓连接，其螺母挤压的平面应垂直于螺栓的中心轴线；阀体的连接法兰其背面应加工或锪平，锪平的背面与法兰面的平行度公差不大于±1°。</w:t>
      </w:r>
    </w:p>
    <w:p w14:paraId="2B6C7D6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4.2.2阀体与阀盖（或主阀体与副阀体）间的连接，采用螺栓连接或螺柱螺母连接的数量不得小于4个。</w:t>
      </w:r>
    </w:p>
    <w:p w14:paraId="1B599AB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4.2.3阀体与阀盖（或主阀体与副阀体）的连接可采用螺栓或螺柱配螺母的连接形式，螺母采用粗制六角螺母，当螺栓不大于M24时，可用粗牙螺纹，当螺栓不小于M27时，可采用螺距不大于3mm细牙螺纹；螺纹尺寸和公差按GB/T196和GB/T197的规定。</w:t>
      </w:r>
    </w:p>
    <w:p w14:paraId="7D9EF000">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4.3阀杆</w:t>
      </w:r>
    </w:p>
    <w:p w14:paraId="081D3B4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4.3.1阀杆应有防脱结构</w:t>
      </w:r>
    </w:p>
    <w:p w14:paraId="01A3BE2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4.3.2阀杆若发生破坏，破坏断裂处应在球阀的压力区域外，在介质压力作用下，阀杆不会飞出。</w:t>
      </w:r>
    </w:p>
    <w:p w14:paraId="784B1D4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4.3.3与阀杆及阀杆与球体的连接处，应有足够的强度，能保证在使用手柄或齿轮箱直接操作时，不产生永久变形或损伤。阀杆应能承受2倍最大操作扭矩。</w:t>
      </w:r>
    </w:p>
    <w:p w14:paraId="3874EFF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4.3.4阀杆与球体采用键连接时，普通平键按GB/T1095、GB/T1096规定，矩形花键按GB/T1144的规定。</w:t>
      </w:r>
    </w:p>
    <w:p w14:paraId="06DD363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4.4 密封</w:t>
      </w:r>
    </w:p>
    <w:p w14:paraId="7E0393D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4.4.1所有偏心半球阀应采用软硬双密封副的结构型式。以保证阀门在关闭的过程中具有杂物切断能力及可靠的密封性能，应采用在工作中密封磨损而能补偿的结构。</w:t>
      </w:r>
    </w:p>
    <w:p w14:paraId="3DA681D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4.4.2半球阀应能经受公称压力的1.5倍的压力试验，试验后，壳体（包括填料函及阀体与阀盖或主阀体与副阀体连接处）不得发生渗漏或引起结构损伤。</w:t>
      </w:r>
    </w:p>
    <w:p w14:paraId="2AE08AB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4.4.3金属密封半球阀的液体高压密封试验应符合GB/T13927-2008的D级规定；非金属密封半球阀的液体高压密封试验应符合GB/T13927-2008的A级的规定。</w:t>
      </w:r>
    </w:p>
    <w:p w14:paraId="4266B59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4.4.4金属密封半球阀的气体低压密封试验应符合GB/T13927-2008的D级规定；非金属密封半球阀的气体低压密封试验应符合GB/T13927-2008的A级规定。</w:t>
      </w:r>
    </w:p>
    <w:p w14:paraId="254B0CB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4.5其他</w:t>
      </w:r>
    </w:p>
    <w:p w14:paraId="300B639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4.5.1为改善阀杆与阀体、阀杆与球体间受力状态的需要，应有滑动轴承或滚动轴承的结构。</w:t>
      </w:r>
    </w:p>
    <w:p w14:paraId="49500CF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4.5.2填料箱的深度应不小于5圈未经压缩的填料高度，填料箱与填料接触表面粗糙度应不大于Ra3.2μm。</w:t>
      </w:r>
    </w:p>
    <w:p w14:paraId="6662201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4.5.3半球阀填料压盖可为整体式，也可采用分体式填料压板，填料压套（球面自动对准）组成，填料压盖或填料压板的螺栓孔不应小于两个。填料压套球面顶端外径应设一个台阶，防止滑入填料函，填料压盖螺栓能穿过填料压盖的通孔固定在阀盖或阀体上。</w:t>
      </w:r>
    </w:p>
    <w:p w14:paraId="1416B7A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4.5.4阀门应严格按图样和有关技术文件进行组装和调试，装配后，至少做三次带载开阀试验，应动作运行平稳、无任何卡阻现象。</w:t>
      </w:r>
    </w:p>
    <w:p w14:paraId="24F2E89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4.5.5紧固件的螺纹连接表面，在装配时可涂二硫化钼脂（膏）或相当效果的涂料，防止咬死现象。</w:t>
      </w:r>
    </w:p>
    <w:p w14:paraId="35BBDE6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4.5.6与偏心半球阀阀轴连接的蜗轮蜗杆齿轮箱必须是与电动操作机构同一品牌的原装进口齿轮箱，并承诺提供原产地证明、报关单、装船单等。</w:t>
      </w:r>
    </w:p>
    <w:p w14:paraId="19369D6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4.5.7与偏心半球阀阀轴连接的蜗轮蜗杆式齿轮箱提供的扭矩特性曲线要和阀门的扭矩特性报价，曲线相匹配。该齿轮箱内灌满润滑脂，确保终生免维护，齿轮箱的防护等级为IP68；蜗轮蜗杆齿轮箱应具有自锁保护功能。</w:t>
      </w:r>
    </w:p>
    <w:p w14:paraId="59F139BF">
      <w:pPr>
        <w:keepNext w:val="0"/>
        <w:keepLines w:val="0"/>
        <w:pageBreakBefore w:val="0"/>
        <w:kinsoku/>
        <w:wordWrap/>
        <w:overflowPunct/>
        <w:topLinePunct/>
        <w:bidi w:val="0"/>
        <w:adjustRightInd w:val="0"/>
        <w:snapToGrid w:val="0"/>
        <w:spacing w:line="360" w:lineRule="auto"/>
        <w:ind w:firstLine="0" w:firstLineChars="0"/>
        <w:jc w:val="left"/>
        <w:textAlignment w:val="baseline"/>
        <w:rPr>
          <w:rStyle w:val="63"/>
          <w:rFonts w:hint="eastAsia" w:ascii="宋体" w:hAnsi="宋体" w:eastAsia="宋体" w:cs="宋体"/>
          <w:color w:val="auto"/>
          <w:kern w:val="2"/>
          <w:sz w:val="24"/>
          <w:szCs w:val="24"/>
          <w:highlight w:val="none"/>
        </w:rPr>
      </w:pPr>
      <w:r>
        <w:rPr>
          <w:rFonts w:hint="eastAsia" w:ascii="宋体" w:hAnsi="宋体" w:eastAsia="宋体" w:cs="宋体"/>
          <w:b/>
          <w:color w:val="auto"/>
          <w:sz w:val="24"/>
          <w:szCs w:val="24"/>
          <w:highlight w:val="none"/>
          <w:lang w:val="en-US" w:eastAsia="zh-CN"/>
        </w:rPr>
        <w:t xml:space="preserve">3.5 </w:t>
      </w:r>
      <w:r>
        <w:rPr>
          <w:rFonts w:hint="eastAsia" w:ascii="宋体" w:hAnsi="宋体" w:eastAsia="宋体" w:cs="宋体"/>
          <w:b/>
          <w:color w:val="auto"/>
          <w:sz w:val="24"/>
          <w:szCs w:val="24"/>
          <w:highlight w:val="none"/>
        </w:rPr>
        <w:t>手电两用偏心半球阀</w:t>
      </w:r>
      <w:r>
        <w:rPr>
          <w:rStyle w:val="63"/>
          <w:rFonts w:hint="eastAsia" w:ascii="宋体" w:hAnsi="宋体" w:eastAsia="宋体" w:cs="宋体"/>
          <w:color w:val="auto"/>
          <w:kern w:val="2"/>
          <w:sz w:val="24"/>
          <w:szCs w:val="24"/>
          <w:highlight w:val="none"/>
        </w:rPr>
        <w:t>材质</w:t>
      </w:r>
    </w:p>
    <w:p w14:paraId="2D30768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5.1所有偏心半球阀的阀体材料为球墨铸铁，应符合GB/T12227的规定。</w:t>
      </w:r>
    </w:p>
    <w:p w14:paraId="6C9EB35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5.2半球体和阀座的材料按JB/T5300的规定选用，并不得低于阀体材料的性能。</w:t>
      </w:r>
    </w:p>
    <w:p w14:paraId="198E5A5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5.3阀轴应能承受最大的扭矩，有良好的耐热（低温）性和抗腐蚀性能，应进行相应的热处理或表面处理，按JB/T5300的规定选用材料。</w:t>
      </w:r>
    </w:p>
    <w:p w14:paraId="2451D34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5.4连接螺柱、螺栓和螺母材料须用经调质处理的高强度合金钢制作（抗拉强度大于690MPa），或采用经固溶处理后奥氏体不锈钢制作（抗拉强度大于585MPa）。</w:t>
      </w:r>
    </w:p>
    <w:p w14:paraId="6919BE9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5.5阀座配蝶形弹簧或圆柱弹簧材料按JB/T5300的规定选用材料。</w:t>
      </w:r>
    </w:p>
    <w:p w14:paraId="1A1580F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5.6阀杆密封、阀体连接处和填料箱及固定轴等处密封垫片的密封材料，（应选用优质材料，并标列于投标文件中）由制造厂按半球阀最大允许使用温度及相应的压力等级选取。柔性石墨编制填料应符合JB/T7370，缠绕式垫片应符合GB/T4622.3的规定，金属透镜垫应符合GB/T9128的规定。</w:t>
      </w:r>
    </w:p>
    <w:p w14:paraId="66EFF96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5.7手柄或手轮可用碳素钢铸件、碳素钢锻件、球墨铸铁件，应分别符合GB/T12229、GB/T12228、GB/T12227的规定。</w:t>
      </w:r>
    </w:p>
    <w:p w14:paraId="26E8853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5.8硬密封副材料Cr含量不得低于17%，Ni含量不得低于8%。球冠材料应不低于不锈钢304。</w:t>
      </w:r>
    </w:p>
    <w:p w14:paraId="070B4EA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3.6 </w:t>
      </w:r>
      <w:r>
        <w:rPr>
          <w:rFonts w:hint="eastAsia" w:ascii="宋体" w:hAnsi="宋体" w:eastAsia="宋体" w:cs="宋体"/>
          <w:b/>
          <w:color w:val="auto"/>
          <w:sz w:val="24"/>
          <w:szCs w:val="24"/>
          <w:highlight w:val="none"/>
        </w:rPr>
        <w:t>手电两用偏心半球阀表面处理</w:t>
      </w:r>
    </w:p>
    <w:p w14:paraId="2CD74A9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6.1阀门外表面，均采用静电喷涂环氧树脂粉末进行防腐处理，不允许采用喷漆方法。</w:t>
      </w:r>
    </w:p>
    <w:p w14:paraId="0A425E5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6.2阀门外表面涂漆的颜色应经发包方认可确定。</w:t>
      </w:r>
    </w:p>
    <w:p w14:paraId="0683B7F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6.3阀门内腔和球体防腐采用中高温和静电处理工艺的环氧树脂喷涂（即喷塑处理），涂层厚度大于250μm，无毒害，并通过了国家省、部级以上有资质单位认证，并需要提供认证书。阀门外表涂装：阀体外表面采用中高温和静电处理工艺的环氧树脂喷涂（即喷塑处理）或油漆，静电喷涂环氧树脂，厚度不小于250μm</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涂层附着力按GB/T9286-1998测定时应达到划格法1mm2不脱落。阀门防腐涂料前需做除锈处理，除锈等级达到Sa21∕2或st3标准。所有内衬和外涂与饮用水接触部分要适合饮用水应用标准，具体见相应的中华人民共和国国家标准GB/T17219。设备安装后，对其漆层表面造成的损坏，以投标人代表认可的方式进行修复。修复用涂料的颜色与原涂色相同。</w:t>
      </w:r>
    </w:p>
    <w:p w14:paraId="0E29B05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pacing w:val="10"/>
          <w:kern w:val="24"/>
          <w:sz w:val="24"/>
          <w:szCs w:val="24"/>
          <w:highlight w:val="none"/>
        </w:rPr>
      </w:pPr>
      <w:r>
        <w:rPr>
          <w:rFonts w:hint="eastAsia" w:ascii="宋体" w:hAnsi="宋体" w:eastAsia="宋体" w:cs="宋体"/>
          <w:b/>
          <w:color w:val="auto"/>
          <w:sz w:val="24"/>
          <w:szCs w:val="24"/>
          <w:highlight w:val="none"/>
          <w:lang w:val="en-US" w:eastAsia="zh-CN"/>
        </w:rPr>
        <w:t xml:space="preserve">3.7 </w:t>
      </w:r>
      <w:r>
        <w:rPr>
          <w:rFonts w:hint="eastAsia" w:ascii="宋体" w:hAnsi="宋体" w:eastAsia="宋体" w:cs="宋体"/>
          <w:b/>
          <w:color w:val="auto"/>
          <w:sz w:val="24"/>
          <w:szCs w:val="24"/>
          <w:highlight w:val="none"/>
        </w:rPr>
        <w:t>手电两用偏心半球阀</w:t>
      </w:r>
      <w:r>
        <w:rPr>
          <w:rFonts w:hint="eastAsia" w:ascii="宋体" w:hAnsi="宋体" w:eastAsia="宋体" w:cs="宋体"/>
          <w:b/>
          <w:color w:val="auto"/>
          <w:spacing w:val="10"/>
          <w:kern w:val="24"/>
          <w:sz w:val="24"/>
          <w:szCs w:val="24"/>
          <w:highlight w:val="none"/>
        </w:rPr>
        <w:t>工厂试验</w:t>
      </w:r>
    </w:p>
    <w:p w14:paraId="3A4BDC9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7.1出厂检验的内容均见GB/T26146-2010《偏心半球阀》的内容。</w:t>
      </w:r>
    </w:p>
    <w:p w14:paraId="7DEA808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7.2每台阀门须进行出厂检验，经制造商检验员检验合格后方可出厂。</w:t>
      </w:r>
    </w:p>
    <w:p w14:paraId="7BEB0FE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7.3壳体强度试验：</w:t>
      </w:r>
    </w:p>
    <w:p w14:paraId="2D0A7A34">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1）壳体试验的试验压力为半球阀在38℃时的最大允许工作压力的1.5倍。</w:t>
      </w:r>
    </w:p>
    <w:p w14:paraId="0D6F5F81">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2）壳体试验时，应将阀杆填料密封调整到能维持试验压力的状态，使启闭件处于部分开启状态位置。腔体内应充满试验介质，逐渐加压到试验压力，试验压力最短持续时间应符合GB/T13927-2008的规定。</w:t>
      </w:r>
    </w:p>
    <w:p w14:paraId="3F762379">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在试验过程中，不得对阀门施加影响试验结果的外力。试验压力在保压和检测期间应维持不变。用液体作试验时，应排除阀体腔体内的气体。</w:t>
      </w:r>
    </w:p>
    <w:p w14:paraId="706F81A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7.4液体高压密封试验：</w:t>
      </w:r>
    </w:p>
    <w:p w14:paraId="39EADDE6">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1）液体高压密封试验应在壳体强度试验后进行。</w:t>
      </w:r>
    </w:p>
    <w:p w14:paraId="4F5D8951">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2）试验压力为1.1倍的最大允许工作压力。</w:t>
      </w:r>
    </w:p>
    <w:p w14:paraId="054A4B4F">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3）试验时，按介质流向封闭进口的一端，启闭件处于关闭状态，给体腔充满试验介质，并逐渐加压到试验压力，试验压力最短持续时间应符合GB/T13927-2008的规定。</w:t>
      </w:r>
    </w:p>
    <w:p w14:paraId="623C07D1">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4）对于双向密封半球阀，应对阀座两个方向进行高压密封试验。</w:t>
      </w:r>
    </w:p>
    <w:p w14:paraId="614753DC">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试验过程中不应使阀门受到可能影响试验结果的外力，应以设计给定的操作方式关闭阀门。</w:t>
      </w:r>
    </w:p>
    <w:p w14:paraId="74D33AA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7.5气体低压密封试验：按GB/T13927的规定进行。</w:t>
      </w:r>
    </w:p>
    <w:p w14:paraId="2A94B7E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7.6壁厚测量：用测量仪或专用卡尺量具测量阀体流道、中腔和阀盖（或副阀体）部位的壁厚。</w:t>
      </w:r>
    </w:p>
    <w:p w14:paraId="3DBE51B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7.7材料化学成分分析：可在阀体、半球体的本体材料上钻屑取样，取样应当在表面6.5mm之下处。应提供试验数据资料。</w:t>
      </w:r>
    </w:p>
    <w:p w14:paraId="7104559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7.8阀体材质力学性能：用阀体同炉号，同批热处理的试棒按GB/T228的规定进行。</w:t>
      </w:r>
    </w:p>
    <w:p w14:paraId="4767C94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7.9整机带载开关试验：在阀门允许的最大工作压差下，至少开阀三次。试验后，应将每台半球阀中腔内水排除干净。除不锈钢表面外，半球阀通道表面（包括螺纹）应该涂以容易去除的防锈剂。用封盖对半球阀的连接端通道口及其密封面进行保护。</w:t>
      </w:r>
    </w:p>
    <w:p w14:paraId="6274F45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3.8 </w:t>
      </w:r>
      <w:r>
        <w:rPr>
          <w:rFonts w:hint="eastAsia" w:ascii="宋体" w:hAnsi="宋体" w:eastAsia="宋体" w:cs="宋体"/>
          <w:b/>
          <w:color w:val="auto"/>
          <w:sz w:val="24"/>
          <w:szCs w:val="24"/>
          <w:highlight w:val="none"/>
        </w:rPr>
        <w:t>电动操作机构特殊要求</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其余要求详见电动操作机构技术条款</w:t>
      </w:r>
      <w:r>
        <w:rPr>
          <w:rFonts w:hint="eastAsia" w:ascii="宋体" w:hAnsi="宋体" w:eastAsia="宋体" w:cs="宋体"/>
          <w:b/>
          <w:color w:val="auto"/>
          <w:sz w:val="24"/>
          <w:szCs w:val="24"/>
          <w:highlight w:val="none"/>
          <w:lang w:eastAsia="zh-CN"/>
        </w:rPr>
        <w:t>）</w:t>
      </w:r>
    </w:p>
    <w:p w14:paraId="01621AD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8.1半球阀的驱动装置应有全开和全关的限位结构；半球阀的驱动装置应有开、关过程的指示或显示的结构。</w:t>
      </w:r>
    </w:p>
    <w:p w14:paraId="4A5BF6C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8.2开关操作的方向，以顺时针方向为关闭，扳手或手轮上应有表示开关方向的标志。</w:t>
      </w:r>
    </w:p>
    <w:p w14:paraId="239E148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8.3扳手或手轮应安装牢固，拆卸或更换方便。</w:t>
      </w:r>
    </w:p>
    <w:p w14:paraId="0490F1D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8.4在驱动装置上要有防误操作的结构或措施。</w:t>
      </w:r>
    </w:p>
    <w:p w14:paraId="3BE5667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8.5电动执行机构需要具有足够的扭矩，保证阀门处于公称压力下，且管中流速5m/s以下时，可以实现正常启闭。</w:t>
      </w:r>
    </w:p>
    <w:p w14:paraId="7A6115C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3.9 </w:t>
      </w:r>
      <w:r>
        <w:rPr>
          <w:rFonts w:hint="eastAsia" w:ascii="宋体" w:hAnsi="宋体" w:eastAsia="宋体" w:cs="宋体"/>
          <w:b/>
          <w:color w:val="auto"/>
          <w:sz w:val="24"/>
          <w:szCs w:val="24"/>
          <w:highlight w:val="none"/>
        </w:rPr>
        <w:t>手电两用偏心半球阀运输要求</w:t>
      </w:r>
    </w:p>
    <w:p w14:paraId="72CC32A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9.1阀门外露的螺纹、阀杆、接盘等部分应予以保护。</w:t>
      </w:r>
    </w:p>
    <w:p w14:paraId="6E19B13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9.2阀门应保存在干燥的室内，堆放整齐，不允许露天存放，以防止损坏和腐蚀。</w:t>
      </w:r>
    </w:p>
    <w:p w14:paraId="7A46172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9.3在运输期间，半球阀应处于关闭状态，避免撞击磕碰。</w:t>
      </w:r>
    </w:p>
    <w:p w14:paraId="7421254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3.10 </w:t>
      </w:r>
      <w:r>
        <w:rPr>
          <w:rFonts w:hint="eastAsia" w:ascii="宋体" w:hAnsi="宋体" w:eastAsia="宋体" w:cs="宋体"/>
          <w:b/>
          <w:color w:val="auto"/>
          <w:sz w:val="24"/>
          <w:szCs w:val="24"/>
          <w:highlight w:val="none"/>
        </w:rPr>
        <w:t>偏心半球阀通过试运行后进入质保期，质保期24个月。</w:t>
      </w:r>
    </w:p>
    <w:p w14:paraId="3EAD3805">
      <w:pPr>
        <w:keepNext w:val="0"/>
        <w:keepLines w:val="0"/>
        <w:pageBreakBefore w:val="0"/>
        <w:kinsoku/>
        <w:wordWrap/>
        <w:overflowPunct/>
        <w:topLinePunct/>
        <w:bidi w:val="0"/>
        <w:adjustRightInd w:val="0"/>
        <w:snapToGrid w:val="0"/>
        <w:spacing w:line="360" w:lineRule="auto"/>
        <w:ind w:firstLine="0" w:firstLineChars="0"/>
        <w:jc w:val="left"/>
        <w:textAlignment w:val="baseline"/>
        <w:rPr>
          <w:rStyle w:val="63"/>
          <w:rFonts w:hint="eastAsia" w:ascii="宋体" w:hAnsi="宋体" w:eastAsia="宋体" w:cs="宋体"/>
          <w:color w:val="auto"/>
          <w:sz w:val="24"/>
          <w:szCs w:val="24"/>
          <w:highlight w:val="none"/>
        </w:rPr>
      </w:pPr>
      <w:r>
        <w:rPr>
          <w:rStyle w:val="63"/>
          <w:rFonts w:hint="eastAsia" w:ascii="宋体" w:hAnsi="宋体" w:eastAsia="宋体" w:cs="宋体"/>
          <w:color w:val="auto"/>
          <w:sz w:val="24"/>
          <w:szCs w:val="24"/>
          <w:highlight w:val="none"/>
          <w:lang w:val="en-US"/>
        </w:rPr>
        <w:t xml:space="preserve">3.11 </w:t>
      </w:r>
      <w:r>
        <w:rPr>
          <w:rStyle w:val="63"/>
          <w:rFonts w:hint="eastAsia" w:ascii="宋体" w:hAnsi="宋体" w:eastAsia="宋体" w:cs="宋体"/>
          <w:color w:val="auto"/>
          <w:sz w:val="24"/>
          <w:szCs w:val="24"/>
          <w:highlight w:val="none"/>
        </w:rPr>
        <w:t>提交资料</w:t>
      </w:r>
    </w:p>
    <w:p w14:paraId="4770879D">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供货时，投标人必须提供以下资料：</w:t>
      </w:r>
    </w:p>
    <w:p w14:paraId="718F09C5">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1）设备的结构详图和详细尺寸（须标明阀的外形尺寸、连接法兰的尺寸、重量等）；</w:t>
      </w:r>
    </w:p>
    <w:p w14:paraId="67F2BDED">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2）阀门出厂时应有产品合格证，产品说明书及装箱单。</w:t>
      </w:r>
    </w:p>
    <w:p w14:paraId="724873A7">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3）阀门的安装要求；</w:t>
      </w:r>
    </w:p>
    <w:p w14:paraId="429433E6">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4）阀门的运行、操作、保养等有关资料和维修手册；</w:t>
      </w:r>
    </w:p>
    <w:p w14:paraId="30A817F3">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5）备品备件及维修工具清单；</w:t>
      </w:r>
    </w:p>
    <w:p w14:paraId="3E61833B">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6）水力检测报告；</w:t>
      </w:r>
    </w:p>
    <w:p w14:paraId="0476ACE3">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7）工厂试验证明和合格证书等有关资料。</w:t>
      </w:r>
    </w:p>
    <w:p w14:paraId="49C97F6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3.12 </w:t>
      </w:r>
      <w:r>
        <w:rPr>
          <w:rFonts w:hint="eastAsia" w:ascii="宋体" w:hAnsi="宋体" w:eastAsia="宋体" w:cs="宋体"/>
          <w:b/>
          <w:color w:val="auto"/>
          <w:sz w:val="24"/>
          <w:szCs w:val="24"/>
          <w:highlight w:val="none"/>
        </w:rPr>
        <w:t>其它要求</w:t>
      </w:r>
    </w:p>
    <w:p w14:paraId="6B4F377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3.12</w:t>
      </w:r>
      <w:r>
        <w:rPr>
          <w:rFonts w:hint="eastAsia" w:ascii="宋体" w:hAnsi="宋体" w:eastAsia="宋体" w:cs="宋体"/>
          <w:snapToGrid/>
          <w:color w:val="auto"/>
          <w:kern w:val="2"/>
          <w:sz w:val="24"/>
          <w:szCs w:val="24"/>
          <w:highlight w:val="none"/>
        </w:rPr>
        <w:t>.1本技术条款提出的是最低限度的技术要求，并未对一些技术细节做出规定，也未充分引述有关标准和规范的条文，投标人应提供符合本技术条款和工业标准的，经过国家技术鉴定并符合需方需要的优质产品。</w:t>
      </w:r>
    </w:p>
    <w:p w14:paraId="649567E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3.12</w:t>
      </w:r>
      <w:r>
        <w:rPr>
          <w:rFonts w:hint="eastAsia" w:ascii="宋体" w:hAnsi="宋体" w:eastAsia="宋体" w:cs="宋体"/>
          <w:snapToGrid/>
          <w:color w:val="auto"/>
          <w:kern w:val="2"/>
          <w:sz w:val="24"/>
          <w:szCs w:val="24"/>
          <w:highlight w:val="none"/>
        </w:rPr>
        <w:t>.2本技术条款所使用的标准如遇与投标人所执行的标准不一致时，按较高标准执行。</w:t>
      </w:r>
    </w:p>
    <w:p w14:paraId="3B40DDB4">
      <w:pPr>
        <w:pStyle w:val="41"/>
        <w:numPr>
          <w:ilvl w:val="0"/>
          <w:numId w:val="0"/>
        </w:numPr>
        <w:kinsoku/>
        <w:topLinePunct/>
        <w:spacing w:line="360" w:lineRule="auto"/>
        <w:jc w:val="left"/>
        <w:outlineLvl w:val="1"/>
        <w:rPr>
          <w:rFonts w:hint="eastAsia" w:ascii="宋体" w:hAnsi="宋体" w:eastAsia="宋体" w:cs="宋体"/>
          <w:b/>
          <w:bCs/>
          <w:snapToGrid/>
          <w:color w:val="auto"/>
          <w:spacing w:val="0"/>
          <w:sz w:val="24"/>
          <w:szCs w:val="24"/>
          <w:highlight w:val="none"/>
          <w:lang w:val="en-US" w:eastAsia="zh-CN" w:bidi="en-US"/>
        </w:rPr>
      </w:pPr>
      <w:bookmarkStart w:id="1025" w:name="_Toc20865"/>
      <w:bookmarkStart w:id="1026" w:name="_Toc30196"/>
      <w:bookmarkStart w:id="1027" w:name="_Toc13971"/>
      <w:bookmarkStart w:id="1028" w:name="_Toc27334"/>
      <w:bookmarkStart w:id="1029" w:name="_Toc6936"/>
      <w:bookmarkStart w:id="1030" w:name="_Toc16975"/>
      <w:bookmarkStart w:id="1031" w:name="_Toc8668"/>
      <w:r>
        <w:rPr>
          <w:rFonts w:hint="eastAsia" w:ascii="宋体" w:hAnsi="宋体" w:eastAsia="宋体" w:cs="宋体"/>
          <w:b/>
          <w:bCs/>
          <w:snapToGrid/>
          <w:color w:val="auto"/>
          <w:spacing w:val="0"/>
          <w:sz w:val="24"/>
          <w:szCs w:val="24"/>
          <w:highlight w:val="none"/>
          <w:lang w:val="en-US" w:eastAsia="zh-CN" w:bidi="en-US"/>
        </w:rPr>
        <w:t>四 大口径蝶阀</w:t>
      </w:r>
      <w:bookmarkEnd w:id="1025"/>
      <w:bookmarkEnd w:id="1026"/>
      <w:bookmarkEnd w:id="1027"/>
      <w:bookmarkEnd w:id="1028"/>
      <w:bookmarkEnd w:id="1029"/>
      <w:bookmarkEnd w:id="1030"/>
      <w:bookmarkEnd w:id="1031"/>
    </w:p>
    <w:p w14:paraId="2A4FE7D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（一）蝶阀总要求</w:t>
      </w:r>
    </w:p>
    <w:p w14:paraId="035D7D0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 本标所有蝶阀均为手电两用蝶阀，采用卧轴布置的型式。</w:t>
      </w:r>
    </w:p>
    <w:p w14:paraId="4E60A50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 手电两用蝶阀阀体均采用铸造工艺。</w:t>
      </w:r>
    </w:p>
    <w:p w14:paraId="1A6BACB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1.3 当遇到断电时，操作人员可以通过电动操作机构上的手轮，对阀门进行单人手动操作。并能在合理的时间内，实现阀门的全开或者全关。</w:t>
      </w:r>
    </w:p>
    <w:p w14:paraId="5C41BABC">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（二）供货范围及备品备件</w:t>
      </w:r>
    </w:p>
    <w:p w14:paraId="53F1A59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手电两用蝶阀供货范围包括：蝶阀本体、上、下游短管、电动操作机构、上、下游侧配对法兰及连接件、基础预埋件（地脚螺栓、调整垫铁等）、钢制伸缩节以及上表1中的其他附属阀门（如用于旁通充水的固定锥阀、球阀、旁通管路等）。</w:t>
      </w:r>
    </w:p>
    <w:p w14:paraId="52387EA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2.2每个手电两用蝶阀还应随设备提供正常使用和维护所需的专用工具以及在两年质保期内所需的备品备件。包括但不限于如下内容：碟板与阀体的密封圈，阀杆密封O型圈，上述备品备件每5台同规格的蝶阀，备一套密封圈，当数量不足5台时，备一套密封圈。</w:t>
      </w:r>
    </w:p>
    <w:p w14:paraId="0001107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（三）其他</w:t>
      </w:r>
    </w:p>
    <w:p w14:paraId="3A2F501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3.1蝶阀应采用地脚螺栓的安装方式，不得采用无地脚螺栓的结构。</w:t>
      </w:r>
    </w:p>
    <w:p w14:paraId="42AA8CE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3.2 本工程DN2600大蝶阀全开时的最大过流流速不超过3m/s。按阀门公称压力及最大过流流速，合理配置电动执行机构及涡轮蜗杆箱，确保可以在5分钟内实现阀门的全开和全关。</w:t>
      </w:r>
    </w:p>
    <w:p w14:paraId="367C7B4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3.3 因本工程需要实现精准调度，蝶阀厂家需提供蝶阀在不同流速下的水力损失及局部损失系数，以及蝶阀上、下游无水流干扰的压力测点位置。为了保证上述数据的准确性，蝶阀厂应开展CFD计算。上述成果需要通过专家评审会的认定。</w:t>
      </w:r>
    </w:p>
    <w:p w14:paraId="5FC3377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3.4 蝶阀上、下游短管上预先开设好空气阀安装孔，并焊接好空气阀支管。预先开设好旁通管安装孔，并焊接好旁通管路弯头。上、下游短管长度为预估长度，最终长度待联络会上明确，短管厚度与主钢管厚度一致。阀门厂家投标价格不随短管长度和厚度的变化进行调整。</w:t>
      </w:r>
    </w:p>
    <w:p w14:paraId="21C5C734">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（四）手电两用蝶阀结构</w:t>
      </w:r>
    </w:p>
    <w:p w14:paraId="32F6285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 蝶阀与管道采用法兰连接，结构长度采用标准长系列，以（GB12221-2005）《金属阀门结构长度》为准。</w:t>
      </w:r>
    </w:p>
    <w:p w14:paraId="0911633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4.2 蝶阀阀板宜为双平板桁架式，不允许采用锅形结构以减小流阻。</w:t>
      </w:r>
    </w:p>
    <w:p w14:paraId="73C4E2F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4.3 阀门结构件应通过探伤零损伤检测，表面喷砂打磨处理；铸铁件采用树脂砂造型，喷砂打磨处理，表面光滑且都经过应力释放处理，并应根据规范进行无损探伤。</w:t>
      </w:r>
    </w:p>
    <w:p w14:paraId="66F3E43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4.4 阀体与蝶板采用橡胶对不锈钢的软密封，T型截面的橡胶密封圈用压板固定在蝶板上，其压弹量可以根据介质压力的大小进行调整，以减少橡胶密封圈的磨损。橡胶密封圈应具有良好的抗腐蚀、耐冲刷、臭氧及抗微生物性能，回弹率高，使用寿命长。橡胶密封圈的接头处不允许采用胶粘结合。对于所有蝶阀，不必从管路上拆下阀门，在管道内即可调节或更换橡胶密封圈。</w:t>
      </w:r>
    </w:p>
    <w:p w14:paraId="7D2FFB9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4.5 阀门采用双偏心结构，以延长蝶板橡胶密封圈的使用寿命。</w:t>
      </w:r>
    </w:p>
    <w:p w14:paraId="17A5CA2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4.6 主要承压件的预留腐蚀余量大，使用寿命不应低于30年。</w:t>
      </w:r>
    </w:p>
    <w:p w14:paraId="2FDFFA7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4.7 阀门为卧式安装，设置地脚和吊耳，便于储运、安装。</w:t>
      </w:r>
    </w:p>
    <w:p w14:paraId="644C870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4.8 阀体密封圈采取机械连接方式固定于阀体内，可以更换。</w:t>
      </w:r>
    </w:p>
    <w:p w14:paraId="55BB9F7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4.9 阀轴与阀体轴孔之间设置滑动轴承，滑动轴承采用不锈钢背的自润滑复合材料，耐腐蚀，免维护，操作轻便，避免卡阻现象。</w:t>
      </w:r>
    </w:p>
    <w:p w14:paraId="0769CE0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4.10 蝶板与阀轴采用圆锥销连接，防松可靠，禁止采用圆柱销连接。</w:t>
      </w:r>
    </w:p>
    <w:p w14:paraId="723FD1F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4.11 阀轴采用半轴结构，以增大介质的流通面积，阀轴插入蝶板中的长度不小于轴径的1.5倍，以提高稳定性。</w:t>
      </w:r>
    </w:p>
    <w:p w14:paraId="25016EA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4.12 与介质接触的内部紧固件全部为不锈钢材料，非金属材料禁止使用含有石墨和石棉类等，以避免造成二次污染。</w:t>
      </w:r>
    </w:p>
    <w:p w14:paraId="54A2920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4.13 所有直径大于DN1000的蝶阀与阀轴连接的蜗轮蜗杆齿轮箱必须是与电动操作机构同一品牌的原装进口齿轮箱，并承诺提供原产地商会出具的原产地证明、报关单、装船单等。</w:t>
      </w:r>
    </w:p>
    <w:p w14:paraId="6A855185">
      <w:pPr>
        <w:keepNext w:val="0"/>
        <w:keepLines w:val="0"/>
        <w:pageBreakBefore w:val="0"/>
        <w:widowControl w:val="0"/>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所有直径小于等于DN1000的蝶阀与阀轴连接的蜗轮蜗杆齿轮箱可以采用国产品牌。</w:t>
      </w:r>
    </w:p>
    <w:p w14:paraId="203288C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4.14 与蝶阀阀轴连接的蜗轮蜗杆式齿轮箱提供的扭矩特性曲线要和阀门的扭矩特性曲线相匹配。该齿轮箱内灌满润滑脂，确保终生免维护，齿轮箱的防护等级为IP68；涡轮涡杆齿轮箱应具有自锁保护功能。</w:t>
      </w:r>
    </w:p>
    <w:p w14:paraId="6F3D1880">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（五）手电两用蝶阀材质</w:t>
      </w:r>
    </w:p>
    <w:p w14:paraId="26EBF8D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5.1 阀体：球墨铸铁QT450-10或更好的铸铁； </w:t>
      </w:r>
    </w:p>
    <w:p w14:paraId="34B7701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5.2 蝶板：球墨铸铁QT450-10或更好的铸铁； </w:t>
      </w:r>
    </w:p>
    <w:p w14:paraId="58671A2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 阀轴：不锈钢2Cr13或更好的不锈钢。</w:t>
      </w:r>
    </w:p>
    <w:p w14:paraId="5D8A694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 阀体密封圈：不锈钢0Cr18Ni9或更好的不锈钢。</w:t>
      </w:r>
    </w:p>
    <w:p w14:paraId="6EAEC6B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 轴承：自润滑复合材料。</w:t>
      </w:r>
    </w:p>
    <w:p w14:paraId="2C22669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 蝶板密封圈、填料：橡胶EPDM或更好的橡胶。</w:t>
      </w:r>
    </w:p>
    <w:p w14:paraId="0C0B415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5.7 内部紧固件：不锈钢2Cr13或更好的不锈钢。</w:t>
      </w:r>
    </w:p>
    <w:p w14:paraId="3510671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（六）手电两用蝶阀表面处理</w:t>
      </w:r>
    </w:p>
    <w:p w14:paraId="7FF86C1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 碳钢和铸铁件的内外表面，均采用静电喷涂环氧树脂粉末进行防腐处理，不允许采用喷漆方法。</w:t>
      </w:r>
    </w:p>
    <w:p w14:paraId="46680C7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 符合中华人民共和国国家卫生标准GB/T17219，除非有其他具体说明。</w:t>
      </w:r>
    </w:p>
    <w:p w14:paraId="75E190B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 蝶阀内腔和阀板防腐采用中高温和静电处理工艺的环氧树脂喷涂（即喷塑处理），涂层厚度大于250μm，无毒害，并通过了国家省、部级以上有资质单位认证，并需要提供认证书</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涂层附着力按GB/T9286-1998测定时应达到划格法1mm2不脱落。</w:t>
      </w:r>
    </w:p>
    <w:p w14:paraId="75194EB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 蝶阀外表涂装：阀体外表面采用中高温和静电处理工艺的环氧树脂喷涂（即喷塑处理），静电喷涂环氧树脂，厚度不小于250μm</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涂层附着力按GB/T9286-1998测定时应达到划格法1mm2不脱落。</w:t>
      </w:r>
    </w:p>
    <w:p w14:paraId="2239A31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6.5 阀门防腐涂料前需做除锈处理，除锈等级达到Sa2 1∕2或st3标准。</w:t>
      </w:r>
    </w:p>
    <w:p w14:paraId="25963B6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6.6 设备安装后，对其漆层表面造成的损坏，以承包人代表认可的方式进行修复。修复用涂料的颜色与原涂色相同。</w:t>
      </w:r>
    </w:p>
    <w:p w14:paraId="5232D91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6.7 设备安装后，对其漆层表面造成的损坏，以承包人代表认可的方式进行修复。修复用涂料的颜色与原涂色相同。</w:t>
      </w:r>
    </w:p>
    <w:p w14:paraId="253FC05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（七）压力试验：本工程所有阀门的压力试验按GB/T13927-2008《通用阀门压力试验》进行。</w:t>
      </w:r>
    </w:p>
    <w:p w14:paraId="5614C45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（八）提交资料</w:t>
      </w:r>
    </w:p>
    <w:p w14:paraId="1C88E95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供货时，投标人必须提供以下资料：</w:t>
      </w:r>
    </w:p>
    <w:p w14:paraId="22A7CC9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1）设备的结构详图和详细尺寸（须标明阀的外形尺寸、连接法兰的尺寸、重量等）；</w:t>
      </w:r>
    </w:p>
    <w:p w14:paraId="4CD07FB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2）产品合格证，产品说明书及装箱单。</w:t>
      </w:r>
    </w:p>
    <w:p w14:paraId="1C44433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3）安装要求；</w:t>
      </w:r>
    </w:p>
    <w:p w14:paraId="2E8DC76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4）阀门的运行、操作、保养等有关资料和维修手册；</w:t>
      </w:r>
    </w:p>
    <w:p w14:paraId="1E1BB09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5）备品备件及维修工具清单；</w:t>
      </w:r>
    </w:p>
    <w:p w14:paraId="4EDF2D0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6）水力检测报告（阀门不同流速下的水力损失，可以通过CFD计算获取）；</w:t>
      </w:r>
    </w:p>
    <w:p w14:paraId="1BF8935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7）工厂试验证明和合格证书等有关资料。</w:t>
      </w:r>
    </w:p>
    <w:p w14:paraId="4E9A0690">
      <w:pPr>
        <w:pStyle w:val="41"/>
        <w:numPr>
          <w:ilvl w:val="0"/>
          <w:numId w:val="0"/>
        </w:numPr>
        <w:kinsoku/>
        <w:topLinePunct/>
        <w:spacing w:line="360" w:lineRule="auto"/>
        <w:jc w:val="left"/>
        <w:outlineLvl w:val="1"/>
        <w:rPr>
          <w:rFonts w:hint="eastAsia" w:ascii="宋体" w:hAnsi="宋体" w:eastAsia="宋体" w:cs="宋体"/>
          <w:b/>
          <w:bCs/>
          <w:snapToGrid/>
          <w:color w:val="auto"/>
          <w:spacing w:val="0"/>
          <w:sz w:val="24"/>
          <w:szCs w:val="24"/>
          <w:highlight w:val="none"/>
          <w:lang w:val="en-US" w:eastAsia="zh-CN" w:bidi="en-US"/>
        </w:rPr>
      </w:pPr>
      <w:bookmarkStart w:id="1032" w:name="_Toc16032"/>
      <w:bookmarkStart w:id="1033" w:name="_Toc24428"/>
      <w:bookmarkStart w:id="1034" w:name="_Toc21929"/>
      <w:bookmarkStart w:id="1035" w:name="_Toc17677"/>
      <w:bookmarkStart w:id="1036" w:name="_Toc7555"/>
      <w:bookmarkStart w:id="1037" w:name="_Toc23300"/>
      <w:bookmarkStart w:id="1038" w:name="_Toc602"/>
      <w:bookmarkStart w:id="1039" w:name="_Toc9492"/>
      <w:bookmarkStart w:id="1040" w:name="_Toc7092"/>
      <w:bookmarkStart w:id="1041" w:name="_Toc32028"/>
      <w:bookmarkStart w:id="1042" w:name="_Toc17385"/>
      <w:bookmarkStart w:id="1043" w:name="_Toc29902"/>
      <w:bookmarkStart w:id="1044" w:name="_Toc2219"/>
      <w:bookmarkStart w:id="1045" w:name="_Toc10311"/>
      <w:bookmarkStart w:id="1046" w:name="_Toc22119"/>
      <w:bookmarkStart w:id="1047" w:name="_Toc23380"/>
      <w:bookmarkStart w:id="1048" w:name="_Toc5578"/>
      <w:bookmarkStart w:id="1049" w:name="_Toc1948"/>
      <w:bookmarkStart w:id="1050" w:name="_Toc11092"/>
      <w:bookmarkStart w:id="1051" w:name="_Toc15093"/>
      <w:bookmarkStart w:id="1052" w:name="_Toc6278"/>
      <w:bookmarkStart w:id="1053" w:name="_Toc32435"/>
      <w:bookmarkStart w:id="1054" w:name="_Toc16701"/>
      <w:r>
        <w:rPr>
          <w:rFonts w:hint="eastAsia" w:ascii="宋体" w:hAnsi="宋体" w:eastAsia="宋体" w:cs="宋体"/>
          <w:b/>
          <w:bCs/>
          <w:snapToGrid/>
          <w:color w:val="auto"/>
          <w:spacing w:val="0"/>
          <w:sz w:val="24"/>
          <w:szCs w:val="24"/>
          <w:highlight w:val="none"/>
          <w:lang w:val="en-US" w:eastAsia="zh-CN" w:bidi="en-US"/>
        </w:rPr>
        <w:t>五  固定锥阀</w:t>
      </w:r>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14:paraId="4A7C3FA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（一）固定锥阀总体要求：</w:t>
      </w:r>
    </w:p>
    <w:p w14:paraId="2EBEB64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  汤浦分水口固定锥阀，公称直径DN1300，压力等级1.6MPa。其设计过流量为8m3/s，过设计流量时，阀前、后最大压差为58.04m。过设计流量时，阀前、后最小压差为43.64m。阀门开启瞬间，阀前最大压力90m。阀后接一段短直管进入北溪河，长度约27m，该管道出口存在露出在空气中的可能性。因此，固定锥阀需要按空气出流进行复核选型。</w:t>
      </w:r>
    </w:p>
    <w:p w14:paraId="2E62C36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  长乐镇#1检修阀室（#2顶管工作井）固定锥阀，公称直径DN700，压力等级1.6MPa，数量1只，该阀开启瞬间，阀前最大压力90m，阀后为空气出流。正常运行时，该阀门阀前、后压差可能出现0m的情况。该阀的作用为隧洞检修排水，要求阀前、后压差5m时，流量不得小于2m</w:t>
      </w:r>
      <w:r>
        <w:rPr>
          <w:rFonts w:hint="eastAsia" w:ascii="宋体" w:hAnsi="宋体" w:eastAsia="宋体" w:cs="宋体"/>
          <w:snapToGrid/>
          <w:color w:val="auto"/>
          <w:kern w:val="2"/>
          <w:sz w:val="24"/>
          <w:szCs w:val="24"/>
          <w:highlight w:val="none"/>
          <w:vertAlign w:val="baseline"/>
        </w:rPr>
        <w:t>3</w:t>
      </w:r>
      <w:r>
        <w:rPr>
          <w:rFonts w:hint="eastAsia" w:ascii="宋体" w:hAnsi="宋体" w:eastAsia="宋体" w:cs="宋体"/>
          <w:snapToGrid/>
          <w:color w:val="auto"/>
          <w:kern w:val="2"/>
          <w:sz w:val="24"/>
          <w:szCs w:val="24"/>
          <w:highlight w:val="none"/>
        </w:rPr>
        <w:t>/s，且运行稳定无振动。</w:t>
      </w:r>
    </w:p>
    <w:p w14:paraId="3EC182F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1.3 长乐镇#3检修阀室（#6顶管工作井）固定锥阀，公称直径DN300，压力等级1.6MPa，数量1只。郯城江检修阀室（郯城江#1检修阀室）固定锥阀，公称直径DN300，压力等级1.6MPa，数量2只。石璜江检修阀室（石璜江#1检修阀室）固定锥阀，公称直径DN300，压力等级1.6MPa，数量2只。上述阀门在开启时，阀前最大压力均按90m考虑，阀后为空气出流。运行过程中，阀前、后最小压差可能降低至0m。上述固定锥阀的作用为隧洞或钢管检修排水用，当阀前、后压差10m时，流量不得小于0.5m</w:t>
      </w:r>
      <w:r>
        <w:rPr>
          <w:rFonts w:hint="eastAsia" w:ascii="宋体" w:hAnsi="宋体" w:eastAsia="宋体" w:cs="宋体"/>
          <w:snapToGrid/>
          <w:color w:val="auto"/>
          <w:kern w:val="2"/>
          <w:sz w:val="24"/>
          <w:szCs w:val="24"/>
          <w:highlight w:val="none"/>
          <w:vertAlign w:val="baseline"/>
        </w:rPr>
        <w:t>3</w:t>
      </w:r>
      <w:r>
        <w:rPr>
          <w:rFonts w:hint="eastAsia" w:ascii="宋体" w:hAnsi="宋体" w:eastAsia="宋体" w:cs="宋体"/>
          <w:snapToGrid/>
          <w:color w:val="auto"/>
          <w:kern w:val="2"/>
          <w:sz w:val="24"/>
          <w:szCs w:val="24"/>
          <w:highlight w:val="none"/>
        </w:rPr>
        <w:t>/s，且要求运行时稳定无振动。</w:t>
      </w:r>
    </w:p>
    <w:p w14:paraId="76E2667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（二）固定锥阀的供货范围：</w:t>
      </w:r>
    </w:p>
    <w:p w14:paraId="04C6AD7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 本工程所有固定锥阀供货范围包含：阀门本体、电动操作机构、配对法兰及连接件、预埋件、备品备件、专用工具、C</w:t>
      </w:r>
      <w:r>
        <w:rPr>
          <w:rFonts w:hint="eastAsia" w:ascii="宋体" w:hAnsi="宋体" w:eastAsia="宋体" w:cs="宋体"/>
          <w:snapToGrid/>
          <w:color w:val="auto"/>
          <w:kern w:val="2"/>
          <w:sz w:val="24"/>
          <w:szCs w:val="24"/>
          <w:highlight w:val="none"/>
          <w:vertAlign w:val="baseline"/>
        </w:rPr>
        <w:t>2</w:t>
      </w:r>
      <w:r>
        <w:rPr>
          <w:rFonts w:hint="eastAsia" w:ascii="宋体" w:hAnsi="宋体" w:eastAsia="宋体" w:cs="宋体"/>
          <w:snapToGrid/>
          <w:color w:val="auto"/>
          <w:kern w:val="2"/>
          <w:sz w:val="24"/>
          <w:szCs w:val="24"/>
          <w:highlight w:val="none"/>
        </w:rPr>
        <w:t>F钢制伸缩节。每个固定锥阀还应随设备提供正常使用和维护所需的专用工具以及在两年质保期内所需的备品备件。包括但不限于如下内容：阀盖密封圈、阀座密封条（如有）、阀轴密封圈、阀座密封圈，上述备品备件每种规格阀门各一套。</w:t>
      </w:r>
    </w:p>
    <w:p w14:paraId="6520FEE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2.2 固定锥阀供货范围及备品备件：</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2067"/>
        <w:gridCol w:w="1184"/>
        <w:gridCol w:w="1460"/>
        <w:gridCol w:w="915"/>
        <w:gridCol w:w="2545"/>
      </w:tblGrid>
      <w:tr w14:paraId="3E9FD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503" w:type="pct"/>
            <w:noWrap w:val="0"/>
            <w:vAlign w:val="center"/>
          </w:tcPr>
          <w:p w14:paraId="6FFE9A9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37" w:type="pct"/>
            <w:noWrap w:val="0"/>
            <w:vAlign w:val="center"/>
          </w:tcPr>
          <w:p w14:paraId="140EEC2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设备名称</w:t>
            </w:r>
          </w:p>
        </w:tc>
        <w:tc>
          <w:tcPr>
            <w:tcW w:w="651" w:type="pct"/>
            <w:noWrap w:val="0"/>
            <w:vAlign w:val="center"/>
          </w:tcPr>
          <w:p w14:paraId="3E41E34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直径</w:t>
            </w:r>
          </w:p>
        </w:tc>
        <w:tc>
          <w:tcPr>
            <w:tcW w:w="803" w:type="pct"/>
            <w:noWrap w:val="0"/>
            <w:vAlign w:val="center"/>
          </w:tcPr>
          <w:p w14:paraId="69ABA17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压力等级</w:t>
            </w:r>
          </w:p>
        </w:tc>
        <w:tc>
          <w:tcPr>
            <w:tcW w:w="503" w:type="pct"/>
            <w:noWrap w:val="0"/>
            <w:vAlign w:val="center"/>
          </w:tcPr>
          <w:p w14:paraId="62F6DBD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数量</w:t>
            </w:r>
          </w:p>
        </w:tc>
        <w:tc>
          <w:tcPr>
            <w:tcW w:w="1400" w:type="pct"/>
            <w:noWrap w:val="0"/>
            <w:vAlign w:val="center"/>
          </w:tcPr>
          <w:p w14:paraId="5DF0FDD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安装位置</w:t>
            </w:r>
          </w:p>
        </w:tc>
      </w:tr>
      <w:tr w14:paraId="4B940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525CA2F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37" w:type="pct"/>
            <w:noWrap w:val="0"/>
            <w:vAlign w:val="center"/>
          </w:tcPr>
          <w:p w14:paraId="2ADFE4E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固定锥阀</w:t>
            </w:r>
          </w:p>
        </w:tc>
        <w:tc>
          <w:tcPr>
            <w:tcW w:w="651" w:type="pct"/>
            <w:noWrap w:val="0"/>
            <w:vAlign w:val="center"/>
          </w:tcPr>
          <w:p w14:paraId="393709A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DN1300</w:t>
            </w:r>
          </w:p>
        </w:tc>
        <w:tc>
          <w:tcPr>
            <w:tcW w:w="803" w:type="pct"/>
            <w:noWrap w:val="0"/>
            <w:vAlign w:val="center"/>
          </w:tcPr>
          <w:p w14:paraId="68385BD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49141A9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00" w:type="pct"/>
            <w:noWrap w:val="0"/>
            <w:vAlign w:val="center"/>
          </w:tcPr>
          <w:p w14:paraId="5D03EFFB">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汤浦分水口</w:t>
            </w:r>
          </w:p>
        </w:tc>
      </w:tr>
      <w:tr w14:paraId="5DB7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5003760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137" w:type="pct"/>
            <w:noWrap w:val="0"/>
            <w:vAlign w:val="center"/>
          </w:tcPr>
          <w:p w14:paraId="34E962B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固定锥阀</w:t>
            </w:r>
          </w:p>
        </w:tc>
        <w:tc>
          <w:tcPr>
            <w:tcW w:w="651" w:type="pct"/>
            <w:noWrap w:val="0"/>
            <w:vAlign w:val="center"/>
          </w:tcPr>
          <w:p w14:paraId="4D212E4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DN700</w:t>
            </w:r>
          </w:p>
        </w:tc>
        <w:tc>
          <w:tcPr>
            <w:tcW w:w="803" w:type="pct"/>
            <w:noWrap w:val="0"/>
            <w:vAlign w:val="center"/>
          </w:tcPr>
          <w:p w14:paraId="64CBF57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0545170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00" w:type="pct"/>
            <w:noWrap w:val="0"/>
            <w:vAlign w:val="center"/>
          </w:tcPr>
          <w:p w14:paraId="4BDB341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#2顶管工作井</w:t>
            </w:r>
          </w:p>
        </w:tc>
      </w:tr>
      <w:tr w14:paraId="7005C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3A1EF35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137" w:type="pct"/>
            <w:noWrap w:val="0"/>
            <w:vAlign w:val="center"/>
          </w:tcPr>
          <w:p w14:paraId="0985C53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固定锥阀</w:t>
            </w:r>
          </w:p>
        </w:tc>
        <w:tc>
          <w:tcPr>
            <w:tcW w:w="651" w:type="pct"/>
            <w:noWrap w:val="0"/>
            <w:vAlign w:val="center"/>
          </w:tcPr>
          <w:p w14:paraId="34F4EC8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DN300</w:t>
            </w:r>
          </w:p>
        </w:tc>
        <w:tc>
          <w:tcPr>
            <w:tcW w:w="803" w:type="pct"/>
            <w:noWrap w:val="0"/>
            <w:vAlign w:val="center"/>
          </w:tcPr>
          <w:p w14:paraId="12BFBAF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674F52A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00" w:type="pct"/>
            <w:noWrap w:val="0"/>
            <w:vAlign w:val="center"/>
          </w:tcPr>
          <w:p w14:paraId="12EF168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#6顶管工作井</w:t>
            </w:r>
          </w:p>
        </w:tc>
      </w:tr>
      <w:tr w14:paraId="1805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32A1EE4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137" w:type="pct"/>
            <w:noWrap w:val="0"/>
            <w:vAlign w:val="center"/>
          </w:tcPr>
          <w:p w14:paraId="1E1C91A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固定锥阀</w:t>
            </w:r>
          </w:p>
        </w:tc>
        <w:tc>
          <w:tcPr>
            <w:tcW w:w="651" w:type="pct"/>
            <w:noWrap w:val="0"/>
            <w:vAlign w:val="center"/>
          </w:tcPr>
          <w:p w14:paraId="5C44F6E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DN300</w:t>
            </w:r>
          </w:p>
        </w:tc>
        <w:tc>
          <w:tcPr>
            <w:tcW w:w="803" w:type="pct"/>
            <w:noWrap w:val="0"/>
            <w:vAlign w:val="center"/>
          </w:tcPr>
          <w:p w14:paraId="1228F73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31F4E12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00" w:type="pct"/>
            <w:noWrap w:val="0"/>
            <w:vAlign w:val="center"/>
          </w:tcPr>
          <w:p w14:paraId="5C1D551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郯城江#1检修阀室</w:t>
            </w:r>
          </w:p>
        </w:tc>
      </w:tr>
      <w:tr w14:paraId="4895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255398D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137" w:type="pct"/>
            <w:noWrap w:val="0"/>
            <w:vAlign w:val="center"/>
          </w:tcPr>
          <w:p w14:paraId="5DD3609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固定锥阀</w:t>
            </w:r>
          </w:p>
        </w:tc>
        <w:tc>
          <w:tcPr>
            <w:tcW w:w="651" w:type="pct"/>
            <w:noWrap w:val="0"/>
            <w:vAlign w:val="center"/>
          </w:tcPr>
          <w:p w14:paraId="0256647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DN300</w:t>
            </w:r>
          </w:p>
        </w:tc>
        <w:tc>
          <w:tcPr>
            <w:tcW w:w="803" w:type="pct"/>
            <w:noWrap w:val="0"/>
            <w:vAlign w:val="center"/>
          </w:tcPr>
          <w:p w14:paraId="4A1D830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1DA8B38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00" w:type="pct"/>
            <w:noWrap w:val="0"/>
            <w:vAlign w:val="center"/>
          </w:tcPr>
          <w:p w14:paraId="5D32D35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石璜江#1检修阀室</w:t>
            </w:r>
          </w:p>
        </w:tc>
      </w:tr>
      <w:tr w14:paraId="3F9CE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2491056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137" w:type="pct"/>
            <w:noWrap w:val="0"/>
            <w:vAlign w:val="center"/>
          </w:tcPr>
          <w:p w14:paraId="7BF7DE5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十字滤管</w:t>
            </w:r>
          </w:p>
        </w:tc>
        <w:tc>
          <w:tcPr>
            <w:tcW w:w="651" w:type="pct"/>
            <w:noWrap w:val="0"/>
            <w:vAlign w:val="center"/>
          </w:tcPr>
          <w:p w14:paraId="1B51B70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DN1400</w:t>
            </w:r>
          </w:p>
        </w:tc>
        <w:tc>
          <w:tcPr>
            <w:tcW w:w="803" w:type="pct"/>
            <w:noWrap w:val="0"/>
            <w:vAlign w:val="center"/>
          </w:tcPr>
          <w:p w14:paraId="2F002EA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48F0796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00" w:type="pct"/>
            <w:noWrap w:val="0"/>
            <w:vAlign w:val="center"/>
          </w:tcPr>
          <w:p w14:paraId="03A0A1B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汤浦分水口</w:t>
            </w:r>
          </w:p>
        </w:tc>
      </w:tr>
      <w:tr w14:paraId="25955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34E90B3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137" w:type="pct"/>
            <w:noWrap w:val="0"/>
            <w:vAlign w:val="center"/>
          </w:tcPr>
          <w:p w14:paraId="69ECD3E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F钢制伸缩节</w:t>
            </w:r>
          </w:p>
        </w:tc>
        <w:tc>
          <w:tcPr>
            <w:tcW w:w="651" w:type="pct"/>
            <w:noWrap w:val="0"/>
            <w:vAlign w:val="center"/>
          </w:tcPr>
          <w:p w14:paraId="63DF46C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DN1300</w:t>
            </w:r>
          </w:p>
        </w:tc>
        <w:tc>
          <w:tcPr>
            <w:tcW w:w="803" w:type="pct"/>
            <w:noWrap w:val="0"/>
            <w:vAlign w:val="center"/>
          </w:tcPr>
          <w:p w14:paraId="08E2404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0486AE9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00" w:type="pct"/>
            <w:noWrap w:val="0"/>
            <w:vAlign w:val="center"/>
          </w:tcPr>
          <w:p w14:paraId="5B09190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汤浦分水口</w:t>
            </w:r>
          </w:p>
        </w:tc>
      </w:tr>
      <w:tr w14:paraId="4A8EB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173DA3A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137" w:type="pct"/>
            <w:noWrap w:val="0"/>
            <w:vAlign w:val="center"/>
          </w:tcPr>
          <w:p w14:paraId="17DA77FB">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F钢制伸缩节</w:t>
            </w:r>
          </w:p>
        </w:tc>
        <w:tc>
          <w:tcPr>
            <w:tcW w:w="651" w:type="pct"/>
            <w:noWrap w:val="0"/>
            <w:vAlign w:val="center"/>
          </w:tcPr>
          <w:p w14:paraId="3485611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DN700</w:t>
            </w:r>
          </w:p>
        </w:tc>
        <w:tc>
          <w:tcPr>
            <w:tcW w:w="803" w:type="pct"/>
            <w:noWrap w:val="0"/>
            <w:vAlign w:val="center"/>
          </w:tcPr>
          <w:p w14:paraId="3E82162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64AD2D3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00" w:type="pct"/>
            <w:noWrap w:val="0"/>
            <w:vAlign w:val="center"/>
          </w:tcPr>
          <w:p w14:paraId="0238D3C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#2顶管工作井</w:t>
            </w:r>
          </w:p>
        </w:tc>
      </w:tr>
      <w:tr w14:paraId="36580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34B2560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137" w:type="pct"/>
            <w:noWrap w:val="0"/>
            <w:vAlign w:val="center"/>
          </w:tcPr>
          <w:p w14:paraId="0623E8E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F钢制伸缩节</w:t>
            </w:r>
          </w:p>
        </w:tc>
        <w:tc>
          <w:tcPr>
            <w:tcW w:w="651" w:type="pct"/>
            <w:noWrap w:val="0"/>
            <w:vAlign w:val="center"/>
          </w:tcPr>
          <w:p w14:paraId="190BA49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DN300</w:t>
            </w:r>
          </w:p>
        </w:tc>
        <w:tc>
          <w:tcPr>
            <w:tcW w:w="803" w:type="pct"/>
            <w:noWrap w:val="0"/>
            <w:vAlign w:val="center"/>
          </w:tcPr>
          <w:p w14:paraId="6737469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0340934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400" w:type="pct"/>
            <w:noWrap w:val="0"/>
            <w:vAlign w:val="center"/>
          </w:tcPr>
          <w:p w14:paraId="25834EF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#6顶管工作井</w:t>
            </w:r>
          </w:p>
        </w:tc>
      </w:tr>
      <w:tr w14:paraId="0CDA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4432B30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137" w:type="pct"/>
            <w:noWrap w:val="0"/>
            <w:vAlign w:val="center"/>
          </w:tcPr>
          <w:p w14:paraId="7A84986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F钢制伸缩节</w:t>
            </w:r>
          </w:p>
        </w:tc>
        <w:tc>
          <w:tcPr>
            <w:tcW w:w="651" w:type="pct"/>
            <w:noWrap w:val="0"/>
            <w:vAlign w:val="center"/>
          </w:tcPr>
          <w:p w14:paraId="58A76F7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DN300</w:t>
            </w:r>
          </w:p>
        </w:tc>
        <w:tc>
          <w:tcPr>
            <w:tcW w:w="803" w:type="pct"/>
            <w:noWrap w:val="0"/>
            <w:vAlign w:val="center"/>
          </w:tcPr>
          <w:p w14:paraId="309B2B3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7B7A350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00" w:type="pct"/>
            <w:noWrap w:val="0"/>
            <w:vAlign w:val="center"/>
          </w:tcPr>
          <w:p w14:paraId="02E83D1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郯城江#1检修阀室</w:t>
            </w:r>
          </w:p>
        </w:tc>
      </w:tr>
      <w:tr w14:paraId="53DFC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03" w:type="pct"/>
            <w:noWrap w:val="0"/>
            <w:vAlign w:val="center"/>
          </w:tcPr>
          <w:p w14:paraId="41B0D86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1137" w:type="pct"/>
            <w:noWrap w:val="0"/>
            <w:vAlign w:val="center"/>
          </w:tcPr>
          <w:p w14:paraId="04C6D3E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C</w:t>
            </w:r>
            <w:r>
              <w:rPr>
                <w:rFonts w:hint="eastAsia" w:ascii="宋体" w:hAnsi="宋体" w:eastAsia="宋体" w:cs="宋体"/>
                <w:color w:val="auto"/>
                <w:sz w:val="24"/>
                <w:szCs w:val="24"/>
                <w:highlight w:val="none"/>
                <w:vertAlign w:val="subscript"/>
              </w:rPr>
              <w:t>2</w:t>
            </w:r>
            <w:r>
              <w:rPr>
                <w:rFonts w:hint="eastAsia" w:ascii="宋体" w:hAnsi="宋体" w:eastAsia="宋体" w:cs="宋体"/>
                <w:color w:val="auto"/>
                <w:sz w:val="24"/>
                <w:szCs w:val="24"/>
                <w:highlight w:val="none"/>
              </w:rPr>
              <w:t>F钢制伸缩节</w:t>
            </w:r>
          </w:p>
        </w:tc>
        <w:tc>
          <w:tcPr>
            <w:tcW w:w="651" w:type="pct"/>
            <w:noWrap w:val="0"/>
            <w:vAlign w:val="center"/>
          </w:tcPr>
          <w:p w14:paraId="049E9C3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DN300</w:t>
            </w:r>
          </w:p>
        </w:tc>
        <w:tc>
          <w:tcPr>
            <w:tcW w:w="803" w:type="pct"/>
            <w:noWrap w:val="0"/>
            <w:vAlign w:val="center"/>
          </w:tcPr>
          <w:p w14:paraId="782F611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1.6MPa</w:t>
            </w:r>
          </w:p>
        </w:tc>
        <w:tc>
          <w:tcPr>
            <w:tcW w:w="503" w:type="pct"/>
            <w:noWrap w:val="0"/>
            <w:vAlign w:val="center"/>
          </w:tcPr>
          <w:p w14:paraId="5CE7E26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400" w:type="pct"/>
            <w:noWrap w:val="0"/>
            <w:vAlign w:val="center"/>
          </w:tcPr>
          <w:p w14:paraId="33E5351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石璜江#1检修阀室</w:t>
            </w:r>
          </w:p>
        </w:tc>
      </w:tr>
    </w:tbl>
    <w:p w14:paraId="24A6AF1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（三）固定锥阀技术要求：</w:t>
      </w:r>
    </w:p>
    <w:p w14:paraId="1647C26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3.1 阀门具有启闭和调节流量的功能。流量调节阀结构型式为锥形结构，在消能空排放过程中通过内锥体旋转把分散水聚成有规律排放，以达到在高水头下完全消能及调流效果。</w:t>
      </w:r>
    </w:p>
    <w:p w14:paraId="50BD304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3.2 阀门在工况条件范围内工作时，无汽蚀和振动发生。</w:t>
      </w:r>
    </w:p>
    <w:p w14:paraId="1F5EB43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3.3 阀门内部的结构设计保证其开度与流量系数呈线性比例关系，其流道设计保证在整个工作范围内不产生有害的气蚀和振动，以提高阀门和管道的使用寿命。</w:t>
      </w:r>
    </w:p>
    <w:p w14:paraId="21DBB59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3.4 具有合理的流道和密封型式，使该阀可以使用于含有泥沙等小颗粒杂质的流体，不会因杂物造成关闭不严而导致泄漏或控制失效；具有较长的使用寿命，阀门中主要密封结构为金属对金属，密封可靠，软密封组为辅助密封，抗流体冲蚀能力强，不易被夹杂的垃圾损坏，大部分部件采用不锈钢制造，以满足长期运行的要求。</w:t>
      </w:r>
    </w:p>
    <w:p w14:paraId="37F6168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3.5 固定锥型调流阀采用电动操作，能在全开、全关或于任何位置均可正常顺利操作。具有缓闭时间调整功能，不会因气蚀或锈蚀现象而损坏阀体，也不会因负压而产生较强震动及共振情况，保证阀门长期的平稳运行。</w:t>
      </w:r>
    </w:p>
    <w:p w14:paraId="7E905A1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3.6阀门等零部件的制造公差，符合GB标准及ISO有关标准，同样尺寸、形式的零部件能够进行互换。阀门的内外壁的相交、相贯部分过渡圆滑，没有明显的突变。阀门不发生由于质量和材料原因引起的缺陷，阀门整体使用寿命应达到30年</w:t>
      </w:r>
    </w:p>
    <w:tbl>
      <w:tblPr>
        <w:tblStyle w:val="2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2354"/>
        <w:gridCol w:w="3203"/>
        <w:gridCol w:w="3373"/>
      </w:tblGrid>
      <w:tr w14:paraId="2ACBF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Pr>
        <w:tc>
          <w:tcPr>
            <w:tcW w:w="1318" w:type="pct"/>
            <w:vMerge w:val="restart"/>
            <w:noWrap w:val="0"/>
            <w:vAlign w:val="center"/>
          </w:tcPr>
          <w:p w14:paraId="31CF596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    料</w:t>
            </w:r>
          </w:p>
        </w:tc>
        <w:tc>
          <w:tcPr>
            <w:tcW w:w="3681" w:type="pct"/>
            <w:gridSpan w:val="2"/>
            <w:noWrap w:val="0"/>
            <w:vAlign w:val="center"/>
          </w:tcPr>
          <w:p w14:paraId="5269375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 大 许 用 应 力</w:t>
            </w:r>
          </w:p>
        </w:tc>
      </w:tr>
      <w:tr w14:paraId="6DC30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318" w:type="pct"/>
            <w:vMerge w:val="continue"/>
            <w:noWrap w:val="0"/>
            <w:vAlign w:val="center"/>
          </w:tcPr>
          <w:p w14:paraId="4FDAE27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c>
          <w:tcPr>
            <w:tcW w:w="1793" w:type="pct"/>
            <w:noWrap w:val="0"/>
            <w:vAlign w:val="center"/>
          </w:tcPr>
          <w:p w14:paraId="30A221C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抗  拉 （MPa）</w:t>
            </w:r>
          </w:p>
        </w:tc>
        <w:tc>
          <w:tcPr>
            <w:tcW w:w="1888" w:type="pct"/>
            <w:noWrap w:val="0"/>
            <w:vAlign w:val="center"/>
          </w:tcPr>
          <w:p w14:paraId="69ECCFF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抗  压 （MPa）</w:t>
            </w:r>
          </w:p>
        </w:tc>
      </w:tr>
      <w:tr w14:paraId="36C97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318" w:type="pct"/>
            <w:noWrap w:val="0"/>
            <w:vAlign w:val="center"/>
          </w:tcPr>
          <w:p w14:paraId="40AAF6D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铸铁</w:t>
            </w:r>
          </w:p>
        </w:tc>
        <w:tc>
          <w:tcPr>
            <w:tcW w:w="1793" w:type="pct"/>
            <w:noWrap w:val="0"/>
            <w:vAlign w:val="center"/>
          </w:tcPr>
          <w:p w14:paraId="6D4C2DB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极限强度的1/10</w:t>
            </w:r>
          </w:p>
        </w:tc>
        <w:tc>
          <w:tcPr>
            <w:tcW w:w="1888" w:type="pct"/>
            <w:noWrap w:val="0"/>
            <w:vAlign w:val="center"/>
          </w:tcPr>
          <w:p w14:paraId="7060769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极限强度的3/10</w:t>
            </w:r>
          </w:p>
        </w:tc>
      </w:tr>
      <w:tr w14:paraId="5256D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318" w:type="pct"/>
            <w:noWrap w:val="0"/>
            <w:vAlign w:val="center"/>
          </w:tcPr>
          <w:p w14:paraId="15F1AC3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铸钢、锻钢板</w:t>
            </w:r>
          </w:p>
        </w:tc>
        <w:tc>
          <w:tcPr>
            <w:tcW w:w="1793" w:type="pct"/>
            <w:noWrap w:val="0"/>
            <w:vAlign w:val="center"/>
          </w:tcPr>
          <w:p w14:paraId="624A9FF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极限强度的1/5或屈服强度的1/3的较低值</w:t>
            </w:r>
          </w:p>
        </w:tc>
        <w:tc>
          <w:tcPr>
            <w:tcW w:w="1888" w:type="pct"/>
            <w:noWrap w:val="0"/>
            <w:vAlign w:val="center"/>
          </w:tcPr>
          <w:p w14:paraId="561A4F5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极限强度的1/5或屈服强度的1/3的较低值</w:t>
            </w:r>
          </w:p>
        </w:tc>
      </w:tr>
      <w:tr w14:paraId="65B7D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318" w:type="pct"/>
            <w:noWrap w:val="0"/>
            <w:vAlign w:val="center"/>
          </w:tcPr>
          <w:p w14:paraId="456D6DD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高强度钢板的高应力受件</w:t>
            </w:r>
          </w:p>
        </w:tc>
        <w:tc>
          <w:tcPr>
            <w:tcW w:w="1793" w:type="pct"/>
            <w:vMerge w:val="restart"/>
            <w:noWrap w:val="0"/>
            <w:vAlign w:val="center"/>
          </w:tcPr>
          <w:p w14:paraId="64B1872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极限强度的1/5或屈服强度的1/3的较低值</w:t>
            </w:r>
          </w:p>
        </w:tc>
        <w:tc>
          <w:tcPr>
            <w:tcW w:w="1888" w:type="pct"/>
            <w:vMerge w:val="restart"/>
            <w:noWrap w:val="0"/>
            <w:vAlign w:val="center"/>
          </w:tcPr>
          <w:p w14:paraId="7C343BD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极限强度的1/5或屈服强度的1/3的较低值</w:t>
            </w:r>
          </w:p>
        </w:tc>
      </w:tr>
      <w:tr w14:paraId="62A7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318" w:type="pct"/>
            <w:noWrap w:val="0"/>
            <w:vAlign w:val="center"/>
          </w:tcPr>
          <w:p w14:paraId="1B32C7D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重要碳钢板的应力承受件</w:t>
            </w:r>
          </w:p>
        </w:tc>
        <w:tc>
          <w:tcPr>
            <w:tcW w:w="1793" w:type="pct"/>
            <w:vMerge w:val="continue"/>
            <w:noWrap w:val="0"/>
            <w:vAlign w:val="center"/>
          </w:tcPr>
          <w:p w14:paraId="4322598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c>
          <w:tcPr>
            <w:tcW w:w="1888" w:type="pct"/>
            <w:vMerge w:val="continue"/>
            <w:noWrap w:val="0"/>
            <w:vAlign w:val="center"/>
          </w:tcPr>
          <w:p w14:paraId="6FC0069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r>
      <w:tr w14:paraId="651E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Pr>
        <w:tc>
          <w:tcPr>
            <w:tcW w:w="1318" w:type="pct"/>
            <w:noWrap w:val="0"/>
            <w:vAlign w:val="center"/>
          </w:tcPr>
          <w:p w14:paraId="7D3059B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其它钢板</w:t>
            </w:r>
          </w:p>
        </w:tc>
        <w:tc>
          <w:tcPr>
            <w:tcW w:w="1793" w:type="pct"/>
            <w:noWrap w:val="0"/>
            <w:vAlign w:val="center"/>
          </w:tcPr>
          <w:p w14:paraId="1EA6824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极限强度的1/3，屈服强度的1/2的较低值</w:t>
            </w:r>
          </w:p>
        </w:tc>
        <w:tc>
          <w:tcPr>
            <w:tcW w:w="1888" w:type="pct"/>
            <w:noWrap w:val="0"/>
            <w:vAlign w:val="center"/>
          </w:tcPr>
          <w:p w14:paraId="52ADC39B">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极限强度的1/3，屈服强度的1/2的较低值</w:t>
            </w:r>
          </w:p>
        </w:tc>
      </w:tr>
    </w:tbl>
    <w:p w14:paraId="1E5CB25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（四）固定锥阀部件材料要求</w:t>
      </w:r>
    </w:p>
    <w:tbl>
      <w:tblPr>
        <w:tblStyle w:val="23"/>
        <w:tblpPr w:leftFromText="180" w:rightFromText="180" w:vertAnchor="text" w:horzAnchor="page" w:tblpX="1589" w:tblpY="213"/>
        <w:tblOverlap w:val="never"/>
        <w:tblW w:w="49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8"/>
        <w:gridCol w:w="7348"/>
      </w:tblGrid>
      <w:tr w14:paraId="4D421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57657A79">
            <w:pPr>
              <w:pStyle w:val="41"/>
              <w:keepNext w:val="0"/>
              <w:keepLines w:val="0"/>
              <w:pageBreakBefore w:val="0"/>
              <w:widowControl/>
              <w:numPr>
                <w:ilvl w:val="0"/>
                <w:numId w:val="0"/>
              </w:numPr>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部件</w:t>
            </w:r>
          </w:p>
        </w:tc>
        <w:tc>
          <w:tcPr>
            <w:tcW w:w="4115" w:type="pct"/>
            <w:noWrap w:val="0"/>
            <w:vAlign w:val="center"/>
          </w:tcPr>
          <w:p w14:paraId="3C51E0E7">
            <w:pPr>
              <w:pStyle w:val="41"/>
              <w:keepNext w:val="0"/>
              <w:keepLines w:val="0"/>
              <w:pageBreakBefore w:val="0"/>
              <w:widowControl/>
              <w:numPr>
                <w:ilvl w:val="0"/>
                <w:numId w:val="0"/>
              </w:numPr>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14:paraId="0DEB8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210D6ACC">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阀体</w:t>
            </w:r>
          </w:p>
        </w:tc>
        <w:tc>
          <w:tcPr>
            <w:tcW w:w="4115" w:type="pct"/>
            <w:noWrap w:val="0"/>
            <w:vAlign w:val="center"/>
          </w:tcPr>
          <w:p w14:paraId="30546F6C">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不低于Q235B或者ZG230-450</w:t>
            </w:r>
          </w:p>
        </w:tc>
      </w:tr>
      <w:tr w14:paraId="15D4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026631B6">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锥体</w:t>
            </w:r>
          </w:p>
        </w:tc>
        <w:tc>
          <w:tcPr>
            <w:tcW w:w="4115" w:type="pct"/>
            <w:noWrap w:val="0"/>
            <w:vAlign w:val="center"/>
          </w:tcPr>
          <w:p w14:paraId="01E35E96">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不低于ZG230-450或者QT450-10</w:t>
            </w:r>
          </w:p>
        </w:tc>
      </w:tr>
      <w:tr w14:paraId="1AC61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5A96B9AF">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摇臂</w:t>
            </w:r>
          </w:p>
        </w:tc>
        <w:tc>
          <w:tcPr>
            <w:tcW w:w="4115" w:type="pct"/>
            <w:noWrap w:val="0"/>
            <w:vAlign w:val="center"/>
          </w:tcPr>
          <w:p w14:paraId="234132EA">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不低于ZG230-450或者QT450-10</w:t>
            </w:r>
          </w:p>
        </w:tc>
      </w:tr>
      <w:tr w14:paraId="700A1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3AE8E981">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进口管</w:t>
            </w:r>
          </w:p>
        </w:tc>
        <w:tc>
          <w:tcPr>
            <w:tcW w:w="4115" w:type="pct"/>
            <w:noWrap w:val="0"/>
            <w:vAlign w:val="center"/>
          </w:tcPr>
          <w:p w14:paraId="0D29A2A6">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不低于Q235B或者ZG230-450或者QT450-10</w:t>
            </w:r>
          </w:p>
        </w:tc>
      </w:tr>
      <w:tr w14:paraId="1401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6F6D7639">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套筒闸</w:t>
            </w:r>
          </w:p>
        </w:tc>
        <w:tc>
          <w:tcPr>
            <w:tcW w:w="4115" w:type="pct"/>
            <w:noWrap w:val="0"/>
            <w:vAlign w:val="center"/>
          </w:tcPr>
          <w:p w14:paraId="149E7E1A">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不低于0Cr19Ni9不锈钢</w:t>
            </w:r>
          </w:p>
        </w:tc>
      </w:tr>
      <w:tr w14:paraId="47002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15C17B88">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阀座</w:t>
            </w:r>
          </w:p>
        </w:tc>
        <w:tc>
          <w:tcPr>
            <w:tcW w:w="4115" w:type="pct"/>
            <w:noWrap w:val="0"/>
            <w:vAlign w:val="center"/>
          </w:tcPr>
          <w:p w14:paraId="64D23554">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不低于DIN1.4460双相不锈钢</w:t>
            </w:r>
          </w:p>
        </w:tc>
      </w:tr>
      <w:tr w14:paraId="3383B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611527E6">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驱动轴</w:t>
            </w:r>
          </w:p>
        </w:tc>
        <w:tc>
          <w:tcPr>
            <w:tcW w:w="4115" w:type="pct"/>
            <w:noWrap w:val="0"/>
            <w:vAlign w:val="center"/>
          </w:tcPr>
          <w:p w14:paraId="6BDF0751">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不低于2Cr13不锈钢</w:t>
            </w:r>
          </w:p>
        </w:tc>
      </w:tr>
      <w:tr w14:paraId="332E9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55B6C736">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导流罩</w:t>
            </w:r>
          </w:p>
        </w:tc>
        <w:tc>
          <w:tcPr>
            <w:tcW w:w="4115" w:type="pct"/>
            <w:noWrap w:val="0"/>
            <w:vAlign w:val="center"/>
          </w:tcPr>
          <w:p w14:paraId="05C85281">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不低于Q235B 或者ZG230-450或者QT450-10</w:t>
            </w:r>
          </w:p>
        </w:tc>
      </w:tr>
      <w:tr w14:paraId="76694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4" w:type="pct"/>
            <w:noWrap w:val="0"/>
            <w:vAlign w:val="center"/>
          </w:tcPr>
          <w:p w14:paraId="4FF1BBE8">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紧固件</w:t>
            </w:r>
          </w:p>
        </w:tc>
        <w:tc>
          <w:tcPr>
            <w:tcW w:w="4115" w:type="pct"/>
            <w:noWrap w:val="0"/>
            <w:vAlign w:val="center"/>
          </w:tcPr>
          <w:p w14:paraId="74CD1AF5">
            <w:pPr>
              <w:pStyle w:val="41"/>
              <w:keepNext w:val="0"/>
              <w:keepLines w:val="0"/>
              <w:pageBreakBefore w:val="0"/>
              <w:widowControl w:val="0"/>
              <w:kinsoku/>
              <w:wordWrap/>
              <w:overflowPunct/>
              <w:topLinePunct/>
              <w:bidi w:val="0"/>
              <w:adjustRightInd w:val="0"/>
              <w:snapToGrid w:val="0"/>
              <w:spacing w:line="360" w:lineRule="auto"/>
              <w:ind w:left="0"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不锈钢材料</w:t>
            </w:r>
          </w:p>
        </w:tc>
      </w:tr>
    </w:tbl>
    <w:p w14:paraId="7F726C3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lang w:eastAsia="zh-CN"/>
        </w:rPr>
      </w:pPr>
    </w:p>
    <w:p w14:paraId="3FCC092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（五）阀门结构设计和制造</w:t>
      </w:r>
    </w:p>
    <w:p w14:paraId="18AD17B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5.1锥形阀主要由阀体、过流消能调节部件、操作机构、反馈装置、控制器和其它为完成上述工作要求的附件或器械设备等组成。其结构和水力设计使阀门在设计流量的5%</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100%区间能安全稳定运行。</w:t>
      </w:r>
    </w:p>
    <w:p w14:paraId="272DB23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5.2阀门成套系统具有足够的强度和刚度。总装安装后，应保证动作灵活，全开、全关位置和各调节位置准确。阀体配有坚固的底座，能把全部荷载包括延伸部件和水的重量等安全地传递到混凝土基础上。 </w:t>
      </w:r>
    </w:p>
    <w:p w14:paraId="0A64667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5.3阀体壁厚、内部过流部件厚度考虑在使用期内因含沙水流造成的磨损余量要求。 </w:t>
      </w:r>
    </w:p>
    <w:p w14:paraId="001E8FF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5.4锥形阀的流量控制通过套筒的前后移动来实现，阀门在整个行程中不产生气蚀和振动，排放系数和开度呈线性比例关系。 </w:t>
      </w:r>
    </w:p>
    <w:p w14:paraId="09454BA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5.5锥形阀具有优良的消能调流结构，出口结构要</w:t>
      </w:r>
      <w:r>
        <w:rPr>
          <w:rFonts w:hint="eastAsia" w:ascii="宋体" w:hAnsi="宋体" w:eastAsia="宋体" w:cs="宋体"/>
          <w:snapToGrid/>
          <w:color w:val="auto"/>
          <w:kern w:val="2"/>
          <w:sz w:val="24"/>
          <w:szCs w:val="24"/>
          <w:highlight w:val="none"/>
          <w:lang w:eastAsia="zh-CN"/>
        </w:rPr>
        <w:t>做到</w:t>
      </w:r>
      <w:r>
        <w:rPr>
          <w:rFonts w:hint="eastAsia" w:ascii="宋体" w:hAnsi="宋体" w:eastAsia="宋体" w:cs="宋体"/>
          <w:snapToGrid/>
          <w:color w:val="auto"/>
          <w:kern w:val="2"/>
          <w:sz w:val="24"/>
          <w:szCs w:val="24"/>
          <w:highlight w:val="none"/>
        </w:rPr>
        <w:t>平滑顺畅，避免因流道结构变化造成的水流紊乱而产生振动、噪声和气蚀，使阀门在处于任何调节位置时均不发生振动和抖动现象。当阀门在最高压差、全开位置并通过规定的最大过流量，和在最高压差、最小开度位置通过规定的最小过流量时，不出现有害气蚀和振动， 带导流罩产品需设计补气室。</w:t>
      </w:r>
    </w:p>
    <w:p w14:paraId="3D7A22B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（六）试验 </w:t>
      </w:r>
    </w:p>
    <w:p w14:paraId="61906A3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6.1壳体强度试验和密封性试验应在活塞阀油漆之前完成（用于保护的底漆除外），试验按《工业阀门压力试验》（GB/T13927）要求执行。</w:t>
      </w:r>
    </w:p>
    <w:p w14:paraId="67AA1D0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 带压操作试验：在最大允许工作压差工况下，固定锥阀利用所配置的驱动装置从全关到全开开启。操作应平稳、无卡阻和异响。</w:t>
      </w:r>
    </w:p>
    <w:p w14:paraId="553DC29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 空载操作试验：将固定锥阀利用所配置的驱动装置从全关到全开再到全关循环启闭操作活塞阀，检查锥阀动作是否正常。</w:t>
      </w:r>
    </w:p>
    <w:p w14:paraId="5B0DEE70">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(七）其他</w:t>
      </w:r>
    </w:p>
    <w:p w14:paraId="028D6B7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lang w:val="en-US" w:eastAsia="zh-CN"/>
        </w:rPr>
        <w:t>7</w:t>
      </w:r>
      <w:r>
        <w:rPr>
          <w:rFonts w:hint="eastAsia" w:ascii="宋体" w:hAnsi="宋体" w:eastAsia="宋体" w:cs="宋体"/>
          <w:b w:val="0"/>
          <w:bCs w:val="0"/>
          <w:snapToGrid/>
          <w:color w:val="auto"/>
          <w:kern w:val="2"/>
          <w:sz w:val="24"/>
          <w:szCs w:val="24"/>
          <w:highlight w:val="none"/>
        </w:rPr>
        <w:t>.1每只</w:t>
      </w:r>
      <w:r>
        <w:rPr>
          <w:rFonts w:hint="eastAsia" w:ascii="宋体" w:hAnsi="宋体" w:eastAsia="宋体" w:cs="宋体"/>
          <w:b w:val="0"/>
          <w:bCs w:val="0"/>
          <w:snapToGrid/>
          <w:color w:val="auto"/>
          <w:kern w:val="2"/>
          <w:sz w:val="24"/>
          <w:szCs w:val="24"/>
          <w:highlight w:val="none"/>
          <w:lang w:val="en-US" w:eastAsia="zh-CN"/>
        </w:rPr>
        <w:t>固定锥</w:t>
      </w:r>
      <w:r>
        <w:rPr>
          <w:rFonts w:hint="eastAsia" w:ascii="宋体" w:hAnsi="宋体" w:eastAsia="宋体" w:cs="宋体"/>
          <w:b w:val="0"/>
          <w:bCs w:val="0"/>
          <w:snapToGrid/>
          <w:color w:val="auto"/>
          <w:kern w:val="2"/>
          <w:sz w:val="24"/>
          <w:szCs w:val="24"/>
          <w:highlight w:val="none"/>
        </w:rPr>
        <w:t>阀必须在出厂前通过模型试验或真阀试验以验证其性能是否满足招标文件的要求。</w:t>
      </w:r>
    </w:p>
    <w:p w14:paraId="785451E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1）模型试验：若无法开展真阀试验，则通过模型试验与CFD相结合的方式进行验证。阀门厂应先制作DN300口径的模型阀通过试验测定其过流能力，并通过CFD技术对该模型阀门的过流能力进行模拟。当CFD模拟结果与模型试验结果一致时，认为该CFD技术满足工程要求，采用该技术对阀</w:t>
      </w:r>
      <w:r>
        <w:rPr>
          <w:rFonts w:hint="eastAsia" w:ascii="宋体" w:hAnsi="宋体" w:eastAsia="宋体" w:cs="宋体"/>
          <w:b w:val="0"/>
          <w:bCs w:val="0"/>
          <w:snapToGrid/>
          <w:color w:val="auto"/>
          <w:kern w:val="2"/>
          <w:sz w:val="24"/>
          <w:szCs w:val="24"/>
          <w:highlight w:val="none"/>
          <w:lang w:val="en-US" w:eastAsia="zh-CN"/>
        </w:rPr>
        <w:t>门</w:t>
      </w:r>
      <w:r>
        <w:rPr>
          <w:rFonts w:hint="eastAsia" w:ascii="宋体" w:hAnsi="宋体" w:eastAsia="宋体" w:cs="宋体"/>
          <w:b w:val="0"/>
          <w:bCs w:val="0"/>
          <w:snapToGrid/>
          <w:color w:val="auto"/>
          <w:kern w:val="2"/>
          <w:sz w:val="24"/>
          <w:szCs w:val="24"/>
          <w:highlight w:val="none"/>
        </w:rPr>
        <w:t>真机进行CFD模拟，用于验证其是否可以达到设计要求。</w:t>
      </w:r>
    </w:p>
    <w:p w14:paraId="3F4FCFB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2）真机试验：若具备真阀试验的能力，则通过真阀试验与CFD模拟相结合的方式验证其是否达到设计要求。应试验台压力有限，超过试验台压力范围，需要通过CFD进行预测。并将预测结果与本技术条款进行对比。</w:t>
      </w:r>
    </w:p>
    <w:p w14:paraId="4E9ABE6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CFD成果与试验成果的比对，需要召开专家验收会予以认定。经专家验收并不能免除阀门厂履行后续的质量责任，包括3.2条款中未通过现场测试的相关责任。</w:t>
      </w:r>
    </w:p>
    <w:p w14:paraId="254934A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lang w:eastAsia="zh-CN"/>
        </w:rPr>
      </w:pPr>
      <w:r>
        <w:rPr>
          <w:rFonts w:hint="eastAsia" w:ascii="宋体" w:hAnsi="宋体" w:eastAsia="宋体" w:cs="宋体"/>
          <w:b w:val="0"/>
          <w:bCs w:val="0"/>
          <w:snapToGrid/>
          <w:color w:val="auto"/>
          <w:kern w:val="2"/>
          <w:sz w:val="24"/>
          <w:szCs w:val="24"/>
          <w:highlight w:val="none"/>
          <w:lang w:val="en-US" w:eastAsia="zh-CN"/>
        </w:rPr>
        <w:t>7</w:t>
      </w:r>
      <w:r>
        <w:rPr>
          <w:rFonts w:hint="eastAsia" w:ascii="宋体" w:hAnsi="宋体" w:eastAsia="宋体" w:cs="宋体"/>
          <w:b w:val="0"/>
          <w:bCs w:val="0"/>
          <w:snapToGrid/>
          <w:color w:val="auto"/>
          <w:kern w:val="2"/>
          <w:sz w:val="24"/>
          <w:szCs w:val="24"/>
          <w:highlight w:val="none"/>
        </w:rPr>
        <w:t>.2厂家需对每只</w:t>
      </w:r>
      <w:r>
        <w:rPr>
          <w:rFonts w:hint="eastAsia" w:ascii="宋体" w:hAnsi="宋体" w:eastAsia="宋体" w:cs="宋体"/>
          <w:b w:val="0"/>
          <w:bCs w:val="0"/>
          <w:snapToGrid/>
          <w:color w:val="auto"/>
          <w:kern w:val="2"/>
          <w:sz w:val="24"/>
          <w:szCs w:val="24"/>
          <w:highlight w:val="none"/>
          <w:lang w:val="en-US" w:eastAsia="zh-CN"/>
        </w:rPr>
        <w:t>固定锥</w:t>
      </w:r>
      <w:r>
        <w:rPr>
          <w:rFonts w:hint="eastAsia" w:ascii="宋体" w:hAnsi="宋体" w:eastAsia="宋体" w:cs="宋体"/>
          <w:b w:val="0"/>
          <w:bCs w:val="0"/>
          <w:snapToGrid/>
          <w:color w:val="auto"/>
          <w:kern w:val="2"/>
          <w:sz w:val="24"/>
          <w:szCs w:val="24"/>
          <w:highlight w:val="none"/>
        </w:rPr>
        <w:t>阀提供压差</w:t>
      </w:r>
      <w:r>
        <w:rPr>
          <w:rFonts w:hint="eastAsia" w:ascii="宋体" w:hAnsi="宋体" w:eastAsia="宋体" w:cs="宋体"/>
          <w:b w:val="0"/>
          <w:bCs w:val="0"/>
          <w:snapToGrid/>
          <w:color w:val="auto"/>
          <w:kern w:val="2"/>
          <w:sz w:val="24"/>
          <w:szCs w:val="24"/>
          <w:highlight w:val="none"/>
          <w:lang w:eastAsia="zh-CN"/>
        </w:rPr>
        <w:t>－</w:t>
      </w:r>
      <w:r>
        <w:rPr>
          <w:rFonts w:hint="eastAsia" w:ascii="宋体" w:hAnsi="宋体" w:eastAsia="宋体" w:cs="宋体"/>
          <w:b w:val="0"/>
          <w:bCs w:val="0"/>
          <w:snapToGrid/>
          <w:color w:val="auto"/>
          <w:kern w:val="2"/>
          <w:sz w:val="24"/>
          <w:szCs w:val="24"/>
          <w:highlight w:val="none"/>
        </w:rPr>
        <w:t>流量-开度曲线，并且在工程现场将对该曲线进行实测。若现场实测结果与厂家提供的曲线存在超过10%的负偏差，则认为阀门流量偏小，需要由阀门厂重新提供调整过的出水部件。</w:t>
      </w:r>
    </w:p>
    <w:p w14:paraId="4801942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p>
    <w:p w14:paraId="2F13509C">
      <w:pPr>
        <w:pStyle w:val="41"/>
        <w:numPr>
          <w:ilvl w:val="0"/>
          <w:numId w:val="0"/>
        </w:numPr>
        <w:kinsoku/>
        <w:topLinePunct/>
        <w:spacing w:line="360" w:lineRule="auto"/>
        <w:jc w:val="left"/>
        <w:outlineLvl w:val="1"/>
        <w:rPr>
          <w:rFonts w:hint="eastAsia" w:ascii="宋体" w:hAnsi="宋体" w:eastAsia="宋体" w:cs="宋体"/>
          <w:b/>
          <w:bCs/>
          <w:snapToGrid/>
          <w:color w:val="auto"/>
          <w:spacing w:val="0"/>
          <w:sz w:val="24"/>
          <w:szCs w:val="24"/>
          <w:highlight w:val="none"/>
          <w:lang w:val="en-US" w:eastAsia="zh-CN" w:bidi="en-US"/>
        </w:rPr>
      </w:pPr>
      <w:bookmarkStart w:id="1055" w:name="_Toc2093"/>
      <w:bookmarkStart w:id="1056" w:name="_Toc7244"/>
      <w:bookmarkStart w:id="1057" w:name="_Toc1317"/>
      <w:bookmarkStart w:id="1058" w:name="_Toc4506"/>
      <w:bookmarkStart w:id="1059" w:name="_Toc10327"/>
      <w:bookmarkStart w:id="1060" w:name="_Toc496"/>
      <w:bookmarkStart w:id="1061" w:name="_Toc3488"/>
      <w:bookmarkStart w:id="1062" w:name="_Toc31840"/>
      <w:bookmarkStart w:id="1063" w:name="_Toc6378"/>
      <w:bookmarkStart w:id="1064" w:name="_Toc23436"/>
      <w:bookmarkStart w:id="1065" w:name="_Toc15898"/>
      <w:bookmarkStart w:id="1066" w:name="_Toc13857"/>
      <w:bookmarkStart w:id="1067" w:name="_Toc14953"/>
      <w:bookmarkStart w:id="1068" w:name="_Toc32495"/>
      <w:bookmarkStart w:id="1069" w:name="_Toc15982"/>
      <w:bookmarkStart w:id="1070" w:name="_Toc24910"/>
      <w:bookmarkStart w:id="1071" w:name="_Toc1335"/>
      <w:bookmarkStart w:id="1072" w:name="_Toc8866"/>
      <w:bookmarkStart w:id="1073" w:name="_Toc7099"/>
      <w:bookmarkStart w:id="1074" w:name="_Toc12894"/>
      <w:bookmarkStart w:id="1075" w:name="_Toc1309"/>
      <w:bookmarkStart w:id="1076" w:name="_Toc4417"/>
      <w:bookmarkStart w:id="1077" w:name="_Toc29025"/>
      <w:r>
        <w:rPr>
          <w:rFonts w:hint="eastAsia" w:ascii="宋体" w:hAnsi="宋体" w:eastAsia="宋体" w:cs="宋体"/>
          <w:b/>
          <w:bCs/>
          <w:snapToGrid/>
          <w:color w:val="auto"/>
          <w:spacing w:val="0"/>
          <w:sz w:val="24"/>
          <w:szCs w:val="24"/>
          <w:highlight w:val="none"/>
          <w:lang w:val="en-US" w:eastAsia="zh-CN" w:bidi="en-US"/>
        </w:rPr>
        <w:t>六 活塞阀</w:t>
      </w:r>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p>
    <w:p w14:paraId="5DA8B2A4">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活塞阀总要求</w:t>
      </w:r>
    </w:p>
    <w:p w14:paraId="6DDA523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w:t>
      </w: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谷来分水口的活塞阀以控制流量为主，保证水泵出口的流量恒定在0.02m</w:t>
      </w:r>
      <w:r>
        <w:rPr>
          <w:rFonts w:hint="eastAsia" w:ascii="宋体" w:hAnsi="宋体" w:eastAsia="宋体" w:cs="宋体"/>
          <w:snapToGrid/>
          <w:color w:val="auto"/>
          <w:kern w:val="2"/>
          <w:sz w:val="24"/>
          <w:szCs w:val="24"/>
          <w:highlight w:val="none"/>
          <w:vertAlign w:val="baseline"/>
        </w:rPr>
        <w:t>3</w:t>
      </w:r>
      <w:r>
        <w:rPr>
          <w:rFonts w:hint="eastAsia" w:ascii="宋体" w:hAnsi="宋体" w:eastAsia="宋体" w:cs="宋体"/>
          <w:snapToGrid/>
          <w:color w:val="auto"/>
          <w:kern w:val="2"/>
          <w:sz w:val="24"/>
          <w:szCs w:val="24"/>
          <w:highlight w:val="none"/>
        </w:rPr>
        <w:t>/s。</w:t>
      </w:r>
    </w:p>
    <w:p w14:paraId="44BEA02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1.</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因嵊州分水口下游用户压力目前无法确定，因此，该分水口的2只活塞阀先不生产，等业主明确下游用户压力后，再通知阀门厂进行投产。投标人应对该阀门价格进行充分评估，本次投标的价格不随用户侧水压变化而调整。</w:t>
      </w:r>
    </w:p>
    <w:p w14:paraId="59DE0F4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供货范围及备品备件</w:t>
      </w:r>
    </w:p>
    <w:p w14:paraId="4F7E535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2.1本工程所有流量调节阀供货范围包含：阀门本体、电动操作机构、配对法兰及连接件、预埋件、备品备件、专用工具、C</w:t>
      </w:r>
      <w:r>
        <w:rPr>
          <w:rFonts w:hint="eastAsia" w:ascii="宋体" w:hAnsi="宋体" w:eastAsia="宋体" w:cs="宋体"/>
          <w:snapToGrid/>
          <w:color w:val="auto"/>
          <w:kern w:val="2"/>
          <w:sz w:val="24"/>
          <w:szCs w:val="24"/>
          <w:highlight w:val="none"/>
          <w:vertAlign w:val="baseline"/>
        </w:rPr>
        <w:t>2</w:t>
      </w:r>
      <w:r>
        <w:rPr>
          <w:rFonts w:hint="eastAsia" w:ascii="宋体" w:hAnsi="宋体" w:eastAsia="宋体" w:cs="宋体"/>
          <w:snapToGrid/>
          <w:color w:val="auto"/>
          <w:kern w:val="2"/>
          <w:sz w:val="24"/>
          <w:szCs w:val="24"/>
          <w:highlight w:val="none"/>
        </w:rPr>
        <w:t>F钢制伸缩节等。每个流量调节阀还应随设备提供正常使用和维护所需的专用工具以及在两年质保期内所需的备品备件。包括但不限于以下内容：限位开关、电源卡，以上备品备件每种相同口径阀门配一只。</w:t>
      </w:r>
    </w:p>
    <w:p w14:paraId="24E20B2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2.2 活塞阀厂家需要提供一只DN1400，长度与活塞阀+两侧大小头等长的直管段（长度在联络会上确定），内设减压孔板。孔板为可拆卸结构，孔板需要提供减压5m、10m、15m、20m、25m、30m这六种规格。</w:t>
      </w:r>
    </w:p>
    <w:p w14:paraId="1EC4A7D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2.3本工程活塞阀上游侧的十字滤管由活塞阀厂家配套提供，因厂房空间受限，本工程十字滤管出口与活塞阀进口的距离约在1000mm左右。活塞阀厂家需保证安装十字滤管后，活塞阀不出现有害的振动和噪音。其中，DN1400，1.6MPa十字滤管长度不得超过1500mm（不需要伸缩节）。</w:t>
      </w:r>
    </w:p>
    <w:p w14:paraId="614F93B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（三）其他</w:t>
      </w:r>
    </w:p>
    <w:p w14:paraId="693521C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3.1每只活塞阀必须在出厂前通过模型试验或真阀试验以验证其性能是否满足招标文件的要求。</w:t>
      </w:r>
    </w:p>
    <w:p w14:paraId="3FA3ABF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1）模型试验：若无法开展真阀试验，则通过模型试验与CFD相结合的方式进行验证。阀门厂应先制作DN300口径的模型调流阀通过试验测定其过流能力，并通过CFD技术对该模型阀门的过流能力进行模拟。当CFD模拟结果与模型试验结果一致时，认为该CFD技术满足工程要求，采用该技术对调流阀真机进行CFD模拟，用于验证其是否可以达到设计要求。</w:t>
      </w:r>
    </w:p>
    <w:p w14:paraId="156890E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2）真机试验：若具备真阀试验的能力，则通过真阀试验与CFD模拟相结合的方式验证其是否达到设计要求。应试验台压力有限，超过试验台压力范围，需要通过CFD进行预测。并将预测结果与本技术条款进行对比。</w:t>
      </w:r>
    </w:p>
    <w:p w14:paraId="305918E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CFD成果与试验成果的比对，需要召开专家验收会予以认定。经专家验收并不能免除阀门厂履行后续的质量责任，包括3.2条款中未通过现场测试的相关责任。</w:t>
      </w:r>
    </w:p>
    <w:p w14:paraId="4FB46B2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bCs w:val="0"/>
          <w:snapToGrid/>
          <w:color w:val="auto"/>
          <w:kern w:val="2"/>
          <w:sz w:val="24"/>
          <w:szCs w:val="24"/>
          <w:highlight w:val="none"/>
        </w:rPr>
      </w:pPr>
      <w:r>
        <w:rPr>
          <w:rFonts w:hint="eastAsia" w:ascii="宋体" w:hAnsi="宋体" w:eastAsia="宋体" w:cs="宋体"/>
          <w:b w:val="0"/>
          <w:bCs w:val="0"/>
          <w:snapToGrid/>
          <w:color w:val="auto"/>
          <w:kern w:val="2"/>
          <w:sz w:val="24"/>
          <w:szCs w:val="24"/>
          <w:highlight w:val="none"/>
        </w:rPr>
        <w:t>3.2厂家需对每只活塞阀提供压差</w:t>
      </w:r>
      <w:r>
        <w:rPr>
          <w:rFonts w:hint="eastAsia" w:ascii="宋体" w:hAnsi="宋体" w:eastAsia="宋体" w:cs="宋体"/>
          <w:b w:val="0"/>
          <w:bCs w:val="0"/>
          <w:snapToGrid/>
          <w:color w:val="auto"/>
          <w:kern w:val="2"/>
          <w:sz w:val="24"/>
          <w:szCs w:val="24"/>
          <w:highlight w:val="none"/>
          <w:lang w:eastAsia="zh-CN"/>
        </w:rPr>
        <w:t>－</w:t>
      </w:r>
      <w:r>
        <w:rPr>
          <w:rFonts w:hint="eastAsia" w:ascii="宋体" w:hAnsi="宋体" w:eastAsia="宋体" w:cs="宋体"/>
          <w:b w:val="0"/>
          <w:bCs w:val="0"/>
          <w:snapToGrid/>
          <w:color w:val="auto"/>
          <w:kern w:val="2"/>
          <w:sz w:val="24"/>
          <w:szCs w:val="24"/>
          <w:highlight w:val="none"/>
        </w:rPr>
        <w:t>流量-开度曲线，并且在工程现场将对该曲线进行实测。若现场实测结果与厂家提供的曲线存在超过10%的负偏差，则认为阀门流量偏小，需要由阀门厂重新提供调整过的出水部件。现场实测将在10%至90%开度范围内，在不同的压差下，选取50个测点，若其中20%的测点小于厂家提供曲线对应流量的90%，则认为出水部件不合格。</w:t>
      </w:r>
    </w:p>
    <w:p w14:paraId="78424C0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（四）性能要求</w:t>
      </w:r>
    </w:p>
    <w:p w14:paraId="0D46650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4.1活塞式调流阀公称直径不得调整。</w:t>
      </w:r>
    </w:p>
    <w:p w14:paraId="2E9407F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4.2在规定的各种调节工况、各种压差下的开启和关闭工况，调流阀均应能稳定运行，不发生有害振动。</w:t>
      </w:r>
    </w:p>
    <w:p w14:paraId="203625A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4.3在规定的调流阀中心高程（安装高程）和出口压力范围内，各种调节工况时，调流阀不发生空蚀。</w:t>
      </w:r>
    </w:p>
    <w:p w14:paraId="1328B03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4.4距阀体1m处测得的噪音值应不大于90dB（A）。</w:t>
      </w:r>
    </w:p>
    <w:p w14:paraId="2529CD6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4.5承包人应提供流量～压差～行程曲线、阻力系数～行程曲线和空蚀曲线。</w:t>
      </w:r>
    </w:p>
    <w:p w14:paraId="0A497E6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4.6活塞式调流阀采用控制系统闭环校正后的精度不低于±1%。</w:t>
      </w:r>
    </w:p>
    <w:p w14:paraId="0709F71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4.7活塞式调流阀额定流量系数的实测值与承包人规定值的偏差K不应超过±10%。</w:t>
      </w:r>
    </w:p>
    <w:p w14:paraId="749EB92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4.8活塞式调流阀的固有流量特性曲线应为近似线性。</w:t>
      </w:r>
    </w:p>
    <w:p w14:paraId="738783D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4.9每个行程点的相对流量系数偏差不应大于±10%，额定行程偏差应不大于±2.5%。以现场试验作为考核依据。若未通过现场试验，阀门厂应重新制作出水部件，并再次进行现场试验。直至满足本条的规定为止。</w:t>
      </w:r>
    </w:p>
    <w:p w14:paraId="45E6A02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4.10应能在最大压差动水工况下开启和关闭，配置的驱动装置应平稳，无卡阻和异响等现象。单程开启/关闭时间应不小于300秒。</w:t>
      </w:r>
    </w:p>
    <w:p w14:paraId="0AAE439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4.11突然失电情况下，调流阀应能够自锁保证处于失电前的调节状态。</w:t>
      </w:r>
    </w:p>
    <w:p w14:paraId="3FAFBE1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4.12使用寿命不少于30年。</w:t>
      </w:r>
    </w:p>
    <w:p w14:paraId="7813BC8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4.13采用非金属密封和复合密封的活塞式调流阀，在规定的试验时间内不应有可见泄漏；采用金属密封的活塞式调流阀，其泄漏量应不大于《工业阀门压力试验》（GB/T13927）的D级要求。</w:t>
      </w:r>
    </w:p>
    <w:p w14:paraId="4A663C9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4.14 管中段安装的活塞式调流阀，其出口端平均流速应不超过9m/s。末端安装的活塞式调流阀，其进口端平均流速应不超过15m/s。</w:t>
      </w:r>
    </w:p>
    <w:p w14:paraId="3BE6FCE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五</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调流阀本体主要部件结构</w:t>
      </w:r>
    </w:p>
    <w:p w14:paraId="2275F43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5.1总体要求</w:t>
      </w:r>
    </w:p>
    <w:p w14:paraId="6B326B7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5.1.1活塞式调流阀为手电二用，采用卧轴布置、双法兰型式。并配置电动执行器、蜗轮蜗杆齿轮传动装置以及连接件、固定件等。</w:t>
      </w:r>
    </w:p>
    <w:p w14:paraId="5371ACD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5.1.2通过活塞沿管道轴向做直线运动，实现过流面积线性变化，从而调节流量。</w:t>
      </w:r>
    </w:p>
    <w:p w14:paraId="5687BB4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5.1.3活塞应采用合理的结构，始终保证活塞前后压力相对平衡，减小大流量或高压差下阀门的驱动操作力矩。</w:t>
      </w:r>
    </w:p>
    <w:p w14:paraId="33A2BBB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5.1.4阀门应有足够的强度和刚度，在空载情况下操作3次，配置的驱动装置应能平稳地启闭活塞阀，无卡阻和异响等现象。</w:t>
      </w:r>
    </w:p>
    <w:p w14:paraId="1F3211D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5.1.5壳体试验后，不应有结构损伤及残留变形，壳体承压面和任何固定的阀体连接处不应有可见泄漏。</w:t>
      </w:r>
    </w:p>
    <w:p w14:paraId="3BD635B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5.1.6主要零部件材料不低于表2-2规定要求，承包人也可推荐优于表</w:t>
      </w:r>
      <w:r>
        <w:rPr>
          <w:rFonts w:hint="eastAsia" w:ascii="宋体" w:hAnsi="宋体" w:eastAsia="宋体" w:cs="宋体"/>
          <w:snapToGrid/>
          <w:color w:val="auto"/>
          <w:kern w:val="2"/>
          <w:sz w:val="24"/>
          <w:szCs w:val="24"/>
          <w:highlight w:val="none"/>
          <w:lang w:val="en-US" w:eastAsia="zh-CN"/>
        </w:rPr>
        <w:t>6.6.5-1</w:t>
      </w:r>
      <w:r>
        <w:rPr>
          <w:rFonts w:hint="eastAsia" w:ascii="宋体" w:hAnsi="宋体" w:eastAsia="宋体" w:cs="宋体"/>
          <w:snapToGrid/>
          <w:color w:val="auto"/>
          <w:kern w:val="2"/>
          <w:sz w:val="24"/>
          <w:szCs w:val="24"/>
          <w:highlight w:val="none"/>
        </w:rPr>
        <w:t>规定的材料。</w:t>
      </w:r>
    </w:p>
    <w:p w14:paraId="37C1326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表</w:t>
      </w:r>
      <w:r>
        <w:rPr>
          <w:rFonts w:hint="eastAsia" w:ascii="宋体" w:hAnsi="宋体" w:eastAsia="宋体" w:cs="宋体"/>
          <w:snapToGrid/>
          <w:color w:val="auto"/>
          <w:kern w:val="2"/>
          <w:sz w:val="24"/>
          <w:szCs w:val="24"/>
          <w:highlight w:val="none"/>
          <w:lang w:val="en-US" w:eastAsia="zh-CN"/>
        </w:rPr>
        <w:t>6.6.5-1</w:t>
      </w:r>
      <w:r>
        <w:rPr>
          <w:rFonts w:hint="eastAsia" w:ascii="宋体" w:hAnsi="宋体" w:eastAsia="宋体" w:cs="宋体"/>
          <w:snapToGrid/>
          <w:color w:val="auto"/>
          <w:kern w:val="2"/>
          <w:sz w:val="24"/>
          <w:szCs w:val="24"/>
          <w:highlight w:val="none"/>
        </w:rPr>
        <w:t xml:space="preserve"> </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 xml:space="preserve"> 调流阀主要零部件材料</w:t>
      </w:r>
    </w:p>
    <w:tbl>
      <w:tblPr>
        <w:tblStyle w:val="23"/>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9"/>
        <w:gridCol w:w="1983"/>
        <w:gridCol w:w="1983"/>
        <w:gridCol w:w="1983"/>
        <w:gridCol w:w="1983"/>
      </w:tblGrid>
      <w:tr w14:paraId="543D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0FBD1EE6">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983" w:type="dxa"/>
            <w:noWrap w:val="0"/>
            <w:vAlign w:val="center"/>
          </w:tcPr>
          <w:p w14:paraId="1AA22D3B">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零部件名称</w:t>
            </w:r>
          </w:p>
        </w:tc>
        <w:tc>
          <w:tcPr>
            <w:tcW w:w="1983" w:type="dxa"/>
            <w:noWrap w:val="0"/>
            <w:vAlign w:val="center"/>
          </w:tcPr>
          <w:p w14:paraId="57218D9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c>
          <w:tcPr>
            <w:tcW w:w="1983" w:type="dxa"/>
            <w:noWrap w:val="0"/>
            <w:vAlign w:val="center"/>
          </w:tcPr>
          <w:p w14:paraId="2000EE0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牌号</w:t>
            </w:r>
          </w:p>
        </w:tc>
        <w:tc>
          <w:tcPr>
            <w:tcW w:w="1983" w:type="dxa"/>
            <w:noWrap w:val="0"/>
            <w:vAlign w:val="center"/>
          </w:tcPr>
          <w:p w14:paraId="6F72A61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标准号</w:t>
            </w:r>
          </w:p>
        </w:tc>
      </w:tr>
      <w:tr w14:paraId="23CDF2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35066AED">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983" w:type="dxa"/>
            <w:noWrap w:val="0"/>
            <w:vAlign w:val="center"/>
          </w:tcPr>
          <w:p w14:paraId="43C21E1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z w:val="24"/>
                <w:szCs w:val="24"/>
                <w:highlight w:val="none"/>
              </w:rPr>
              <w:t>阀体</w:t>
            </w:r>
          </w:p>
        </w:tc>
        <w:tc>
          <w:tcPr>
            <w:tcW w:w="1983" w:type="dxa"/>
            <w:noWrap w:val="0"/>
            <w:vAlign w:val="center"/>
          </w:tcPr>
          <w:p w14:paraId="1E68FA5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球墨铸铁</w:t>
            </w:r>
          </w:p>
        </w:tc>
        <w:tc>
          <w:tcPr>
            <w:tcW w:w="1983" w:type="dxa"/>
            <w:noWrap w:val="0"/>
            <w:vAlign w:val="center"/>
          </w:tcPr>
          <w:p w14:paraId="2024488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QT450-10</w:t>
            </w:r>
          </w:p>
        </w:tc>
        <w:tc>
          <w:tcPr>
            <w:tcW w:w="1983" w:type="dxa"/>
            <w:noWrap w:val="0"/>
            <w:vAlign w:val="center"/>
          </w:tcPr>
          <w:p w14:paraId="3BBD05F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GB/T12227</w:t>
            </w:r>
          </w:p>
        </w:tc>
      </w:tr>
      <w:tr w14:paraId="5037B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3BCF5F30">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983" w:type="dxa"/>
            <w:noWrap w:val="0"/>
            <w:vAlign w:val="center"/>
          </w:tcPr>
          <w:p w14:paraId="665DDE0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活塞</w:t>
            </w:r>
          </w:p>
        </w:tc>
        <w:tc>
          <w:tcPr>
            <w:tcW w:w="1983" w:type="dxa"/>
            <w:noWrap w:val="0"/>
            <w:vAlign w:val="center"/>
          </w:tcPr>
          <w:p w14:paraId="2801D10D">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不锈钢</w:t>
            </w:r>
          </w:p>
        </w:tc>
        <w:tc>
          <w:tcPr>
            <w:tcW w:w="1983" w:type="dxa"/>
            <w:noWrap w:val="0"/>
            <w:vAlign w:val="center"/>
          </w:tcPr>
          <w:p w14:paraId="30082683">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022Cr17Ni14Mo2</w:t>
            </w:r>
          </w:p>
        </w:tc>
        <w:tc>
          <w:tcPr>
            <w:tcW w:w="1983" w:type="dxa"/>
            <w:noWrap w:val="0"/>
            <w:vAlign w:val="center"/>
          </w:tcPr>
          <w:p w14:paraId="4D8945C6">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GB/T1220</w:t>
            </w:r>
          </w:p>
        </w:tc>
      </w:tr>
      <w:tr w14:paraId="320E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2F8011F7">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3</w:t>
            </w:r>
          </w:p>
        </w:tc>
        <w:tc>
          <w:tcPr>
            <w:tcW w:w="1983" w:type="dxa"/>
            <w:noWrap w:val="0"/>
            <w:vAlign w:val="center"/>
          </w:tcPr>
          <w:p w14:paraId="39FFA15B">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节流元件</w:t>
            </w:r>
          </w:p>
        </w:tc>
        <w:tc>
          <w:tcPr>
            <w:tcW w:w="1983" w:type="dxa"/>
            <w:noWrap w:val="0"/>
            <w:vAlign w:val="center"/>
          </w:tcPr>
          <w:p w14:paraId="26D5937B">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不锈钢</w:t>
            </w:r>
          </w:p>
        </w:tc>
        <w:tc>
          <w:tcPr>
            <w:tcW w:w="1983" w:type="dxa"/>
            <w:noWrap w:val="0"/>
            <w:vAlign w:val="center"/>
          </w:tcPr>
          <w:p w14:paraId="5428B3C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022Cr17Ni14Mo2</w:t>
            </w:r>
          </w:p>
        </w:tc>
        <w:tc>
          <w:tcPr>
            <w:tcW w:w="1983" w:type="dxa"/>
            <w:noWrap w:val="0"/>
            <w:vAlign w:val="center"/>
          </w:tcPr>
          <w:p w14:paraId="11654B0C">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GB/T1220</w:t>
            </w:r>
          </w:p>
        </w:tc>
      </w:tr>
      <w:tr w14:paraId="29ED7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4E97F7EF">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4</w:t>
            </w:r>
          </w:p>
        </w:tc>
        <w:tc>
          <w:tcPr>
            <w:tcW w:w="1983" w:type="dxa"/>
            <w:noWrap w:val="0"/>
            <w:vAlign w:val="center"/>
          </w:tcPr>
          <w:p w14:paraId="65453790">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4"/>
                <w:sz w:val="24"/>
                <w:szCs w:val="24"/>
                <w:highlight w:val="none"/>
              </w:rPr>
              <w:t>阀座</w:t>
            </w:r>
          </w:p>
        </w:tc>
        <w:tc>
          <w:tcPr>
            <w:tcW w:w="1983" w:type="dxa"/>
            <w:noWrap w:val="0"/>
            <w:vAlign w:val="center"/>
          </w:tcPr>
          <w:p w14:paraId="775C07BC">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不锈钢</w:t>
            </w:r>
          </w:p>
        </w:tc>
        <w:tc>
          <w:tcPr>
            <w:tcW w:w="1983" w:type="dxa"/>
            <w:noWrap w:val="0"/>
            <w:vAlign w:val="center"/>
          </w:tcPr>
          <w:p w14:paraId="79E34DBC">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1"/>
                <w:position w:val="10"/>
                <w:sz w:val="24"/>
                <w:szCs w:val="24"/>
                <w:highlight w:val="none"/>
              </w:rPr>
              <w:t>06Cr19Ni10</w:t>
            </w:r>
          </w:p>
        </w:tc>
        <w:tc>
          <w:tcPr>
            <w:tcW w:w="1983" w:type="dxa"/>
            <w:noWrap w:val="0"/>
            <w:vAlign w:val="center"/>
          </w:tcPr>
          <w:p w14:paraId="280FC38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4"/>
                <w:sz w:val="24"/>
                <w:szCs w:val="24"/>
                <w:highlight w:val="none"/>
              </w:rPr>
              <w:t>GB/T1220</w:t>
            </w:r>
          </w:p>
        </w:tc>
      </w:tr>
      <w:tr w14:paraId="4BCDC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64F7AB62">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983" w:type="dxa"/>
            <w:noWrap w:val="0"/>
            <w:vAlign w:val="center"/>
          </w:tcPr>
          <w:p w14:paraId="396E0E97">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阀杆及连接销</w:t>
            </w:r>
          </w:p>
        </w:tc>
        <w:tc>
          <w:tcPr>
            <w:tcW w:w="1983" w:type="dxa"/>
            <w:noWrap w:val="0"/>
            <w:vAlign w:val="center"/>
          </w:tcPr>
          <w:p w14:paraId="24B7A5D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铬不锈钢</w:t>
            </w:r>
          </w:p>
        </w:tc>
        <w:tc>
          <w:tcPr>
            <w:tcW w:w="1983" w:type="dxa"/>
            <w:noWrap w:val="0"/>
            <w:vAlign w:val="center"/>
          </w:tcPr>
          <w:p w14:paraId="02808A3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12Cr13、20Cr13</w:t>
            </w:r>
          </w:p>
        </w:tc>
        <w:tc>
          <w:tcPr>
            <w:tcW w:w="1983" w:type="dxa"/>
            <w:noWrap w:val="0"/>
            <w:vAlign w:val="center"/>
          </w:tcPr>
          <w:p w14:paraId="5B6A80D8">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GB/T1220</w:t>
            </w:r>
          </w:p>
        </w:tc>
      </w:tr>
      <w:tr w14:paraId="62925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019671D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983" w:type="dxa"/>
            <w:noWrap w:val="0"/>
            <w:vAlign w:val="center"/>
          </w:tcPr>
          <w:p w14:paraId="41630805">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4"/>
                <w:sz w:val="24"/>
                <w:szCs w:val="24"/>
                <w:highlight w:val="none"/>
              </w:rPr>
              <w:t>导轨</w:t>
            </w:r>
          </w:p>
        </w:tc>
        <w:tc>
          <w:tcPr>
            <w:tcW w:w="1983" w:type="dxa"/>
            <w:noWrap w:val="0"/>
            <w:vAlign w:val="center"/>
          </w:tcPr>
          <w:p w14:paraId="2742D795">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锡青铜</w:t>
            </w:r>
          </w:p>
        </w:tc>
        <w:tc>
          <w:tcPr>
            <w:tcW w:w="1983" w:type="dxa"/>
            <w:noWrap w:val="0"/>
            <w:vAlign w:val="center"/>
          </w:tcPr>
          <w:p w14:paraId="4539AC2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ZCuSn5Pb5Zn5</w:t>
            </w:r>
          </w:p>
        </w:tc>
        <w:tc>
          <w:tcPr>
            <w:tcW w:w="1983" w:type="dxa"/>
            <w:noWrap w:val="0"/>
            <w:vAlign w:val="center"/>
          </w:tcPr>
          <w:p w14:paraId="71C26F9F">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GB/T1176</w:t>
            </w:r>
          </w:p>
        </w:tc>
      </w:tr>
      <w:tr w14:paraId="03044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15E6C890">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983" w:type="dxa"/>
            <w:noWrap w:val="0"/>
            <w:vAlign w:val="center"/>
          </w:tcPr>
          <w:p w14:paraId="1D01D60B">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曲柄、连杆</w:t>
            </w:r>
          </w:p>
        </w:tc>
        <w:tc>
          <w:tcPr>
            <w:tcW w:w="1983" w:type="dxa"/>
            <w:noWrap w:val="0"/>
            <w:vAlign w:val="center"/>
          </w:tcPr>
          <w:p w14:paraId="0316D7C1">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铬不锈钢</w:t>
            </w:r>
          </w:p>
        </w:tc>
        <w:tc>
          <w:tcPr>
            <w:tcW w:w="1983" w:type="dxa"/>
            <w:noWrap w:val="0"/>
            <w:vAlign w:val="center"/>
          </w:tcPr>
          <w:p w14:paraId="53E5042C">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2"/>
                <w:sz w:val="24"/>
                <w:szCs w:val="24"/>
                <w:highlight w:val="none"/>
              </w:rPr>
              <w:t>20Cr13</w:t>
            </w:r>
          </w:p>
        </w:tc>
        <w:tc>
          <w:tcPr>
            <w:tcW w:w="1983" w:type="dxa"/>
            <w:noWrap w:val="0"/>
            <w:vAlign w:val="center"/>
          </w:tcPr>
          <w:p w14:paraId="2BDEC37B">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rPr>
              <w:t>GB/T1220</w:t>
            </w:r>
          </w:p>
        </w:tc>
      </w:tr>
      <w:tr w14:paraId="71841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39E7CAB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983" w:type="dxa"/>
            <w:noWrap w:val="0"/>
            <w:vAlign w:val="center"/>
          </w:tcPr>
          <w:p w14:paraId="4A1394B2">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阀杆轴承</w:t>
            </w:r>
          </w:p>
        </w:tc>
        <w:tc>
          <w:tcPr>
            <w:tcW w:w="1983" w:type="dxa"/>
            <w:noWrap w:val="0"/>
            <w:vAlign w:val="center"/>
          </w:tcPr>
          <w:p w14:paraId="47765717">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自润滑硬质青铜</w:t>
            </w:r>
          </w:p>
        </w:tc>
        <w:tc>
          <w:tcPr>
            <w:tcW w:w="1983" w:type="dxa"/>
            <w:noWrap w:val="0"/>
            <w:vAlign w:val="center"/>
          </w:tcPr>
          <w:p w14:paraId="2AAC6BA0">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G-CuSn10</w:t>
            </w:r>
          </w:p>
        </w:tc>
        <w:tc>
          <w:tcPr>
            <w:tcW w:w="1983" w:type="dxa"/>
            <w:noWrap w:val="0"/>
            <w:vAlign w:val="center"/>
          </w:tcPr>
          <w:p w14:paraId="342E9716">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r>
      <w:tr w14:paraId="2718C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752A3440">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983" w:type="dxa"/>
            <w:noWrap w:val="0"/>
            <w:vAlign w:val="center"/>
          </w:tcPr>
          <w:p w14:paraId="200F435E">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4"/>
                <w:sz w:val="24"/>
                <w:szCs w:val="24"/>
                <w:highlight w:val="none"/>
              </w:rPr>
              <w:t>阀杆密封</w:t>
            </w:r>
          </w:p>
        </w:tc>
        <w:tc>
          <w:tcPr>
            <w:tcW w:w="1983" w:type="dxa"/>
            <w:noWrap w:val="0"/>
            <w:vAlign w:val="center"/>
          </w:tcPr>
          <w:p w14:paraId="15C52A95">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橡胶</w:t>
            </w:r>
          </w:p>
        </w:tc>
        <w:tc>
          <w:tcPr>
            <w:tcW w:w="1983" w:type="dxa"/>
            <w:noWrap w:val="0"/>
            <w:vAlign w:val="center"/>
          </w:tcPr>
          <w:p w14:paraId="5B1DAFC3">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EPDM</w:t>
            </w:r>
          </w:p>
        </w:tc>
        <w:tc>
          <w:tcPr>
            <w:tcW w:w="1983" w:type="dxa"/>
            <w:noWrap w:val="0"/>
            <w:vAlign w:val="center"/>
          </w:tcPr>
          <w:p w14:paraId="756B2AB9">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r>
      <w:tr w14:paraId="31639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7D5D5A6E">
            <w:pPr>
              <w:keepNext w:val="0"/>
              <w:keepLines w:val="0"/>
              <w:pageBreakBefore w:val="0"/>
              <w:widowControl/>
              <w:kinsoku/>
              <w:wordWrap/>
              <w:overflowPunct/>
              <w:topLinePunct/>
              <w:autoSpaceDE w:val="0"/>
              <w:autoSpaceDN w:val="0"/>
              <w:bidi w:val="0"/>
              <w:adjustRightInd w:val="0"/>
              <w:snapToGrid w:val="0"/>
              <w:spacing w:before="96"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983" w:type="dxa"/>
            <w:noWrap w:val="0"/>
            <w:vAlign w:val="center"/>
          </w:tcPr>
          <w:p w14:paraId="7516325F">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1"/>
                <w:sz w:val="24"/>
                <w:szCs w:val="24"/>
                <w:highlight w:val="none"/>
              </w:rPr>
            </w:pPr>
            <w:r>
              <w:rPr>
                <w:rFonts w:hint="eastAsia" w:ascii="宋体" w:hAnsi="宋体" w:eastAsia="宋体" w:cs="宋体"/>
                <w:snapToGrid w:val="0"/>
                <w:color w:val="auto"/>
                <w:spacing w:val="4"/>
                <w:sz w:val="24"/>
                <w:szCs w:val="24"/>
                <w:highlight w:val="none"/>
                <w:lang w:eastAsia="en-US"/>
              </w:rPr>
              <w:t>主密封</w:t>
            </w:r>
          </w:p>
        </w:tc>
        <w:tc>
          <w:tcPr>
            <w:tcW w:w="1983" w:type="dxa"/>
            <w:noWrap w:val="0"/>
            <w:vAlign w:val="center"/>
          </w:tcPr>
          <w:p w14:paraId="462063A5">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橡胶</w:t>
            </w:r>
          </w:p>
        </w:tc>
        <w:tc>
          <w:tcPr>
            <w:tcW w:w="1983" w:type="dxa"/>
            <w:noWrap w:val="0"/>
            <w:vAlign w:val="center"/>
          </w:tcPr>
          <w:p w14:paraId="18A6CF00">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EPDM</w:t>
            </w:r>
          </w:p>
        </w:tc>
        <w:tc>
          <w:tcPr>
            <w:tcW w:w="1983" w:type="dxa"/>
            <w:noWrap w:val="0"/>
            <w:vAlign w:val="center"/>
          </w:tcPr>
          <w:p w14:paraId="3322D386">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r>
      <w:tr w14:paraId="31E9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noWrap w:val="0"/>
            <w:vAlign w:val="center"/>
          </w:tcPr>
          <w:p w14:paraId="358A5EC7">
            <w:pPr>
              <w:keepNext w:val="0"/>
              <w:keepLines w:val="0"/>
              <w:pageBreakBefore w:val="0"/>
              <w:widowControl/>
              <w:kinsoku/>
              <w:wordWrap/>
              <w:overflowPunct/>
              <w:topLinePunct/>
              <w:autoSpaceDE w:val="0"/>
              <w:autoSpaceDN w:val="0"/>
              <w:bidi w:val="0"/>
              <w:adjustRightInd w:val="0"/>
              <w:snapToGrid w:val="0"/>
              <w:spacing w:before="96" w:line="360" w:lineRule="auto"/>
              <w:ind w:firstLine="0" w:firstLineChars="0"/>
              <w:jc w:val="center"/>
              <w:textAlignment w:val="baseline"/>
              <w:rPr>
                <w:rFonts w:hint="eastAsia" w:ascii="宋体" w:hAnsi="宋体" w:eastAsia="宋体" w:cs="宋体"/>
                <w:snapToGrid w:val="0"/>
                <w:color w:val="auto"/>
                <w:spacing w:val="4"/>
                <w:sz w:val="24"/>
                <w:szCs w:val="24"/>
                <w:highlight w:val="none"/>
              </w:rPr>
            </w:pPr>
            <w:r>
              <w:rPr>
                <w:rFonts w:hint="eastAsia" w:ascii="宋体" w:hAnsi="宋体" w:eastAsia="宋体" w:cs="宋体"/>
                <w:snapToGrid w:val="0"/>
                <w:color w:val="auto"/>
                <w:spacing w:val="4"/>
                <w:sz w:val="24"/>
                <w:szCs w:val="24"/>
                <w:highlight w:val="none"/>
              </w:rPr>
              <w:t>11</w:t>
            </w:r>
          </w:p>
        </w:tc>
        <w:tc>
          <w:tcPr>
            <w:tcW w:w="1983" w:type="dxa"/>
            <w:noWrap w:val="0"/>
            <w:vAlign w:val="center"/>
          </w:tcPr>
          <w:p w14:paraId="1EB7F184">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活塞动密封</w:t>
            </w:r>
          </w:p>
        </w:tc>
        <w:tc>
          <w:tcPr>
            <w:tcW w:w="1983" w:type="dxa"/>
            <w:noWrap w:val="0"/>
            <w:vAlign w:val="center"/>
          </w:tcPr>
          <w:p w14:paraId="34271065">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橡胶</w:t>
            </w:r>
          </w:p>
        </w:tc>
        <w:tc>
          <w:tcPr>
            <w:tcW w:w="1983" w:type="dxa"/>
            <w:noWrap w:val="0"/>
            <w:vAlign w:val="center"/>
          </w:tcPr>
          <w:p w14:paraId="5E730B9C">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EPDM</w:t>
            </w:r>
          </w:p>
        </w:tc>
        <w:tc>
          <w:tcPr>
            <w:tcW w:w="1983" w:type="dxa"/>
            <w:noWrap w:val="0"/>
            <w:vAlign w:val="center"/>
          </w:tcPr>
          <w:p w14:paraId="6BB910FE">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r>
      <w:tr w14:paraId="3B6E2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09" w:type="dxa"/>
            <w:noWrap w:val="0"/>
            <w:vAlign w:val="center"/>
          </w:tcPr>
          <w:p w14:paraId="5E815335">
            <w:pPr>
              <w:keepNext w:val="0"/>
              <w:keepLines w:val="0"/>
              <w:pageBreakBefore w:val="0"/>
              <w:widowControl/>
              <w:kinsoku/>
              <w:wordWrap/>
              <w:overflowPunct/>
              <w:topLinePunct/>
              <w:autoSpaceDE w:val="0"/>
              <w:autoSpaceDN w:val="0"/>
              <w:bidi w:val="0"/>
              <w:adjustRightInd w:val="0"/>
              <w:snapToGrid w:val="0"/>
              <w:spacing w:before="96" w:line="360" w:lineRule="auto"/>
              <w:ind w:firstLine="0" w:firstLineChars="0"/>
              <w:jc w:val="center"/>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12</w:t>
            </w:r>
          </w:p>
        </w:tc>
        <w:tc>
          <w:tcPr>
            <w:tcW w:w="1983" w:type="dxa"/>
            <w:noWrap w:val="0"/>
            <w:vAlign w:val="center"/>
          </w:tcPr>
          <w:p w14:paraId="3CE5AE9C">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2"/>
                <w:sz w:val="24"/>
                <w:szCs w:val="24"/>
                <w:highlight w:val="none"/>
              </w:rPr>
              <w:t>与水接触的紧固件</w:t>
            </w:r>
          </w:p>
        </w:tc>
        <w:tc>
          <w:tcPr>
            <w:tcW w:w="1983" w:type="dxa"/>
            <w:noWrap w:val="0"/>
            <w:vAlign w:val="center"/>
          </w:tcPr>
          <w:p w14:paraId="54DBAF5C">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3"/>
                <w:sz w:val="24"/>
                <w:szCs w:val="24"/>
                <w:highlight w:val="none"/>
              </w:rPr>
            </w:pPr>
            <w:r>
              <w:rPr>
                <w:rFonts w:hint="eastAsia" w:ascii="宋体" w:hAnsi="宋体" w:eastAsia="宋体" w:cs="宋体"/>
                <w:color w:val="auto"/>
                <w:spacing w:val="3"/>
                <w:sz w:val="24"/>
                <w:szCs w:val="24"/>
                <w:highlight w:val="none"/>
              </w:rPr>
              <w:t>不锈钢</w:t>
            </w:r>
          </w:p>
        </w:tc>
        <w:tc>
          <w:tcPr>
            <w:tcW w:w="1983" w:type="dxa"/>
            <w:noWrap w:val="0"/>
            <w:vAlign w:val="center"/>
          </w:tcPr>
          <w:p w14:paraId="65D668D0">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1"/>
                <w:position w:val="10"/>
                <w:sz w:val="24"/>
                <w:szCs w:val="24"/>
                <w:highlight w:val="none"/>
              </w:rPr>
            </w:pPr>
            <w:r>
              <w:rPr>
                <w:rFonts w:hint="eastAsia" w:ascii="宋体" w:hAnsi="宋体" w:eastAsia="宋体" w:cs="宋体"/>
                <w:color w:val="auto"/>
                <w:spacing w:val="-1"/>
                <w:sz w:val="24"/>
                <w:szCs w:val="24"/>
                <w:highlight w:val="none"/>
              </w:rPr>
              <w:t>A2-70</w:t>
            </w:r>
          </w:p>
        </w:tc>
        <w:tc>
          <w:tcPr>
            <w:tcW w:w="1983" w:type="dxa"/>
            <w:noWrap w:val="0"/>
            <w:vAlign w:val="center"/>
          </w:tcPr>
          <w:p w14:paraId="6B122FB6">
            <w:pPr>
              <w:keepNext w:val="0"/>
              <w:keepLines w:val="0"/>
              <w:pageBreakBefore w:val="0"/>
              <w:widowControl w:val="0"/>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宋体" w:hAnsi="宋体" w:eastAsia="宋体" w:cs="宋体"/>
                <w:color w:val="auto"/>
                <w:spacing w:val="-4"/>
                <w:sz w:val="24"/>
                <w:szCs w:val="24"/>
                <w:highlight w:val="none"/>
              </w:rPr>
            </w:pPr>
            <w:r>
              <w:rPr>
                <w:rFonts w:hint="eastAsia" w:ascii="宋体" w:hAnsi="宋体" w:eastAsia="宋体" w:cs="宋体"/>
                <w:color w:val="auto"/>
                <w:spacing w:val="-2"/>
                <w:sz w:val="24"/>
                <w:szCs w:val="24"/>
                <w:highlight w:val="none"/>
              </w:rPr>
              <w:t>GB/T3098.6</w:t>
            </w:r>
          </w:p>
        </w:tc>
      </w:tr>
    </w:tbl>
    <w:p w14:paraId="3D78AE8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 阀体</w:t>
      </w:r>
    </w:p>
    <w:p w14:paraId="21EEE10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5.2.1 阀体采用整体铸造，材质不低于QT450-10，化学成分和机械性能不低于《通用阀门 球墨铸铁件技术条件》（GB/T1227）的规定要求。</w:t>
      </w:r>
    </w:p>
    <w:p w14:paraId="64FC233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5.2.2 流道应设计为轴对称形，阀腔内从入口到出口截面应为连续环状流道，避免流体通过时产生紊流，保证流态对称稳定。流道的出口处向轴心收缩，从而使流体的流速渐升，在运行水头范围内避免产生空蚀。</w:t>
      </w:r>
    </w:p>
    <w:p w14:paraId="069BC2F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5.2.3 阀体采用整铸结构时，其最小壁厚应符合《活塞式调流阀》（JB14314）附录A的规定。</w:t>
      </w:r>
    </w:p>
    <w:p w14:paraId="41C2067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5.2.4 阀体上应设有排气孔、排污孔、地脚孔及吊环。</w:t>
      </w:r>
    </w:p>
    <w:p w14:paraId="2C3F800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5.2.5 导轨可采用镶嵌结构或堆焊结构。</w:t>
      </w:r>
    </w:p>
    <w:p w14:paraId="1247B7A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5.2.6 阀体结构长度公差按《金属阀门结构长度》（GB/T12221）的规定执行。</w:t>
      </w:r>
    </w:p>
    <w:p w14:paraId="2B85798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5.2.7 铸铁法兰的连接尺寸和密封面形式按《整体铸铁法兰》（GB/T17241.6）的规定执行。铸造阀体法兰背面应按《紧固件 六角螺栓和六角螺母沉孔》（GB/T152.4）的规定锪平。</w:t>
      </w:r>
    </w:p>
    <w:p w14:paraId="7A020A0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5.2.8 采用铸造成型的阀体，公称直径、公称压力、阀体材料代号、流向、炉号、制造厂名或商标应标记在阀体上。</w:t>
      </w:r>
    </w:p>
    <w:p w14:paraId="5158FFE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5.2.9 阀体内外防腐采用三元乙丙环氧树脂高压静电喷涂，涂层厚度不少于0.25mm。所有涂层均无任何毒副作用，满足饮用水质安全标准。涂层经过厚度测试、绝缘性测试、抗冲击性能测试、附着性测试、黏附强度测试及网格测试，确保防腐质量。</w:t>
      </w:r>
    </w:p>
    <w:p w14:paraId="74BB4E3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 活塞</w:t>
      </w:r>
    </w:p>
    <w:p w14:paraId="15FAF45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5.3.1 活塞采用整体铸造，材质不低于022Cr17Ni14Mo2不锈钢，化学成分和机械性能不低于《通用阀门不锈钢铸件技术条件》（GB/T1230）的规定要求。</w:t>
      </w:r>
    </w:p>
    <w:p w14:paraId="04F063A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5.3.2 活塞由内置的曲柄连杆机构驱动和阀体内部导轨引导，将曲柄连杆机构稳定的旋转运动转换为先快后慢的轴向运动，以递减方式改变出口环状节流面的大小，并保持活塞运动的平稳性和灵活性，关闭时不得产生任何水锤和冲击，活塞的运动也不得受到沉淀物的影响。</w:t>
      </w:r>
    </w:p>
    <w:p w14:paraId="208FDF6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5.3.3 活塞外表面应光滑，活塞与动密封圈接触位置的表面粗糙度Ra值不大于0.8μm, 不应具有凹坑、裂纹等缺陷以免损坏活塞动密封圈。</w:t>
      </w:r>
    </w:p>
    <w:p w14:paraId="4B56EF0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5.3.4 活塞应根据压差和运行工况等，由承包人选择合适的节流元件。</w:t>
      </w:r>
    </w:p>
    <w:p w14:paraId="1114914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5.3.5 节流元件应具有过流能力强，能防止杂物阻塞。并能将气泡限制在流体中央，防止气泡在阀门和管道压力恢复区的管壁失稳破裂，导致阀门或管道破坏。节流元件应能在现场更换。</w:t>
      </w:r>
    </w:p>
    <w:p w14:paraId="52A8055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5.3.6 活塞应考虑外压失稳条件进行设计。为减小操作力矩，活塞采用压力平衡式。</w:t>
      </w:r>
    </w:p>
    <w:p w14:paraId="535F0A1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 阀座</w:t>
      </w:r>
    </w:p>
    <w:p w14:paraId="0DCEBF9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 阀座采用整体不锈钢加工而成，也可采用表面堆焊不锈钢结构。密封副采用金属密封结构时，阀座与其相对密封面的硬度差应不小于50HBW。</w:t>
      </w:r>
    </w:p>
    <w:p w14:paraId="395F0AD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5.4.2 对于堆焊阀座，加工后其堆焊层厚度应不小于2mm，堆焊后应充分消除应力。</w:t>
      </w:r>
    </w:p>
    <w:p w14:paraId="76CBF7B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 阀杆及阀杆轴承</w:t>
      </w:r>
    </w:p>
    <w:p w14:paraId="52E5CCC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 阀杆应具有足够刚度。能承受最大压差下产生1.5倍负荷和驱动装置输出的最大负荷。</w:t>
      </w:r>
    </w:p>
    <w:p w14:paraId="619D6C9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5.5.2 阀杆与轴承、阀杆与阀杆密封接触位置表面粗糙度 Ra值不大于0.8μm。</w:t>
      </w:r>
    </w:p>
    <w:p w14:paraId="629FDB3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5.5.3 阀体上应设有多点支撑滑动轴承以增强对阀杆的支撑，阀杆应运动灵活。</w:t>
      </w:r>
    </w:p>
    <w:p w14:paraId="03C914F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5.5.4 阀杆轴承具有耐磨损、耐锈蚀的性能，且能承受阀杆传递的最大载荷。</w:t>
      </w:r>
    </w:p>
    <w:p w14:paraId="04D0CC6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5.5.5 穿过阀体与驱动装置连接的阀杆应设置阀杆密封。阀杆密封可采用“V”型、  “O”型填料密封或其他成形填料。采用“O”型密封圈时，应将其安装在可拆卸的耐腐性能不低于阀体材料的轴承套槽内。当采用“V”填料密封时，应能从阀体外部预紧。</w:t>
      </w:r>
    </w:p>
    <w:p w14:paraId="6ADE8C9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5.5.6 压盖螺栓应穿过压盖孔，不准许在压盖上使用开口槽。</w:t>
      </w:r>
    </w:p>
    <w:p w14:paraId="502FC90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5.5.7 当驱动装置拆除时，阀杆密封应具有密封能力，保持阀杆密封不泄漏。</w:t>
      </w:r>
    </w:p>
    <w:p w14:paraId="6BADB71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5.5.8 阀杆密封应在20℃时允许最大工作压力的1.1倍下无泄漏。</w:t>
      </w:r>
    </w:p>
    <w:p w14:paraId="1E553F5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 主密封和活塞动密封</w:t>
      </w:r>
    </w:p>
    <w:p w14:paraId="7ADA6B8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5.6.1 调流阀密封应能达到气泡级密封，零泄漏。</w:t>
      </w:r>
    </w:p>
    <w:p w14:paraId="1DA7712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5.6.2 活塞与阀体的主密封采用金属与金属、金属与橡胶密封的双重密封，主密封圈由夹持环固定，并与夹持环截面形成防吹出结构。</w:t>
      </w:r>
    </w:p>
    <w:p w14:paraId="20B173D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5.6.3 主密封圈可设置在阀体上，也可设置在活塞上。当主密封圈设置在活塞上时，宜同时采用可更换节流元件结构。</w:t>
      </w:r>
    </w:p>
    <w:p w14:paraId="4F6C86E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5.6.4 活塞动密封宜采用X形密封圈、Y形密封圈、U形密封圈、YX 形密封圈等具有自密封能力的结构。活塞动密封宜采用两道密封，其中一道可采用0形圈。</w:t>
      </w:r>
    </w:p>
    <w:p w14:paraId="2ED4D21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5.6.5 活塞动密封，在关闭时具有自增加密封效果，运行时可防止密封圈卷曲变形。</w:t>
      </w:r>
    </w:p>
    <w:p w14:paraId="51E9C0C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5.6.6 橡胶密封圈应采用优质实心高硬度橡胶材料，整体硫化，无缝连接，橡胶密封圈的使用寿命应达到阀门启闭10000次以上不损坏、无渗漏，应有良好的耐磨性、抗腐  蚀性、抗冲击性、抗微生物侵蚀及抗老化</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30年以上</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等性能。</w:t>
      </w:r>
    </w:p>
    <w:p w14:paraId="3E3071F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5.7 曲柄连杆传动机构</w:t>
      </w:r>
    </w:p>
    <w:p w14:paraId="1F12E50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5.7.1 曲柄连杆传动机构应能承受活塞在1.5倍最大压差下启闭时的载荷。</w:t>
      </w:r>
    </w:p>
    <w:p w14:paraId="2D17DB5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5.7.2 连接销应设置可靠的防松机构。</w:t>
      </w:r>
    </w:p>
    <w:p w14:paraId="026F24D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5.7.3 曲柄与连杆、连杆与内连接盘</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导向活塞</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的端面间隙应合理设置，以防止运动干涉。</w:t>
      </w:r>
    </w:p>
    <w:p w14:paraId="774614B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六</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驱动装置</w:t>
      </w:r>
    </w:p>
    <w:p w14:paraId="7F0F9D7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 总体要求</w:t>
      </w:r>
    </w:p>
    <w:p w14:paraId="6BBB681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 驱动装置采用手电动操作方式。主要由电动执行器、蜗轮蜗杆传动机构、行程控制机构、开度指示机构、手-电动切换机构和手轮等组成。</w:t>
      </w:r>
    </w:p>
    <w:p w14:paraId="5DF8604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驱动装置应适应于-30～70℃温度，相对湿度10%～95%的环境中连续稳定运行。</w:t>
      </w:r>
    </w:p>
    <w:p w14:paraId="50E6BEA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6.1.3 驱动装置（包含电动机、蜗轮蜗杆传动机构、电气控制单元和自动化元件等）的防护等级不低于IP68。</w:t>
      </w:r>
    </w:p>
    <w:p w14:paraId="7B5669E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6.1.4 驱动装置应能保证活塞阀在最大允许工作压差和最大流速工况下正常操作，输出扭矩应不小于阀门最大压差工况下操作扭矩的1.25倍。</w:t>
      </w:r>
    </w:p>
    <w:p w14:paraId="16C4BBC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6.1.5 采用智能型一体化电动执行器，应为原理完善、工艺先进、性能可靠的定型产品，保证调流阀在任意位置运行不出现蠕动和颤动等现象。</w:t>
      </w:r>
    </w:p>
    <w:p w14:paraId="24DC6DD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6.1.6 进出线均集中在一处，并通过接线端子引入和引出。</w:t>
      </w:r>
    </w:p>
    <w:p w14:paraId="2F7997A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6.1.7电动执行器允许接通次数不低于1200次/h。根据VDE 0530/ IEC34，电动机短时负载S4</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25分钟，可频繁启动。</w:t>
      </w:r>
    </w:p>
    <w:p w14:paraId="0784A1B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6.1.8 与调流阀体连接法兰或二级驱动装置的连接尺寸应符合《部分回转阀门驱动装置的连接》（GB/T 12223）的规定。</w:t>
      </w:r>
    </w:p>
    <w:p w14:paraId="3F63E4D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6.1.9 用手轮操作活塞阀，应设计成顺时针方向转动时使活塞阀关闭。手轮的轮缘或轮芯上应设置明显的指示阀门关闭方向的箭头和“关”字。</w:t>
      </w:r>
    </w:p>
    <w:p w14:paraId="470A972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 功能</w:t>
      </w:r>
    </w:p>
    <w:p w14:paraId="56A006E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6.2.1 电气控制单元与电动执行器集成为一体。控制单元包括现场操作按钮、指示灯、带锁选择开关和液晶显示等。</w:t>
      </w:r>
    </w:p>
    <w:p w14:paraId="697A80D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6.2.2 电动执行器含有内置的控制单元和数据记录器，可记录阀门及执行机构的运行情况及设备信息。</w:t>
      </w:r>
    </w:p>
    <w:p w14:paraId="0738FA6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6.2.3 具有过力矩保护、温度保护、全开全关报警和其它报警等功能。</w:t>
      </w:r>
    </w:p>
    <w:p w14:paraId="68FEAD8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6.2.4 现场控制面板采用自带电源的液晶显示屏，确保外供电断电时仍能正常显示。</w:t>
      </w:r>
    </w:p>
    <w:p w14:paraId="7B4CB9D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6.2.5 可通过人机界面进行参数设置、调试和故障诊断。在参数设定后，能保持设定参数状态，具有失电记忆功能。</w:t>
      </w:r>
    </w:p>
    <w:p w14:paraId="14E73A2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6.2.6具有故障自诊断功能。对于输入的三相电源能自行进行相序纠正，防止因接线错误而导致调流阀损坏，确保电动机始终具有正确的电源相序。</w:t>
      </w:r>
    </w:p>
    <w:p w14:paraId="7CFEAC8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6.2.7具有锤击功能、自锁式输出，在手动模式下仍保持自锁。驱动装置应能通过4～20mA模拟量信号自动调节，并反馈4</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20mA模拟量信号。</w:t>
      </w:r>
    </w:p>
    <w:p w14:paraId="0B967C1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6.2.8 在电源电压波动范围±10%，频率波动范围±5Hz下，驱动装置能够正常工作，并保证其行程变化不大于全行程的1.5%。</w:t>
      </w:r>
    </w:p>
    <w:p w14:paraId="0503754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 电动执行器</w:t>
      </w:r>
    </w:p>
    <w:p w14:paraId="3544C34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电动机采用伺服式可逆电机，供电电源为AC380V、50HZ。</w:t>
      </w:r>
    </w:p>
    <w:p w14:paraId="7380609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电动机采用F级绝缘，温升按B级绝缘考核。</w:t>
      </w:r>
    </w:p>
    <w:p w14:paraId="322B090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电动执行器自带的控制部分有开/关/停控制按钮、现场手动/远程控制转换开关等。</w:t>
      </w:r>
    </w:p>
    <w:p w14:paraId="3FF8583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6.3.4 电动机工作制为间歇启动，电动机额定功率不小于1.5倍最大轴功率，起动转矩不低于额定转矩的5倍。</w:t>
      </w:r>
    </w:p>
    <w:p w14:paraId="1A78331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6.3.5 电动执行器上设有开关量输出的全开、全关位置限位开关，接点容量均为250VAC，1A，当阀门至全开、全关位置时，能自动切断电动机电源。限位开关应采用双向高额定容量</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220V/AC/5A</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纯银制作的触点，其机械寿命应达10，000，000次以上。</w:t>
      </w:r>
    </w:p>
    <w:p w14:paraId="76D8704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6.3.6 电动执行器在开、关方向均应配置能输出4～20mA模拟量信号的扭矩传感器和开关量信号的扭矩开关。扭矩开关应采用双向高额定容量</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220V/AC/5A</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纯银制作的触点，其机械寿命应达10，000，000次以上。</w:t>
      </w:r>
    </w:p>
    <w:p w14:paraId="18540EB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6.3.7 电动执行器上设有阀位传感器，并能输出4～20mA模拟量信号。阀位传感器采用非接触式霍尔元件，阀位显示为数字连续显示，开度递增量为1%。</w:t>
      </w:r>
    </w:p>
    <w:p w14:paraId="538C801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6.3.8 电动执行器上设有温度传感器，并能输出开关量信号和4～20mA模拟量信号，当电动机温度超过140℃时，自动切断回路。</w:t>
      </w:r>
    </w:p>
    <w:p w14:paraId="5AF129D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6.3.9 电动执行器应配置定位器，能接收4～20mA输入信号，定位器应定位精确，灵敏度ΔE为0.5%～2.5%。</w:t>
      </w:r>
    </w:p>
    <w:p w14:paraId="366AD6D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6.3.10 蜗轮蜗杆箱或阀体上还设有可调节机械式全开、全关限位装置和机械式开度指示器，机械式开度指示器标志应明显，并保证开度指示与阀位实际开度一致。</w:t>
      </w:r>
    </w:p>
    <w:p w14:paraId="177F2D2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6.3.11 电动执行器上应配有手/自动切换机构，切换机构不与电机输出轴直接相连，须在低速安全状态下切换。手轮机构配有离合装置，在电动操作时手轮不转动，手动操作时电动操作退出。当切换至手动时，其手动操作力应&lt;150N。手轮有机械增益，小巧轻便且手动电动均应具有自锁功能。</w:t>
      </w:r>
    </w:p>
    <w:p w14:paraId="0AF5D65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6.3.12 电动机出线应在电动机法兰端面并延伸入柜体至接线端子，电动机和执行器间连接采用插槽式连接环。</w:t>
      </w:r>
    </w:p>
    <w:p w14:paraId="58D0122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6.3.13 阀门和电动执行机构装配应在厂内完成。</w:t>
      </w:r>
    </w:p>
    <w:p w14:paraId="0B6AA95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 蜗轮蜗杆传动机构</w:t>
      </w:r>
    </w:p>
    <w:p w14:paraId="13F1E9B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 蜗轮蜗杆箱体材质应不低于QT450-10。蜗轮材料为青铜。</w:t>
      </w:r>
    </w:p>
    <w:p w14:paraId="47B0DC1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 为提高传动件的表面硬度，增强其耐磨性能，蜗轮蜗杆传动齿轮表面应进行真空渗碳淬火处理。</w:t>
      </w:r>
    </w:p>
    <w:p w14:paraId="0EE7DCF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6.4.3 根据阀门操作条件，蜗轮蜗杆传动机构应有足够的力矩和刚度，保证阀门在开启和关闭时的稳定性。</w:t>
      </w:r>
    </w:p>
    <w:p w14:paraId="2BBD45D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6.4.4 蜗轮蜗杆传动机构应有良好的油脂润滑，免维护，防护等级不低于IP68。并应具有自锁，防止惰走。</w:t>
      </w:r>
    </w:p>
    <w:p w14:paraId="444BE8E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6.4.5 输出转矩应能保证在所有规定的条件下可靠的开启和关闭阀门。</w:t>
      </w:r>
    </w:p>
    <w:p w14:paraId="47EE0B1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6.4.6 故障时蜗轮蜗杆传动机构应能够自锁。</w:t>
      </w:r>
    </w:p>
    <w:p w14:paraId="3848751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七</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工厂质量检查、装配和试验</w:t>
      </w:r>
    </w:p>
    <w:p w14:paraId="095BDFF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7.1主要部件应提供出厂合格证明文件、材料化学成分和机械性能报告。</w:t>
      </w:r>
    </w:p>
    <w:p w14:paraId="6F1AF14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 进行机械性能、化学成分检验，样本与零部件材料应为同炉或同体样本，经过相同的热处理工艺。</w:t>
      </w:r>
    </w:p>
    <w:p w14:paraId="5D51148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 对重要的焊缝、铸件和锻件应进行无损检测，并提供无损检测报告。无损检测应在零件粗加工后进行，符合要求后再进行后续加工，精加工后再抽样检测。</w:t>
      </w:r>
    </w:p>
    <w:p w14:paraId="4DB0DFD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 进行零部件的几何尺寸、公差、硬度和表面粗糙度等检查。</w:t>
      </w:r>
    </w:p>
    <w:p w14:paraId="711E592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 壳体强度试验和密封性试验应在活塞阀油漆之前完成（用于保护的底漆除外），试验按《工业阀门压力试验》（GB/T13927）要求执行。</w:t>
      </w:r>
    </w:p>
    <w:p w14:paraId="7262FF0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7.6 带压操作试验：在最大允许工作压差工况下，活塞阀利用所配置的驱动装置从全关到全开开启。操作应平稳、无卡阻和异响。</w:t>
      </w:r>
    </w:p>
    <w:p w14:paraId="0A94B4D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7.7 空载操作试验：将活塞阀利用所配置的驱动装置从全关到全开再到全关循环启闭操作活塞阀，检查活塞阀动作是否正常。</w:t>
      </w:r>
    </w:p>
    <w:p w14:paraId="147159A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7.8 用测厚仪或专用卡尺测量阀体筒体的壁厚，其最小厚度不小于设计值和规范要求。</w:t>
      </w:r>
    </w:p>
    <w:p w14:paraId="6123F12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7.9 流量系数测量按《阀门流量系数和流阻系数试验方法》（GB/T30832）的规定进行，流量系数偏差计算按照《活塞式调流阀》（JB/T14314）中的公式2执行。</w:t>
      </w:r>
    </w:p>
    <w:p w14:paraId="776BEAC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7.10 额定行程偏差测量，按照《活塞式调流阀》（JB/T14314）规定执行。</w:t>
      </w:r>
    </w:p>
    <w:p w14:paraId="3AAAAC0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 新产品试制定型或产品结构、材料、工艺有较大改变可能影响产品性能的，应进行型式试验。</w:t>
      </w:r>
    </w:p>
    <w:p w14:paraId="332A7F9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7.12 活塞阀应逐台进行出厂检验，检验合格后方可出厂。检验项目见</w:t>
      </w:r>
      <w:r>
        <w:rPr>
          <w:rFonts w:hint="eastAsia" w:ascii="宋体" w:hAnsi="宋体" w:eastAsia="宋体" w:cs="宋体"/>
          <w:snapToGrid/>
          <w:color w:val="auto"/>
          <w:kern w:val="2"/>
          <w:sz w:val="24"/>
          <w:szCs w:val="24"/>
          <w:highlight w:val="none"/>
          <w:lang w:val="en-US" w:eastAsia="zh-CN"/>
        </w:rPr>
        <w:t>6.6.7</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w:t>
      </w:r>
    </w:p>
    <w:p w14:paraId="70418F0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表</w:t>
      </w:r>
      <w:r>
        <w:rPr>
          <w:rFonts w:hint="eastAsia" w:ascii="宋体" w:hAnsi="宋体" w:eastAsia="宋体" w:cs="宋体"/>
          <w:snapToGrid/>
          <w:color w:val="auto"/>
          <w:kern w:val="2"/>
          <w:sz w:val="24"/>
          <w:szCs w:val="24"/>
          <w:highlight w:val="none"/>
          <w:lang w:val="en-US" w:eastAsia="zh-CN"/>
        </w:rPr>
        <w:t>6.6.7</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 xml:space="preserve"> </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调流阀工厂检验项目表</w:t>
      </w:r>
    </w:p>
    <w:tbl>
      <w:tblPr>
        <w:tblStyle w:val="2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661"/>
        <w:gridCol w:w="2714"/>
        <w:gridCol w:w="2715"/>
      </w:tblGrid>
      <w:tr w14:paraId="0E940D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5" w:hRule="atLeast"/>
        </w:trPr>
        <w:tc>
          <w:tcPr>
            <w:tcW w:w="2014" w:type="pct"/>
            <w:noWrap w:val="0"/>
            <w:vAlign w:val="center"/>
          </w:tcPr>
          <w:p w14:paraId="4310A58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检验项目</w:t>
            </w:r>
          </w:p>
        </w:tc>
        <w:tc>
          <w:tcPr>
            <w:tcW w:w="1493" w:type="pct"/>
            <w:noWrap w:val="0"/>
            <w:vAlign w:val="center"/>
          </w:tcPr>
          <w:p w14:paraId="1B022AC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出厂检验</w:t>
            </w:r>
          </w:p>
        </w:tc>
        <w:tc>
          <w:tcPr>
            <w:tcW w:w="1493" w:type="pct"/>
            <w:noWrap w:val="0"/>
            <w:vAlign w:val="center"/>
          </w:tcPr>
          <w:p w14:paraId="6AA53FF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型式检验</w:t>
            </w:r>
          </w:p>
        </w:tc>
      </w:tr>
      <w:tr w14:paraId="4CCA6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trPr>
        <w:tc>
          <w:tcPr>
            <w:tcW w:w="2014" w:type="pct"/>
            <w:noWrap w:val="0"/>
            <w:vAlign w:val="center"/>
          </w:tcPr>
          <w:p w14:paraId="2721DA0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壳体强度试验</w:t>
            </w:r>
          </w:p>
        </w:tc>
        <w:tc>
          <w:tcPr>
            <w:tcW w:w="1493" w:type="pct"/>
            <w:noWrap w:val="0"/>
            <w:vAlign w:val="center"/>
          </w:tcPr>
          <w:p w14:paraId="2C8C43D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6616B77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4F8E6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2014" w:type="pct"/>
            <w:noWrap w:val="0"/>
            <w:vAlign w:val="center"/>
          </w:tcPr>
          <w:p w14:paraId="74EFB89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密封性试验</w:t>
            </w:r>
          </w:p>
        </w:tc>
        <w:tc>
          <w:tcPr>
            <w:tcW w:w="1493" w:type="pct"/>
            <w:noWrap w:val="0"/>
            <w:vAlign w:val="center"/>
          </w:tcPr>
          <w:p w14:paraId="7447A51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045A6B0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71E2D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 w:hRule="atLeast"/>
        </w:trPr>
        <w:tc>
          <w:tcPr>
            <w:tcW w:w="2014" w:type="pct"/>
            <w:noWrap w:val="0"/>
            <w:vAlign w:val="center"/>
          </w:tcPr>
          <w:p w14:paraId="5F23224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带压开启试验</w:t>
            </w:r>
          </w:p>
        </w:tc>
        <w:tc>
          <w:tcPr>
            <w:tcW w:w="1493" w:type="pct"/>
            <w:noWrap w:val="0"/>
            <w:vAlign w:val="center"/>
          </w:tcPr>
          <w:p w14:paraId="35BAB31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11849BD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0C637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trPr>
        <w:tc>
          <w:tcPr>
            <w:tcW w:w="2014" w:type="pct"/>
            <w:noWrap w:val="0"/>
            <w:vAlign w:val="center"/>
          </w:tcPr>
          <w:p w14:paraId="66E6BF0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空载操作试验</w:t>
            </w:r>
          </w:p>
        </w:tc>
        <w:tc>
          <w:tcPr>
            <w:tcW w:w="1493" w:type="pct"/>
            <w:noWrap w:val="0"/>
            <w:vAlign w:val="center"/>
          </w:tcPr>
          <w:p w14:paraId="6D03761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6A4FCA2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24368E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014" w:type="pct"/>
            <w:noWrap w:val="0"/>
            <w:vAlign w:val="center"/>
          </w:tcPr>
          <w:p w14:paraId="084A4B5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额定行程偏差</w:t>
            </w:r>
          </w:p>
        </w:tc>
        <w:tc>
          <w:tcPr>
            <w:tcW w:w="1493" w:type="pct"/>
            <w:noWrap w:val="0"/>
            <w:vAlign w:val="center"/>
          </w:tcPr>
          <w:p w14:paraId="56DF6F4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6C81459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32005C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2014" w:type="pct"/>
            <w:noWrap w:val="0"/>
            <w:vAlign w:val="center"/>
          </w:tcPr>
          <w:p w14:paraId="7827D54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壳体壁厚</w:t>
            </w:r>
          </w:p>
        </w:tc>
        <w:tc>
          <w:tcPr>
            <w:tcW w:w="1493" w:type="pct"/>
            <w:noWrap w:val="0"/>
            <w:vAlign w:val="center"/>
          </w:tcPr>
          <w:p w14:paraId="365EFC5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13DBDB8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725669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trPr>
        <w:tc>
          <w:tcPr>
            <w:tcW w:w="2014" w:type="pct"/>
            <w:noWrap w:val="0"/>
            <w:vAlign w:val="center"/>
          </w:tcPr>
          <w:p w14:paraId="51C6E2C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无损检测</w:t>
            </w:r>
          </w:p>
        </w:tc>
        <w:tc>
          <w:tcPr>
            <w:tcW w:w="1493" w:type="pct"/>
            <w:noWrap w:val="0"/>
            <w:vAlign w:val="center"/>
          </w:tcPr>
          <w:p w14:paraId="00B98A4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2667E89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1D2C29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 w:hRule="atLeast"/>
        </w:trPr>
        <w:tc>
          <w:tcPr>
            <w:tcW w:w="2014" w:type="pct"/>
            <w:noWrap w:val="0"/>
            <w:vAlign w:val="center"/>
          </w:tcPr>
          <w:p w14:paraId="141F5A4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主要部件材料化学成分</w:t>
            </w:r>
          </w:p>
        </w:tc>
        <w:tc>
          <w:tcPr>
            <w:tcW w:w="1493" w:type="pct"/>
            <w:noWrap w:val="0"/>
            <w:vAlign w:val="center"/>
          </w:tcPr>
          <w:p w14:paraId="6ED2B7F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522AE0E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0E6CC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9" w:hRule="atLeast"/>
        </w:trPr>
        <w:tc>
          <w:tcPr>
            <w:tcW w:w="2014" w:type="pct"/>
            <w:noWrap w:val="0"/>
            <w:vAlign w:val="center"/>
          </w:tcPr>
          <w:p w14:paraId="7786FA7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主要部件材料力学性能</w:t>
            </w:r>
          </w:p>
        </w:tc>
        <w:tc>
          <w:tcPr>
            <w:tcW w:w="1493" w:type="pct"/>
            <w:noWrap w:val="0"/>
            <w:vAlign w:val="center"/>
          </w:tcPr>
          <w:p w14:paraId="401B984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2EB05A6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1E2E3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2014" w:type="pct"/>
            <w:noWrap w:val="0"/>
            <w:vAlign w:val="center"/>
          </w:tcPr>
          <w:p w14:paraId="5553B17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额定流量系数偏差</w:t>
            </w:r>
          </w:p>
        </w:tc>
        <w:tc>
          <w:tcPr>
            <w:tcW w:w="1493" w:type="pct"/>
            <w:noWrap w:val="0"/>
            <w:vAlign w:val="center"/>
          </w:tcPr>
          <w:p w14:paraId="5C99D5C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1F6A321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2F4FF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9" w:hRule="atLeast"/>
        </w:trPr>
        <w:tc>
          <w:tcPr>
            <w:tcW w:w="2014" w:type="pct"/>
            <w:noWrap w:val="0"/>
            <w:vAlign w:val="center"/>
          </w:tcPr>
          <w:p w14:paraId="2973342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固有流量特性</w:t>
            </w:r>
          </w:p>
        </w:tc>
        <w:tc>
          <w:tcPr>
            <w:tcW w:w="1493" w:type="pct"/>
            <w:noWrap w:val="0"/>
            <w:vAlign w:val="center"/>
          </w:tcPr>
          <w:p w14:paraId="185239A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493" w:type="pct"/>
            <w:noWrap w:val="0"/>
            <w:vAlign w:val="center"/>
          </w:tcPr>
          <w:p w14:paraId="06BE1C4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57347D5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八</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备品备件和专用工具</w:t>
      </w:r>
    </w:p>
    <w:p w14:paraId="6F2613E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8.1 承包人应按合同提供满足设备正常运行的备品备件及专用工具</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其价格已包括在合同价中。</w:t>
      </w:r>
    </w:p>
    <w:p w14:paraId="49C5631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8.2 所供给的备品备件应能互换，与原设备的材料和质量相同。</w:t>
      </w:r>
    </w:p>
    <w:p w14:paraId="070750C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8.3 备品备件和专用工具均应另外单独装箱，并有明显的标记以辩别包装的内容。</w:t>
      </w:r>
    </w:p>
    <w:p w14:paraId="756373F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表</w:t>
      </w:r>
      <w:r>
        <w:rPr>
          <w:rFonts w:hint="eastAsia" w:ascii="宋体" w:hAnsi="宋体" w:eastAsia="宋体" w:cs="宋体"/>
          <w:snapToGrid/>
          <w:color w:val="auto"/>
          <w:kern w:val="2"/>
          <w:sz w:val="24"/>
          <w:szCs w:val="24"/>
          <w:highlight w:val="none"/>
          <w:lang w:val="en-US" w:eastAsia="zh-CN"/>
        </w:rPr>
        <w:t>6.6.8</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 xml:space="preserve">  </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 xml:space="preserve"> 备品备件表</w:t>
      </w:r>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71"/>
        <w:gridCol w:w="6233"/>
        <w:gridCol w:w="982"/>
        <w:gridCol w:w="1004"/>
      </w:tblGrid>
      <w:tr w14:paraId="2EE94D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9" w:type="pct"/>
            <w:noWrap w:val="0"/>
            <w:vAlign w:val="center"/>
          </w:tcPr>
          <w:p w14:paraId="03C6A9C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428" w:type="pct"/>
            <w:noWrap w:val="0"/>
            <w:vAlign w:val="center"/>
          </w:tcPr>
          <w:p w14:paraId="28F7345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540" w:type="pct"/>
            <w:noWrap w:val="0"/>
            <w:vAlign w:val="center"/>
          </w:tcPr>
          <w:p w14:paraId="2045D0B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552" w:type="pct"/>
            <w:noWrap w:val="0"/>
            <w:vAlign w:val="center"/>
          </w:tcPr>
          <w:p w14:paraId="5C4EF47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28E3FCC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9" w:type="pct"/>
            <w:noWrap w:val="0"/>
            <w:vAlign w:val="center"/>
          </w:tcPr>
          <w:p w14:paraId="138C131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428" w:type="pct"/>
            <w:noWrap w:val="0"/>
            <w:vAlign w:val="center"/>
          </w:tcPr>
          <w:p w14:paraId="4BE3CC1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密封元件（含主密封、活塞动密封和阀杆密封等）</w:t>
            </w:r>
          </w:p>
        </w:tc>
        <w:tc>
          <w:tcPr>
            <w:tcW w:w="540" w:type="pct"/>
            <w:noWrap w:val="0"/>
            <w:vAlign w:val="center"/>
          </w:tcPr>
          <w:p w14:paraId="5FEE1E2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台套</w:t>
            </w:r>
          </w:p>
        </w:tc>
        <w:tc>
          <w:tcPr>
            <w:tcW w:w="552" w:type="pct"/>
            <w:noWrap w:val="0"/>
            <w:vAlign w:val="center"/>
          </w:tcPr>
          <w:p w14:paraId="016549C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263355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9" w:type="pct"/>
            <w:noWrap w:val="0"/>
            <w:vAlign w:val="center"/>
          </w:tcPr>
          <w:p w14:paraId="66E8D99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428" w:type="pct"/>
            <w:noWrap w:val="0"/>
            <w:vAlign w:val="center"/>
          </w:tcPr>
          <w:p w14:paraId="4B9CCF6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法兰密封圈</w:t>
            </w:r>
          </w:p>
        </w:tc>
        <w:tc>
          <w:tcPr>
            <w:tcW w:w="540" w:type="pct"/>
            <w:noWrap w:val="0"/>
            <w:vAlign w:val="center"/>
          </w:tcPr>
          <w:p w14:paraId="452859F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台套</w:t>
            </w:r>
          </w:p>
        </w:tc>
        <w:tc>
          <w:tcPr>
            <w:tcW w:w="552" w:type="pct"/>
            <w:noWrap w:val="0"/>
            <w:vAlign w:val="center"/>
          </w:tcPr>
          <w:p w14:paraId="0992E0E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44569B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9" w:type="pct"/>
            <w:noWrap w:val="0"/>
            <w:vAlign w:val="center"/>
          </w:tcPr>
          <w:p w14:paraId="0ED11A9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3428" w:type="pct"/>
            <w:noWrap w:val="0"/>
            <w:vAlign w:val="center"/>
          </w:tcPr>
          <w:p w14:paraId="3BC91A3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限位开关</w:t>
            </w:r>
          </w:p>
        </w:tc>
        <w:tc>
          <w:tcPr>
            <w:tcW w:w="540" w:type="pct"/>
            <w:noWrap w:val="0"/>
            <w:vAlign w:val="center"/>
          </w:tcPr>
          <w:p w14:paraId="08022C9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台套</w:t>
            </w:r>
          </w:p>
        </w:tc>
        <w:tc>
          <w:tcPr>
            <w:tcW w:w="552" w:type="pct"/>
            <w:noWrap w:val="0"/>
            <w:vAlign w:val="center"/>
          </w:tcPr>
          <w:p w14:paraId="088F993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5CA7F7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9" w:type="pct"/>
            <w:noWrap w:val="0"/>
            <w:vAlign w:val="center"/>
          </w:tcPr>
          <w:p w14:paraId="2C32637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3428" w:type="pct"/>
            <w:noWrap w:val="0"/>
            <w:vAlign w:val="center"/>
          </w:tcPr>
          <w:p w14:paraId="6B85C21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反馈传感器</w:t>
            </w:r>
          </w:p>
        </w:tc>
        <w:tc>
          <w:tcPr>
            <w:tcW w:w="540" w:type="pct"/>
            <w:noWrap w:val="0"/>
            <w:vAlign w:val="center"/>
          </w:tcPr>
          <w:p w14:paraId="4D01514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台套</w:t>
            </w:r>
          </w:p>
        </w:tc>
        <w:tc>
          <w:tcPr>
            <w:tcW w:w="552" w:type="pct"/>
            <w:noWrap w:val="0"/>
            <w:vAlign w:val="center"/>
          </w:tcPr>
          <w:p w14:paraId="0C4BB42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r w14:paraId="550EDD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9" w:type="pct"/>
            <w:noWrap w:val="0"/>
            <w:vAlign w:val="center"/>
          </w:tcPr>
          <w:p w14:paraId="7B7BA41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3428" w:type="pct"/>
            <w:noWrap w:val="0"/>
            <w:vAlign w:val="center"/>
          </w:tcPr>
          <w:p w14:paraId="268E0E6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扭矩开关</w:t>
            </w:r>
          </w:p>
        </w:tc>
        <w:tc>
          <w:tcPr>
            <w:tcW w:w="540" w:type="pct"/>
            <w:noWrap w:val="0"/>
            <w:vAlign w:val="center"/>
          </w:tcPr>
          <w:p w14:paraId="1AECAAB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台套</w:t>
            </w:r>
          </w:p>
        </w:tc>
        <w:tc>
          <w:tcPr>
            <w:tcW w:w="552" w:type="pct"/>
            <w:noWrap w:val="0"/>
            <w:vAlign w:val="center"/>
          </w:tcPr>
          <w:p w14:paraId="3C978EB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r>
    </w:tbl>
    <w:p w14:paraId="40B7F39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表</w:t>
      </w:r>
      <w:r>
        <w:rPr>
          <w:rFonts w:hint="eastAsia" w:ascii="宋体" w:hAnsi="宋体" w:eastAsia="宋体" w:cs="宋体"/>
          <w:color w:val="auto"/>
          <w:sz w:val="24"/>
          <w:szCs w:val="24"/>
          <w:highlight w:val="none"/>
          <w:lang w:val="en-US" w:eastAsia="zh-CN"/>
        </w:rPr>
        <w:t>6.6.8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专用工具表</w:t>
      </w:r>
    </w:p>
    <w:tbl>
      <w:tblPr>
        <w:tblStyle w:val="22"/>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69"/>
        <w:gridCol w:w="6209"/>
        <w:gridCol w:w="995"/>
        <w:gridCol w:w="1017"/>
      </w:tblGrid>
      <w:tr w14:paraId="315BA1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8" w:type="pct"/>
            <w:noWrap w:val="0"/>
            <w:vAlign w:val="center"/>
          </w:tcPr>
          <w:p w14:paraId="178A1E0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414" w:type="pct"/>
            <w:noWrap w:val="0"/>
            <w:vAlign w:val="center"/>
          </w:tcPr>
          <w:p w14:paraId="25CDD4A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p>
        </w:tc>
        <w:tc>
          <w:tcPr>
            <w:tcW w:w="547" w:type="pct"/>
            <w:noWrap w:val="0"/>
            <w:vAlign w:val="center"/>
          </w:tcPr>
          <w:p w14:paraId="13A4244B">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559" w:type="pct"/>
            <w:noWrap w:val="0"/>
            <w:vAlign w:val="center"/>
          </w:tcPr>
          <w:p w14:paraId="156447F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r>
      <w:tr w14:paraId="22B14F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8" w:type="pct"/>
            <w:noWrap w:val="0"/>
            <w:vAlign w:val="center"/>
          </w:tcPr>
          <w:p w14:paraId="3072378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414" w:type="pct"/>
            <w:noWrap w:val="0"/>
            <w:vAlign w:val="center"/>
          </w:tcPr>
          <w:p w14:paraId="7CF2599B">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阀门装配、拆卸和检修专用工具</w:t>
            </w:r>
          </w:p>
        </w:tc>
        <w:tc>
          <w:tcPr>
            <w:tcW w:w="547" w:type="pct"/>
            <w:noWrap w:val="0"/>
            <w:vAlign w:val="center"/>
          </w:tcPr>
          <w:p w14:paraId="5D6F54A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c>
          <w:tcPr>
            <w:tcW w:w="559" w:type="pct"/>
            <w:noWrap w:val="0"/>
            <w:vAlign w:val="center"/>
          </w:tcPr>
          <w:p w14:paraId="4B42530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r w14:paraId="70646B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478" w:type="pct"/>
            <w:noWrap w:val="0"/>
            <w:vAlign w:val="center"/>
          </w:tcPr>
          <w:p w14:paraId="49FCD50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3414" w:type="pct"/>
            <w:noWrap w:val="0"/>
            <w:vAlign w:val="center"/>
          </w:tcPr>
          <w:p w14:paraId="1E6677D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阀门起吊工具</w:t>
            </w:r>
          </w:p>
        </w:tc>
        <w:tc>
          <w:tcPr>
            <w:tcW w:w="547" w:type="pct"/>
            <w:noWrap w:val="0"/>
            <w:vAlign w:val="center"/>
          </w:tcPr>
          <w:p w14:paraId="14D1524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套</w:t>
            </w:r>
          </w:p>
        </w:tc>
        <w:tc>
          <w:tcPr>
            <w:tcW w:w="559" w:type="pct"/>
            <w:noWrap w:val="0"/>
            <w:vAlign w:val="center"/>
          </w:tcPr>
          <w:p w14:paraId="47FA386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r>
    </w:tbl>
    <w:p w14:paraId="1DF74B7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bookmarkStart w:id="1078" w:name="_Toc12535"/>
      <w:bookmarkStart w:id="1079" w:name="_Toc9916"/>
      <w:bookmarkStart w:id="1080" w:name="_Toc6182"/>
      <w:bookmarkStart w:id="1081" w:name="_Toc22181"/>
      <w:bookmarkStart w:id="1082" w:name="_Toc27563"/>
      <w:bookmarkStart w:id="1083" w:name="_Toc26657"/>
      <w:bookmarkStart w:id="1084" w:name="_Toc24035"/>
      <w:bookmarkStart w:id="1085" w:name="_Toc16196"/>
      <w:bookmarkStart w:id="1086" w:name="_Toc21387"/>
      <w:bookmarkStart w:id="1087" w:name="_Toc31656"/>
      <w:bookmarkStart w:id="1088" w:name="_Toc21064"/>
      <w:bookmarkStart w:id="1089" w:name="_Toc29575"/>
      <w:bookmarkStart w:id="1090" w:name="_Toc3739"/>
      <w:bookmarkStart w:id="1091" w:name="_Toc2085"/>
      <w:bookmarkStart w:id="1092" w:name="_Toc9795"/>
      <w:bookmarkStart w:id="1093" w:name="_Toc27491"/>
      <w:bookmarkStart w:id="1094" w:name="_Toc10935"/>
    </w:p>
    <w:p w14:paraId="417F270E">
      <w:pPr>
        <w:pStyle w:val="41"/>
        <w:numPr>
          <w:ilvl w:val="0"/>
          <w:numId w:val="0"/>
        </w:numPr>
        <w:kinsoku/>
        <w:topLinePunct/>
        <w:spacing w:line="360" w:lineRule="auto"/>
        <w:jc w:val="left"/>
        <w:outlineLvl w:val="1"/>
        <w:rPr>
          <w:rFonts w:hint="eastAsia" w:ascii="宋体" w:hAnsi="宋体" w:eastAsia="宋体" w:cs="宋体"/>
          <w:b/>
          <w:color w:val="auto"/>
          <w:sz w:val="24"/>
          <w:szCs w:val="24"/>
          <w:highlight w:val="none"/>
        </w:rPr>
      </w:pPr>
      <w:bookmarkStart w:id="1095" w:name="_Toc9051"/>
      <w:bookmarkStart w:id="1096" w:name="_Toc5856"/>
      <w:bookmarkStart w:id="1097" w:name="_Toc10921"/>
      <w:bookmarkStart w:id="1098" w:name="_Toc28979"/>
      <w:bookmarkStart w:id="1099" w:name="_Toc26421"/>
      <w:bookmarkStart w:id="1100" w:name="_Toc31646"/>
      <w:r>
        <w:rPr>
          <w:rFonts w:hint="eastAsia" w:ascii="宋体" w:hAnsi="宋体" w:eastAsia="宋体" w:cs="宋体"/>
          <w:b/>
          <w:bCs/>
          <w:snapToGrid/>
          <w:color w:val="auto"/>
          <w:spacing w:val="0"/>
          <w:sz w:val="24"/>
          <w:szCs w:val="24"/>
          <w:highlight w:val="none"/>
          <w:lang w:val="en-US" w:eastAsia="zh-CN" w:bidi="en-US"/>
        </w:rPr>
        <w:t>七  复合式空气阀</w:t>
      </w:r>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p>
    <w:p w14:paraId="2366CDD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一</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复合式空气阀总要求</w:t>
      </w:r>
    </w:p>
    <w:p w14:paraId="31DA5BE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1.1本工程所有复合式空气阀的工作压力等级暂定为1.6MPa。</w:t>
      </w:r>
    </w:p>
    <w:p w14:paraId="6D7760C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1.2阀门生产厂家提供的阀门产品应相应的规范、标准的最新版本及ISO9001质量保证体系的要求。</w:t>
      </w:r>
    </w:p>
    <w:p w14:paraId="7366348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1.3阀门的设计与制造应完全符合本技术规格书及相关标准的要求。</w:t>
      </w:r>
    </w:p>
    <w:p w14:paraId="04D835D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b/>
          <w:color w:val="auto"/>
          <w:sz w:val="24"/>
          <w:szCs w:val="24"/>
          <w:highlight w:val="none"/>
        </w:rPr>
        <w:t>供货范围及备品备件</w:t>
      </w:r>
    </w:p>
    <w:p w14:paraId="050FE51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 本工程所有复合式空气阀供货范围包含：阀门本体、同口径同压力等级的手动闸阀、同口径的长度1000mm的连接短管、配对法兰及连接件、备品备件、专用工具等。并对所提供设备运行的安全、可靠性以及设备的质量和性能负全部责任。每个复合式空气阀还应随设备提供正常使用和维护所需的专用工具以及在两年质保期内所需的备品备件。包括但不限于以下内容：密封每个阀门各一套。</w:t>
      </w:r>
    </w:p>
    <w:p w14:paraId="2EA9F84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2.2 组成一套完整的空气阀在线监测系统所需要的传感器、RTU、太阳能装置、服务器、软件均由空气阀厂家提供，对空气阀厂家提供的所有空气阀均进行空气阀在线监测。</w:t>
      </w:r>
    </w:p>
    <w:p w14:paraId="36BE8B6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（三）其他</w:t>
      </w:r>
    </w:p>
    <w:p w14:paraId="7385BFD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lang w:eastAsia="zh-CN"/>
        </w:rPr>
      </w:pPr>
      <w:r>
        <w:rPr>
          <w:rFonts w:hint="eastAsia" w:ascii="宋体" w:hAnsi="宋体" w:eastAsia="宋体" w:cs="宋体"/>
          <w:snapToGrid/>
          <w:color w:val="auto"/>
          <w:kern w:val="2"/>
          <w:sz w:val="24"/>
          <w:szCs w:val="24"/>
          <w:highlight w:val="none"/>
        </w:rPr>
        <w:t>3.1 空气阀在线监测系统</w:t>
      </w:r>
      <w:r>
        <w:rPr>
          <w:rFonts w:hint="eastAsia" w:ascii="宋体" w:hAnsi="宋体" w:eastAsia="宋体" w:cs="宋体"/>
          <w:snapToGrid/>
          <w:color w:val="auto"/>
          <w:kern w:val="2"/>
          <w:sz w:val="24"/>
          <w:szCs w:val="24"/>
          <w:highlight w:val="none"/>
          <w:lang w:val="en-US" w:eastAsia="zh-CN"/>
        </w:rPr>
        <w:t>所有硬件</w:t>
      </w:r>
      <w:r>
        <w:rPr>
          <w:rFonts w:hint="eastAsia" w:ascii="宋体" w:hAnsi="宋体" w:eastAsia="宋体" w:cs="宋体"/>
          <w:snapToGrid/>
          <w:color w:val="auto"/>
          <w:kern w:val="2"/>
          <w:sz w:val="24"/>
          <w:szCs w:val="24"/>
          <w:highlight w:val="none"/>
        </w:rPr>
        <w:t>由空气阀供货单位一并提供</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lang w:val="en-US" w:eastAsia="zh-CN"/>
        </w:rPr>
        <w:t>本标段不需要提供空气阀在线监测系统所需的软件，软件由买方另行采购，本标段卖方</w:t>
      </w:r>
      <w:r>
        <w:rPr>
          <w:rFonts w:hint="eastAsia" w:ascii="宋体" w:hAnsi="宋体" w:eastAsia="宋体" w:cs="宋体"/>
          <w:snapToGrid/>
          <w:color w:val="auto"/>
          <w:kern w:val="2"/>
          <w:sz w:val="24"/>
          <w:szCs w:val="24"/>
          <w:highlight w:val="none"/>
          <w:lang w:eastAsia="zh-CN"/>
        </w:rPr>
        <w:t>应配合后期系统软件承包商的相关工作，卖方应确保硬件、软件运行良好，相关费用（不含软件）包含在本标段相应项目报价中</w:t>
      </w:r>
      <w:r>
        <w:rPr>
          <w:rFonts w:hint="eastAsia" w:ascii="宋体" w:hAnsi="宋体" w:eastAsia="宋体" w:cs="宋体"/>
          <w:snapToGrid/>
          <w:color w:val="auto"/>
          <w:kern w:val="2"/>
          <w:sz w:val="24"/>
          <w:szCs w:val="24"/>
          <w:highlight w:val="none"/>
        </w:rPr>
        <w:t>。空气阀厂家所生产的空气阀上需要包含空气阀在线监测所需要的传感器接口位置。同时，不应因为安装传感器，导致空气阀强度下降。</w:t>
      </w:r>
    </w:p>
    <w:p w14:paraId="1457CEE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3.2 空气阀在线监测系统需要将监测分析后的最终数据传输给</w:t>
      </w:r>
      <w:r>
        <w:rPr>
          <w:rFonts w:hint="eastAsia" w:ascii="宋体" w:hAnsi="宋体" w:eastAsia="宋体" w:cs="宋体"/>
          <w:snapToGrid/>
          <w:color w:val="auto"/>
          <w:kern w:val="2"/>
          <w:sz w:val="24"/>
          <w:szCs w:val="24"/>
          <w:highlight w:val="none"/>
          <w:lang w:val="en-US" w:eastAsia="zh-CN"/>
        </w:rPr>
        <w:t>信息化平台</w:t>
      </w:r>
      <w:r>
        <w:rPr>
          <w:rFonts w:hint="eastAsia" w:ascii="宋体" w:hAnsi="宋体" w:eastAsia="宋体" w:cs="宋体"/>
          <w:snapToGrid/>
          <w:color w:val="auto"/>
          <w:kern w:val="2"/>
          <w:sz w:val="24"/>
          <w:szCs w:val="24"/>
          <w:highlight w:val="none"/>
        </w:rPr>
        <w:t>。</w:t>
      </w:r>
    </w:p>
    <w:p w14:paraId="1091A6E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3.3 每只空气阀供货时，均由空气阀厂家配套提供一只同口径、同压力等级的软密封闸阀以及安装空气阀所需的短支管。</w:t>
      </w:r>
    </w:p>
    <w:p w14:paraId="71E9D9A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（四）复合式空气阀性能要求</w:t>
      </w:r>
    </w:p>
    <w:p w14:paraId="5AFB1E9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4.1复合式空气阀分为低压进排气和带压微量排气两部分。</w:t>
      </w:r>
    </w:p>
    <w:p w14:paraId="477CDC5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4.2低压进排气部分是在管道压力较低时（空管充水，管道排空等）工作，主要为低压工况下大量排气和进气。</w:t>
      </w:r>
    </w:p>
    <w:p w14:paraId="247A6E7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4.3高压微量排气则主要在管道正常带压工作时，将管道内不断析出的气体及时排放，以减少因之可能产生的多种不利后果。</w:t>
      </w:r>
    </w:p>
    <w:p w14:paraId="490892D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4.4空气阀应该能够在管线水压降到2米的情况下，仍能紧密关闭，不泄水。</w:t>
      </w:r>
    </w:p>
    <w:p w14:paraId="5C1A2DC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4.5在管线排空过程中，在泄水速度超过3米/秒的情况下，空气阀可以大量迅速的向管线补充空气，以避免管线出现负压。</w:t>
      </w:r>
    </w:p>
    <w:p w14:paraId="207F899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4.6在管线正常运行过程中，空气阀可以自动释放逐步聚集在管线高点的空气，避免由于气囊造成的水损。</w:t>
      </w:r>
    </w:p>
    <w:p w14:paraId="7DBF024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 w:val="0"/>
          <w:snapToGrid/>
          <w:color w:val="auto"/>
          <w:kern w:val="2"/>
          <w:sz w:val="24"/>
          <w:szCs w:val="24"/>
          <w:highlight w:val="none"/>
        </w:rPr>
      </w:pPr>
      <w:r>
        <w:rPr>
          <w:rFonts w:hint="eastAsia" w:ascii="宋体" w:hAnsi="宋体" w:eastAsia="宋体" w:cs="宋体"/>
          <w:snapToGrid/>
          <w:color w:val="auto"/>
          <w:kern w:val="2"/>
          <w:sz w:val="24"/>
          <w:szCs w:val="24"/>
          <w:highlight w:val="none"/>
        </w:rPr>
        <w:t>4.7整体结构简单，故障率低，重量轻，便于安装与维护。</w:t>
      </w:r>
    </w:p>
    <w:p w14:paraId="4F77D82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4.8在水锤发生下，所有空气阀均应能具有一定的防水锤能力。</w:t>
      </w:r>
    </w:p>
    <w:p w14:paraId="04D1A96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4.9空气阀的通路应符合流体力学设计，保证无阻碍。</w:t>
      </w:r>
    </w:p>
    <w:p w14:paraId="2465E3A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4.10所有空气阀至少应满足15年的设计寿命。</w:t>
      </w:r>
    </w:p>
    <w:p w14:paraId="1195895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4.11空气阀应具有足够的可靠性，尤其是其结构应可以避免发生跑水，允许采用污水型结构。</w:t>
      </w:r>
    </w:p>
    <w:p w14:paraId="3412F8D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（五）复合式空气阀结构和制造</w:t>
      </w:r>
    </w:p>
    <w:p w14:paraId="5A5B3E1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5.1阀门的装配严格按照技术图纸执行；工人在阀门生产过程中依据ISO9000-5701项检验。</w:t>
      </w:r>
    </w:p>
    <w:p w14:paraId="5280F99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5.2所有空气阀均为法兰连接。</w:t>
      </w:r>
    </w:p>
    <w:p w14:paraId="7A93D2B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5.3整个阀体应为整体铸造而成，不允许通过焊接连接。</w:t>
      </w:r>
    </w:p>
    <w:p w14:paraId="3A8D8D9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5.4机加工、打孔和螺纹制作：主阀及组件的上述生产过程及检验需严格按照技术图纸执行。</w:t>
      </w:r>
    </w:p>
    <w:p w14:paraId="755666C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5.5空气阀的内部结构必须确保在任何工况下均不出现“气堵”破坏的情况，即空气阀浮筒及内部流道必须设计为避免高压气体将浮筒顶起，堵塞出气孔，阻止排气的结构。</w:t>
      </w:r>
    </w:p>
    <w:p w14:paraId="49536CC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5.6空气阀应配有检修阀，以便空气阀的维护与保养。</w:t>
      </w:r>
    </w:p>
    <w:p w14:paraId="6DC453B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5.7包装：产品包装材料的选购及检验依据ISO9000-3701；长途运输产品的包装需依据ISO9000-4701。</w:t>
      </w:r>
    </w:p>
    <w:p w14:paraId="58812B2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（六）空气阀表面处理：所有空气阀内外聚酯烤漆或喷塑，内部附件无腐蚀性，附合饮用水标准使用要求。</w:t>
      </w:r>
    </w:p>
    <w:p w14:paraId="12B3465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（七）复合式空气阀试验</w:t>
      </w:r>
    </w:p>
    <w:p w14:paraId="4588496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7.1质检人员在生产过程中的检验依据ISO9000-5702；水力阀门的检测依据ISO9000-5801。</w:t>
      </w:r>
    </w:p>
    <w:p w14:paraId="67CAE14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7.2铸件测试方法：空气阀阀体的静水压测试该测试应在空气阀处于关闭状态，而进口封闭状态下施加相当于阀公称压力值的1.5倍压力的情况下，最短测试时间为3分钟，不应发现任何泄漏和任何部件永久变形。</w:t>
      </w:r>
    </w:p>
    <w:p w14:paraId="633E296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7.3浮球强度试验：浮球试验压力3.2MPa</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时间12小时，无可见性变形，无向内渗漏增重现象。</w:t>
      </w:r>
    </w:p>
    <w:p w14:paraId="5B34C29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7.4动态带压排气试验：标配压力工况下充气，计算机探测排气数据。</w:t>
      </w:r>
    </w:p>
    <w:p w14:paraId="7851D63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（八）复合式空气阀通过试运行后进入质保期，质保期24个月。</w:t>
      </w:r>
    </w:p>
    <w:p w14:paraId="27E2EFE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（九）提交资料</w:t>
      </w:r>
    </w:p>
    <w:p w14:paraId="2B3E1B7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供货时，投标人必须提供以下资料：</w:t>
      </w:r>
    </w:p>
    <w:p w14:paraId="1E3FBD5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1）设备的结构详图和详细尺寸（须标明阀的外形尺寸、连接法兰的尺寸、重量等）</w:t>
      </w:r>
    </w:p>
    <w:p w14:paraId="4ED634E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2）阀门的安装要求及产品说明书</w:t>
      </w:r>
    </w:p>
    <w:p w14:paraId="06D219B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3）阀门的运行、操作、保养等有关资料和维修手册</w:t>
      </w:r>
    </w:p>
    <w:p w14:paraId="015CB5A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4）备品备件及维修工具清单</w:t>
      </w:r>
    </w:p>
    <w:p w14:paraId="367AA38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5）水力检测报告</w:t>
      </w:r>
    </w:p>
    <w:p w14:paraId="6BE2715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6）工厂试验证明和合格证书等有关资料</w:t>
      </w:r>
    </w:p>
    <w:p w14:paraId="3F745C7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p>
    <w:p w14:paraId="2CCC0E0B">
      <w:pPr>
        <w:pStyle w:val="41"/>
        <w:numPr>
          <w:ilvl w:val="0"/>
          <w:numId w:val="0"/>
        </w:numPr>
        <w:kinsoku/>
        <w:topLinePunct/>
        <w:spacing w:line="360" w:lineRule="auto"/>
        <w:jc w:val="left"/>
        <w:outlineLvl w:val="1"/>
        <w:rPr>
          <w:rFonts w:hint="eastAsia" w:ascii="宋体" w:hAnsi="宋体" w:eastAsia="宋体" w:cs="宋体"/>
          <w:b/>
          <w:bCs/>
          <w:color w:val="auto"/>
          <w:sz w:val="24"/>
          <w:szCs w:val="24"/>
          <w:highlight w:val="none"/>
        </w:rPr>
      </w:pPr>
      <w:bookmarkStart w:id="1101" w:name="_Toc25212"/>
      <w:bookmarkStart w:id="1102" w:name="_Toc5662"/>
      <w:bookmarkStart w:id="1103" w:name="_Toc30904"/>
      <w:bookmarkStart w:id="1104" w:name="_Toc16087"/>
      <w:bookmarkStart w:id="1105" w:name="_Toc9932"/>
      <w:bookmarkStart w:id="1106" w:name="_Toc17498"/>
      <w:bookmarkStart w:id="1107" w:name="_Toc5041"/>
      <w:bookmarkStart w:id="1108" w:name="_Toc23556"/>
      <w:bookmarkStart w:id="1109" w:name="_Toc6995"/>
      <w:bookmarkStart w:id="1110" w:name="_Toc29741"/>
      <w:bookmarkStart w:id="1111" w:name="_Toc8333"/>
      <w:bookmarkStart w:id="1112" w:name="_Toc14084"/>
      <w:bookmarkStart w:id="1113" w:name="_Toc28435"/>
      <w:bookmarkStart w:id="1114" w:name="_Toc5294"/>
      <w:bookmarkStart w:id="1115" w:name="_Toc21261"/>
      <w:bookmarkStart w:id="1116" w:name="_Toc5985"/>
      <w:bookmarkStart w:id="1117" w:name="_Toc25953"/>
      <w:bookmarkStart w:id="1118" w:name="_Toc4646"/>
      <w:bookmarkStart w:id="1119" w:name="_Toc6505"/>
      <w:bookmarkStart w:id="1120" w:name="_Toc30607"/>
      <w:bookmarkStart w:id="1121" w:name="_Toc12684"/>
      <w:bookmarkStart w:id="1122" w:name="_Toc4185"/>
      <w:bookmarkStart w:id="1123" w:name="_Toc14251"/>
      <w:r>
        <w:rPr>
          <w:rFonts w:hint="eastAsia" w:ascii="宋体" w:hAnsi="宋体" w:eastAsia="宋体" w:cs="宋体"/>
          <w:b/>
          <w:bCs/>
          <w:snapToGrid/>
          <w:color w:val="auto"/>
          <w:spacing w:val="0"/>
          <w:sz w:val="24"/>
          <w:szCs w:val="24"/>
          <w:highlight w:val="none"/>
          <w:lang w:val="en-US" w:eastAsia="zh-CN" w:bidi="en-US"/>
        </w:rPr>
        <w:t>八  水泵</w:t>
      </w:r>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p>
    <w:p w14:paraId="4EDB3970">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（一）立式离心泵</w:t>
      </w:r>
    </w:p>
    <w:p w14:paraId="3F27B91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.1 立式离心泵因安装在隧洞内部平时阴暗潮湿，因此要求整体采用适应潮湿环境下的材质，避免生锈。主要部件的材质不低于下表要求。</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45"/>
        <w:gridCol w:w="4545"/>
      </w:tblGrid>
      <w:tr w14:paraId="7C9A7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center"/>
          </w:tcPr>
          <w:p w14:paraId="61497EFA">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叶轮</w:t>
            </w:r>
          </w:p>
        </w:tc>
        <w:tc>
          <w:tcPr>
            <w:tcW w:w="2500" w:type="pct"/>
            <w:noWrap w:val="0"/>
            <w:vAlign w:val="center"/>
          </w:tcPr>
          <w:p w14:paraId="0B2585D8">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ZG01Cr19Ni10(304)</w:t>
            </w:r>
          </w:p>
        </w:tc>
      </w:tr>
      <w:tr w14:paraId="20132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center"/>
          </w:tcPr>
          <w:p w14:paraId="61142DC2">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泵盖</w:t>
            </w:r>
          </w:p>
        </w:tc>
        <w:tc>
          <w:tcPr>
            <w:tcW w:w="2500" w:type="pct"/>
            <w:noWrap w:val="0"/>
            <w:vAlign w:val="center"/>
          </w:tcPr>
          <w:p w14:paraId="325500E4">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QT500</w:t>
            </w:r>
          </w:p>
        </w:tc>
      </w:tr>
      <w:tr w14:paraId="009F7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center"/>
          </w:tcPr>
          <w:p w14:paraId="087B0F29">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轴</w:t>
            </w:r>
          </w:p>
        </w:tc>
        <w:tc>
          <w:tcPr>
            <w:tcW w:w="2500" w:type="pct"/>
            <w:noWrap w:val="0"/>
            <w:vAlign w:val="center"/>
          </w:tcPr>
          <w:p w14:paraId="5B4A7D28">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20Cr13\40Cr</w:t>
            </w:r>
          </w:p>
        </w:tc>
      </w:tr>
      <w:tr w14:paraId="448C4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center"/>
          </w:tcPr>
          <w:p w14:paraId="78EA9E6A">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叶轮密封环</w:t>
            </w:r>
          </w:p>
        </w:tc>
        <w:tc>
          <w:tcPr>
            <w:tcW w:w="2500" w:type="pct"/>
            <w:noWrap w:val="0"/>
            <w:vAlign w:val="center"/>
          </w:tcPr>
          <w:p w14:paraId="783F8876">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06Cr19Ni10</w:t>
            </w:r>
          </w:p>
        </w:tc>
      </w:tr>
      <w:tr w14:paraId="77EC5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center"/>
          </w:tcPr>
          <w:p w14:paraId="76A87C19">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轴承</w:t>
            </w:r>
          </w:p>
        </w:tc>
        <w:tc>
          <w:tcPr>
            <w:tcW w:w="2500" w:type="pct"/>
            <w:noWrap w:val="0"/>
            <w:vAlign w:val="center"/>
          </w:tcPr>
          <w:p w14:paraId="2ABCB595">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FAG\SKF</w:t>
            </w:r>
          </w:p>
        </w:tc>
      </w:tr>
      <w:tr w14:paraId="4DD2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noWrap w:val="0"/>
            <w:vAlign w:val="center"/>
          </w:tcPr>
          <w:p w14:paraId="4BE8EB61">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机械密封</w:t>
            </w:r>
          </w:p>
        </w:tc>
        <w:tc>
          <w:tcPr>
            <w:tcW w:w="2500" w:type="pct"/>
            <w:noWrap w:val="0"/>
            <w:vAlign w:val="center"/>
          </w:tcPr>
          <w:p w14:paraId="0E97C660">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博格曼</w:t>
            </w:r>
          </w:p>
        </w:tc>
      </w:tr>
    </w:tbl>
    <w:p w14:paraId="71047D3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.2 立式离心泵的电动机应采用防潮设计，避免受潮无法开机。</w:t>
      </w:r>
    </w:p>
    <w:p w14:paraId="6674BE2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.3 立式离心泵应采用无需技术供水的冷却形式，电机采用空冷。</w:t>
      </w:r>
    </w:p>
    <w:p w14:paraId="2BBCF97D">
      <w:pPr>
        <w:keepNext w:val="0"/>
        <w:keepLines w:val="0"/>
        <w:pageBreakBefore w:val="0"/>
        <w:widowControl w:val="0"/>
        <w:kinsoku/>
        <w:wordWrap/>
        <w:overflowPunct/>
        <w:topLinePunct/>
        <w:autoSpaceDE/>
        <w:autoSpaceDN/>
        <w:bidi w:val="0"/>
        <w:adjustRightInd w:val="0"/>
        <w:snapToGrid w:val="0"/>
        <w:spacing w:after="0" w:afterLines="0" w:line="360" w:lineRule="auto"/>
        <w:jc w:val="both"/>
        <w:textAlignment w:val="baseline"/>
        <w:outlineLvl w:val="9"/>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lang w:val="en-US" w:eastAsia="zh-CN"/>
        </w:rPr>
        <w:t>1</w:t>
      </w:r>
      <w:r>
        <w:rPr>
          <w:rFonts w:hint="eastAsia" w:ascii="宋体" w:hAnsi="宋体" w:eastAsia="宋体" w:cs="宋体"/>
          <w:snapToGrid/>
          <w:color w:val="auto"/>
          <w:kern w:val="2"/>
          <w:sz w:val="24"/>
          <w:szCs w:val="24"/>
          <w:highlight w:val="none"/>
        </w:rPr>
        <w:t>.4 立式离心泵表面防腐按潮湿环境进行设计，确保电机长期不使用的情况下，可以正常启动。</w:t>
      </w:r>
    </w:p>
    <w:p w14:paraId="45BB798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p>
    <w:p w14:paraId="45E7F1EE">
      <w:pPr>
        <w:pStyle w:val="41"/>
        <w:numPr>
          <w:ilvl w:val="0"/>
          <w:numId w:val="0"/>
        </w:numPr>
        <w:kinsoku/>
        <w:topLinePunct/>
        <w:spacing w:line="360" w:lineRule="auto"/>
        <w:jc w:val="left"/>
        <w:outlineLvl w:val="1"/>
        <w:rPr>
          <w:rFonts w:hint="eastAsia" w:ascii="宋体" w:hAnsi="宋体" w:eastAsia="宋体" w:cs="宋体"/>
          <w:b/>
          <w:bCs/>
          <w:snapToGrid/>
          <w:color w:val="auto"/>
          <w:spacing w:val="0"/>
          <w:sz w:val="24"/>
          <w:szCs w:val="24"/>
          <w:highlight w:val="none"/>
          <w:lang w:val="en-US" w:eastAsia="zh-CN" w:bidi="en-US"/>
        </w:rPr>
      </w:pPr>
      <w:bookmarkStart w:id="1124" w:name="_Toc18303"/>
      <w:bookmarkStart w:id="1125" w:name="_Toc22982"/>
      <w:bookmarkStart w:id="1126" w:name="_Toc16345"/>
      <w:bookmarkStart w:id="1127" w:name="_Toc32096"/>
      <w:bookmarkStart w:id="1128" w:name="_Toc17979"/>
      <w:bookmarkStart w:id="1129" w:name="_Toc17667"/>
      <w:r>
        <w:rPr>
          <w:rFonts w:hint="eastAsia" w:ascii="宋体" w:hAnsi="宋体" w:eastAsia="宋体" w:cs="宋体"/>
          <w:b/>
          <w:bCs/>
          <w:snapToGrid/>
          <w:color w:val="auto"/>
          <w:spacing w:val="0"/>
          <w:sz w:val="24"/>
          <w:szCs w:val="24"/>
          <w:highlight w:val="none"/>
          <w:lang w:val="en-US" w:eastAsia="zh-CN" w:bidi="en-US"/>
        </w:rPr>
        <w:t>九 伸缩节</w:t>
      </w:r>
      <w:bookmarkEnd w:id="1124"/>
      <w:bookmarkEnd w:id="1125"/>
      <w:bookmarkEnd w:id="1126"/>
      <w:bookmarkEnd w:id="1127"/>
      <w:bookmarkEnd w:id="1128"/>
      <w:bookmarkEnd w:id="1129"/>
    </w:p>
    <w:p w14:paraId="76D65B7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 技术要求</w:t>
      </w:r>
    </w:p>
    <w:p w14:paraId="4008EC2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9.1.1 伸缩节采用C2F型传力接头</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两端均为法兰联接，作为沿管道方向伸缩调整用。</w:t>
      </w:r>
    </w:p>
    <w:p w14:paraId="7F99062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9.1.2 伸缩节公称直径为φ××mm、设计压力为××MPa、伸缩量不小于××mm。</w:t>
      </w:r>
    </w:p>
    <w:p w14:paraId="127E80A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9.1.3 伸缩节本体（含短管、压盖等）和伸缩节法兰采用材料不低于Q235C。紧固件（含螺栓、螺母、传力拉杆等）材料不低于Q355C。</w:t>
      </w:r>
    </w:p>
    <w:p w14:paraId="03168EC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9.1.4 密封圈应采用优质橡胶，投标人应提供密封圈材料的物理、化学性能参数表。</w:t>
      </w:r>
    </w:p>
    <w:p w14:paraId="41D14E3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9.1.5 承包人应协调伸缩节法兰内/外径、螺栓孔分布圆直径、螺孔尺寸、螺孔数量和方位等</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确保与调流阀及管道法兰的连接尺寸一致。</w:t>
      </w:r>
    </w:p>
    <w:p w14:paraId="3FA41EA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9.1.6 承包人应协调伸缩节法兰与调流阀、管道法兰的规格、密封规格和尺寸，必须保证密封可靠。</w:t>
      </w:r>
    </w:p>
    <w:p w14:paraId="5D78BC6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9.1.7 伸缩节制造的尺寸公差、形位公差、垂直度公差、同轴度公差、可扰量和偏心量等要求，应符合《管道补偿接头》（GB/T12465）的有关规定。</w:t>
      </w:r>
    </w:p>
    <w:p w14:paraId="7597807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9.1.8 伸缩节的划线、卷板、焊接等工艺要求和质量检查按现行国家标准的有关规定执行。</w:t>
      </w:r>
    </w:p>
    <w:p w14:paraId="601C482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9.1.9 伸缩节的使用寿命为不少于30年，密封圈使用寿命不少于20年。</w:t>
      </w:r>
    </w:p>
    <w:p w14:paraId="1E1C324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9.2 出厂检验</w:t>
      </w:r>
    </w:p>
    <w:p w14:paraId="7D2517A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9.2.1 强度耐压试验</w:t>
      </w:r>
    </w:p>
    <w:p w14:paraId="3FC7A61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伸缩节两端处于封闭状态下施加 1.5倍伸缩节公称压力，持续时间不少于 5min，不应发现漏水、压力降低或塑性变形等现象。</w:t>
      </w:r>
    </w:p>
    <w:p w14:paraId="46549EF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9.2.2密封性试验</w:t>
      </w:r>
    </w:p>
    <w:p w14:paraId="3AB8B33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伸缩节密封副，在施加 1.25倍的公称压力，保持5分钟，应不漏水、不降压。</w:t>
      </w:r>
    </w:p>
    <w:p w14:paraId="689DA52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9.2.3 伸缩节其它出厂检验项目按照《管道补偿接头》（GB/T12465）的规定要求执行。</w:t>
      </w:r>
    </w:p>
    <w:p w14:paraId="43764A7A">
      <w:pPr>
        <w:pStyle w:val="41"/>
        <w:numPr>
          <w:ilvl w:val="0"/>
          <w:numId w:val="0"/>
        </w:numPr>
        <w:kinsoku/>
        <w:topLinePunct/>
        <w:spacing w:line="360" w:lineRule="auto"/>
        <w:jc w:val="left"/>
        <w:outlineLvl w:val="1"/>
        <w:rPr>
          <w:rFonts w:hint="eastAsia" w:ascii="宋体" w:hAnsi="宋体" w:eastAsia="宋体" w:cs="宋体"/>
          <w:b/>
          <w:bCs/>
          <w:snapToGrid/>
          <w:color w:val="auto"/>
          <w:spacing w:val="0"/>
          <w:sz w:val="24"/>
          <w:szCs w:val="24"/>
          <w:highlight w:val="none"/>
          <w:lang w:val="en-US" w:eastAsia="zh-CN" w:bidi="en-US"/>
        </w:rPr>
      </w:pPr>
      <w:bookmarkStart w:id="1130" w:name="_Toc17483"/>
      <w:bookmarkStart w:id="1131" w:name="_Toc14419"/>
      <w:bookmarkStart w:id="1132" w:name="_Toc15609"/>
      <w:bookmarkStart w:id="1133" w:name="_Toc18676"/>
      <w:bookmarkStart w:id="1134" w:name="_Toc5535"/>
      <w:bookmarkStart w:id="1135" w:name="_Toc6285"/>
      <w:r>
        <w:rPr>
          <w:rFonts w:hint="eastAsia" w:ascii="宋体" w:hAnsi="宋体" w:eastAsia="宋体" w:cs="宋体"/>
          <w:b/>
          <w:bCs/>
          <w:snapToGrid/>
          <w:color w:val="auto"/>
          <w:spacing w:val="0"/>
          <w:sz w:val="24"/>
          <w:szCs w:val="24"/>
          <w:highlight w:val="none"/>
          <w:lang w:val="en-US" w:eastAsia="zh-CN" w:bidi="en-US"/>
        </w:rPr>
        <w:t>十 十字滤管技术要求</w:t>
      </w:r>
      <w:bookmarkEnd w:id="1130"/>
      <w:bookmarkEnd w:id="1131"/>
      <w:bookmarkEnd w:id="1132"/>
      <w:bookmarkEnd w:id="1133"/>
      <w:bookmarkEnd w:id="1134"/>
      <w:bookmarkEnd w:id="1135"/>
    </w:p>
    <w:p w14:paraId="4C2D04B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 技术要求</w:t>
      </w:r>
    </w:p>
    <w:p w14:paraId="21F6D34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10.1.1 十字滤管公称直径为φ1400mm、设计压力为1.6MPa。两端均采用法兰联接。安装在调流阀前端。</w:t>
      </w:r>
    </w:p>
    <w:p w14:paraId="0A13551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10.1.2 十字滤管管体和管盖材料不低于QT450-10，滤网材质应不低于304不锈钢，紧固件（含螺栓、螺母、传力拉杆等）材料不低于Q355C。</w:t>
      </w:r>
    </w:p>
    <w:p w14:paraId="3D5B822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10.1.3 密封圈应采用优质橡胶，投标人应提供密封圈材料的物理、化学性能参数表。</w:t>
      </w:r>
    </w:p>
    <w:p w14:paraId="5D3CCE1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10.1.4 承包人应协调十字滤管的法兰内/外径、螺栓孔分布圆直径、螺孔尺寸、螺孔数量和方位等</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确保与其相连接法兰尺寸一致。</w:t>
      </w:r>
    </w:p>
    <w:p w14:paraId="350E69A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10.1.5 承包人应协调十字滤管法兰和其相连接法兰的规格、密封规格和尺寸，必须保证密封可靠。</w:t>
      </w:r>
    </w:p>
    <w:p w14:paraId="5560A6C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10.1.6 十字滤管总的过流面积应不低于管径截面积的0.8倍。</w:t>
      </w:r>
    </w:p>
    <w:p w14:paraId="4E30220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10.1.7 十字滤管应具有保护管线设备、免受杂物缠绕及腐蚀。</w:t>
      </w:r>
    </w:p>
    <w:p w14:paraId="238A32F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10.1.8 十字滤管管体上方设有检查人孔，用于清除杂物，通过人孔对滤网进行检查或更换。管体下方设有排污装置，保证排污方便。</w:t>
      </w:r>
    </w:p>
    <w:p w14:paraId="7EAF092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10.1.9十字滤管滤网规格不大于28×50mm</w:t>
      </w:r>
    </w:p>
    <w:p w14:paraId="68E0CB8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10.1.10 十字滤管的使用寿命为不少于30年，密封圈的使用寿命不少于20年。</w:t>
      </w:r>
    </w:p>
    <w:p w14:paraId="6C490E2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10.2 出厂检验</w:t>
      </w:r>
    </w:p>
    <w:p w14:paraId="5EB8A4C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10.2.1 强度试验</w:t>
      </w:r>
    </w:p>
    <w:p w14:paraId="506A8E2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十字滤管两端处于封闭状态下施加 1.5倍阀门公称压力，持续时间不少于 30分钟，不应发现漏水或压力降低的现象。</w:t>
      </w:r>
    </w:p>
    <w:p w14:paraId="72443F2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10.2.2 密封的静水压测试</w:t>
      </w:r>
    </w:p>
    <w:p w14:paraId="01B1C89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沿着出水方向，在施加 1.1倍的公称压力，保持5分钟，应不漏水、不降压。</w:t>
      </w:r>
    </w:p>
    <w:p w14:paraId="3312605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p>
    <w:p w14:paraId="22E303FF">
      <w:pPr>
        <w:pStyle w:val="41"/>
        <w:numPr>
          <w:ilvl w:val="0"/>
          <w:numId w:val="0"/>
        </w:numPr>
        <w:kinsoku/>
        <w:topLinePunct/>
        <w:spacing w:line="360" w:lineRule="auto"/>
        <w:jc w:val="left"/>
        <w:outlineLvl w:val="1"/>
        <w:rPr>
          <w:rFonts w:hint="eastAsia" w:ascii="宋体" w:hAnsi="宋体" w:eastAsia="宋体" w:cs="宋体"/>
          <w:b/>
          <w:bCs/>
          <w:snapToGrid/>
          <w:color w:val="auto"/>
          <w:spacing w:val="0"/>
          <w:sz w:val="24"/>
          <w:szCs w:val="24"/>
          <w:highlight w:val="none"/>
          <w:lang w:val="en-US" w:eastAsia="zh-CN" w:bidi="en-US"/>
        </w:rPr>
      </w:pPr>
      <w:bookmarkStart w:id="1136" w:name="_Toc9204"/>
      <w:bookmarkStart w:id="1137" w:name="_Toc24255"/>
      <w:bookmarkStart w:id="1138" w:name="_Toc28682"/>
      <w:bookmarkStart w:id="1139" w:name="_Toc29114"/>
      <w:bookmarkStart w:id="1140" w:name="_Toc31277"/>
      <w:bookmarkStart w:id="1141" w:name="_Toc463"/>
      <w:bookmarkStart w:id="1142" w:name="_Toc20396"/>
      <w:bookmarkStart w:id="1143" w:name="_Toc28919"/>
      <w:bookmarkStart w:id="1144" w:name="_Toc15098"/>
      <w:bookmarkStart w:id="1145" w:name="_Toc12206"/>
      <w:bookmarkStart w:id="1146" w:name="_Toc2906"/>
      <w:bookmarkStart w:id="1147" w:name="_Toc29343"/>
      <w:bookmarkStart w:id="1148" w:name="_Toc1726"/>
      <w:bookmarkStart w:id="1149" w:name="_Toc4019"/>
      <w:bookmarkStart w:id="1150" w:name="_Toc3068"/>
      <w:bookmarkStart w:id="1151" w:name="_Toc22209"/>
      <w:bookmarkStart w:id="1152" w:name="_Toc22859"/>
      <w:bookmarkStart w:id="1153" w:name="_Toc29330"/>
      <w:bookmarkStart w:id="1154" w:name="_Toc12365"/>
      <w:bookmarkStart w:id="1155" w:name="_Toc4381"/>
      <w:bookmarkStart w:id="1156" w:name="_Toc18388"/>
      <w:bookmarkStart w:id="1157" w:name="_Toc28984"/>
      <w:bookmarkStart w:id="1158" w:name="_Toc2832"/>
      <w:r>
        <w:rPr>
          <w:rFonts w:hint="eastAsia" w:ascii="宋体" w:hAnsi="宋体" w:eastAsia="宋体" w:cs="宋体"/>
          <w:b/>
          <w:bCs/>
          <w:snapToGrid/>
          <w:color w:val="auto"/>
          <w:spacing w:val="0"/>
          <w:sz w:val="24"/>
          <w:szCs w:val="24"/>
          <w:highlight w:val="none"/>
          <w:lang w:val="en-US" w:eastAsia="zh-CN" w:bidi="en-US"/>
        </w:rPr>
        <w:t>十一  超声波流量</w:t>
      </w:r>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r>
        <w:rPr>
          <w:rFonts w:hint="eastAsia" w:ascii="宋体" w:hAnsi="宋体" w:eastAsia="宋体" w:cs="宋体"/>
          <w:b/>
          <w:bCs/>
          <w:snapToGrid/>
          <w:color w:val="auto"/>
          <w:spacing w:val="0"/>
          <w:sz w:val="24"/>
          <w:szCs w:val="24"/>
          <w:highlight w:val="none"/>
          <w:lang w:val="en-US" w:eastAsia="zh-CN" w:bidi="en-US"/>
        </w:rPr>
        <w:t>计</w:t>
      </w:r>
      <w:bookmarkEnd w:id="1150"/>
      <w:bookmarkEnd w:id="1151"/>
      <w:bookmarkEnd w:id="1152"/>
      <w:bookmarkEnd w:id="1153"/>
      <w:bookmarkEnd w:id="1154"/>
      <w:bookmarkEnd w:id="1155"/>
      <w:bookmarkEnd w:id="1156"/>
      <w:bookmarkEnd w:id="1157"/>
      <w:bookmarkEnd w:id="1158"/>
    </w:p>
    <w:p w14:paraId="139D122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（一）超声波流量计总要求</w:t>
      </w:r>
    </w:p>
    <w:p w14:paraId="756A935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 超声换能器能在-25℃～55℃工作环境温度下正常工作。</w:t>
      </w:r>
    </w:p>
    <w:p w14:paraId="2A4D8A0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 户外布置的主机系统能在-40℃～85℃工作环境温度下正常工作。 户内布置的主机系统能在5℃～40℃工作环境温度下正常工作。</w:t>
      </w:r>
    </w:p>
    <w:p w14:paraId="52D6DB6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1.3 主机系统可在工作环境相对湿度不大于95%时正常工作。 </w:t>
      </w:r>
    </w:p>
    <w:p w14:paraId="659B05A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（二）超声波流量计供货范围及备品备件</w:t>
      </w:r>
    </w:p>
    <w:p w14:paraId="746E396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 超声波流量计供货范围包括组成一套完整的超声波流量计所需的所有硬件及软件，包括但不限于：换能器、主机、电缆、安装附件等。</w:t>
      </w:r>
    </w:p>
    <w:p w14:paraId="25BB57D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（三）性能要求</w:t>
      </w:r>
    </w:p>
    <w:p w14:paraId="09E721D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3.1 有压管道超声波流量计的准确度不低于0.5%。明渠和无压管道超声波流量计的准确度不低于1.0%。</w:t>
      </w:r>
    </w:p>
    <w:p w14:paraId="7AA8F62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3.2 有压管道超声波流量计测量不确定度按照《水电站多声道超声波流量计基本技术条件》（NB/T10231-2019）附录A规定要求执行。</w:t>
      </w:r>
    </w:p>
    <w:p w14:paraId="2323CDB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3.3 利用时差式超声波原理测量温度，水温误差不大于1℃。</w:t>
      </w:r>
    </w:p>
    <w:p w14:paraId="78F702C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3.4 超声波流量计被测试部位（AC220V接线端子和信号输入端）对外壳接地点的绝缘电阻不小于10MΩ。</w:t>
      </w:r>
    </w:p>
    <w:p w14:paraId="789E9E9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3.5 外插式和内贴式超声波流量计的超声换能器的防护等级不低于IP68，耐压等级高于使用环境压力。</w:t>
      </w:r>
    </w:p>
    <w:p w14:paraId="13BCB36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3.6 主机系统防护等级不低于IP65。</w:t>
      </w:r>
    </w:p>
    <w:p w14:paraId="795D259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3.7 超声波流量计的电磁兼容性应满足以下要求：</w:t>
      </w:r>
    </w:p>
    <w:p w14:paraId="46DF51F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3.7.1 静电放电抗扰度的严酷等级应达到3级，试验过程中流量计应工作正常。</w:t>
      </w:r>
    </w:p>
    <w:p w14:paraId="75D0C39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3.7.2 电快速瞬变脉冲群抗扰度的严酷等级应达到2级，试验过程中允许流量计出错，但试验结束后应能自动恢复。</w:t>
      </w:r>
    </w:p>
    <w:p w14:paraId="397BEFA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3.7.3 工频磁场抗扰度的严酷等级应达到3级，试验过程中流量计应工作正常。</w:t>
      </w:r>
    </w:p>
    <w:p w14:paraId="491A580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3.7.4 涌浪（冲击）抗扰度的严酷等级应达到2级，试验过程中允许流量计出错，但试验结束后应能自动恢复。</w:t>
      </w:r>
    </w:p>
    <w:p w14:paraId="4576480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3.8 超声波流量计出厂前应经过不少于72h的连续通电试验。</w:t>
      </w:r>
    </w:p>
    <w:p w14:paraId="550C97A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3.9 管道测量断面平均流速范围为0.3m/s～20m/s，明渠测流断面平均流速范围：0.1 m/s～10m/s。流速分辨率可达到0.001m/s。</w:t>
      </w:r>
    </w:p>
    <w:p w14:paraId="123D384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3.10 插入式超声波换能器适用管径可达10m，超声换能器安装座自带球阀。超声波流量计适用明渠渠宽小于 100 m。</w:t>
      </w:r>
    </w:p>
    <w:p w14:paraId="4377A7D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3.11 可靠性指标</w:t>
      </w:r>
    </w:p>
    <w:p w14:paraId="5B57270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在规定的工作条件下，超声波流量计应具有以下可靠性指标。</w:t>
      </w:r>
    </w:p>
    <w:p w14:paraId="10904F1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平均无故障连续运行时间不小于20000h；</w:t>
      </w:r>
    </w:p>
    <w:p w14:paraId="29DDE42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使用寿命不少于10年；</w:t>
      </w:r>
    </w:p>
    <w:p w14:paraId="230FF35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可利用率不小于99%。</w:t>
      </w:r>
    </w:p>
    <w:p w14:paraId="3DC2B10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（四）功能</w:t>
      </w:r>
    </w:p>
    <w:p w14:paraId="36EE046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4.1 可设置采集频率，应能显示至少包括：瞬时流量、正负累计流量、多层流速、水温、诊断、日期、时间等内容，并具有仪表调零、零点校正等功能。</w:t>
      </w:r>
    </w:p>
    <w:p w14:paraId="1706646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4.2 具有系统日志功能。记录开关机时间、参数修改、数据上传、数据下载等操作记录，保证流量计的可塑性和公正性。</w:t>
      </w:r>
    </w:p>
    <w:p w14:paraId="6139E3D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4.3 能通过键盘或触摸屏操作超声波流量计主机。也可组成局域网，按IP地址访问，远程操作可实现以下功能：查看信号波形、系统日志和实时测量数据，参数下载、上传、设置、保存、导出数据，累计水量清零，运行状态诊断等。</w:t>
      </w:r>
    </w:p>
    <w:p w14:paraId="2D363BC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4.4 具有自诊断功能，判断当前工作状态是否正常。</w:t>
      </w:r>
    </w:p>
    <w:p w14:paraId="3F07355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4.5 具有睡眠模式，睡眠模式功耗不大于0.5W。</w:t>
      </w:r>
    </w:p>
    <w:p w14:paraId="2EAF3DD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4.6 能实现快速采样，最大采样速率不小于50 MSPS。信号计算速度快，输出数值快速且平稳，具备每0.2秒输出不少于1个流量数据。</w:t>
      </w:r>
    </w:p>
    <w:p w14:paraId="3E9B8E3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4.7 流量计算积分须同时具有IEC41（Gauss）积分和OWICS（最佳加权积分）两种方法。</w:t>
      </w:r>
    </w:p>
    <w:p w14:paraId="136B3CB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4.8 流量计时间差信号处理计时器位数应达到64位。</w:t>
      </w:r>
    </w:p>
    <w:p w14:paraId="5B27035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4.9 具有现地显示和远传功能，流量可以脉冲、模拟量或数字方式输出，超声波流量计工作状态和故障状态信号以开关量方式输出。具有以下信号接口：一个Ethernet RJ45以太网接口，一个 RS232 接口，一个 RS485 /（Modbus协议）接口，一个USB接口，一个模拟输出接口（4～20mA），一个模拟输入接口（4～20mA），4个继电器输出。</w:t>
      </w:r>
    </w:p>
    <w:p w14:paraId="0FDC2E5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（五） 主要结构</w:t>
      </w:r>
    </w:p>
    <w:p w14:paraId="0B58FB3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超声波流量计由若干对超声换能器、超声换能器安装支承件、射频电缆、电缆护管、电缆密封装置、主机系统、电源防雷保护器、水位计（明渠和无压管道）、水位计接线盒、双绞线带气管防水专用电缆和水位信号防雷保护器（明渠和无压管道）等组成。</w:t>
      </w:r>
    </w:p>
    <w:p w14:paraId="1135CD9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Cs w:val="0"/>
          <w:snapToGrid/>
          <w:color w:val="auto"/>
          <w:kern w:val="2"/>
          <w:sz w:val="24"/>
          <w:szCs w:val="24"/>
          <w:highlight w:val="none"/>
        </w:rPr>
      </w:pPr>
      <w:r>
        <w:rPr>
          <w:rFonts w:hint="eastAsia" w:ascii="宋体" w:hAnsi="宋体" w:eastAsia="宋体" w:cs="宋体"/>
          <w:snapToGrid/>
          <w:color w:val="auto"/>
          <w:kern w:val="2"/>
          <w:sz w:val="24"/>
          <w:szCs w:val="24"/>
          <w:highlight w:val="none"/>
        </w:rPr>
        <w:t>5.1 主机系统</w:t>
      </w:r>
    </w:p>
    <w:p w14:paraId="73F5C9E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5.1.1 流量计主机系统采用超声波模块及信号处理单元一体集成高端电路控制技术，具有 IP 地址，用 RJ45 线连接。具有自动声路异常报警功能，并可通过触摸人机交互界面提醒。</w:t>
      </w:r>
    </w:p>
    <w:p w14:paraId="57A1064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5.1.2 主机系统内应装有超声发射接收系统（数据采集）和微机控制系统；所有I/O接口应采用插入式结构，且应标准化、模块化，易于扩展和替换。</w:t>
      </w:r>
    </w:p>
    <w:p w14:paraId="187EBC3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5.1.3 主机系统各模块应具有通道和模块状态指示。</w:t>
      </w:r>
    </w:p>
    <w:p w14:paraId="1587635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5.1.4 配置快闪记忆卡，储存容量不小于32G。存储单元具有失电保护功能。</w:t>
      </w:r>
    </w:p>
    <w:p w14:paraId="2455DEF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5.1.5 每套超声波流量计的主机系统应单独成柜，并配备LCD液晶显示屏和操作键板。</w:t>
      </w:r>
    </w:p>
    <w:p w14:paraId="71E8BCF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5.1.6 配置不小于7英寸可触摸TFT彩色显示屏</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内置LUNIX操作系统</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人机交互方便灵活。</w:t>
      </w:r>
    </w:p>
    <w:p w14:paraId="38B80EB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5.1.7 主机系统应配备电源模块，为超声换能器和二次仪表提供工作电源。</w:t>
      </w:r>
    </w:p>
    <w:p w14:paraId="59A29F4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5.1.8 220V交直流电源模块应设置电源防雷保护器。</w:t>
      </w:r>
    </w:p>
    <w:p w14:paraId="3A2D387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5.1.9 外接电源</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 xml:space="preserve"> AC220V±15%, 50Hz±3。整套系统运行功耗≤15W</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同时可选配DC24V电源。</w:t>
      </w:r>
    </w:p>
    <w:p w14:paraId="74ACA2D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Cs w:val="0"/>
          <w:snapToGrid/>
          <w:color w:val="auto"/>
          <w:kern w:val="2"/>
          <w:sz w:val="24"/>
          <w:szCs w:val="24"/>
          <w:highlight w:val="none"/>
        </w:rPr>
      </w:pPr>
      <w:r>
        <w:rPr>
          <w:rFonts w:hint="eastAsia" w:ascii="宋体" w:hAnsi="宋体" w:eastAsia="宋体" w:cs="宋体"/>
          <w:snapToGrid/>
          <w:color w:val="auto"/>
          <w:kern w:val="2"/>
          <w:sz w:val="24"/>
          <w:szCs w:val="24"/>
          <w:highlight w:val="none"/>
        </w:rPr>
        <w:t>5.2 超声换能器</w:t>
      </w:r>
    </w:p>
    <w:p w14:paraId="2B40E84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5.2.1 插入式超声波换能器采用不锈钢材质，渠道超声换能器及内贴式超声换能器外壳材料应采用进口耐腐蚀长寿命高分子材料材质，探头发射面应光滑和坚硬耐磨。</w:t>
      </w:r>
    </w:p>
    <w:p w14:paraId="00B92D15">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5.2.2 为保证超声信号强度</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换能器最大驱动电压应达到600V</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能实现不同工况下</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驱动电压无极连续可调。</w:t>
      </w:r>
    </w:p>
    <w:p w14:paraId="3DA56DA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5.2.3声道采用交叉布置方式。</w:t>
      </w:r>
    </w:p>
    <w:p w14:paraId="3A2372E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5.2.4声道长10m以下采用1MHz频率的超声换能器，声道长10m以上采用500kHz频率的超声换能器。</w:t>
      </w:r>
    </w:p>
    <w:p w14:paraId="7743D18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5.2.5 内贴式布置的超声换能器采用双体备份。外插式超声换能器在管内压力低于0.5MPa情况下</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可实现带水带压不停运安装检修。</w:t>
      </w:r>
    </w:p>
    <w:p w14:paraId="09DF0A1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5.2.6 压力管道安装超声换能器的开孔部位，应按照GB/T150.3中的相关规定进行补强。</w:t>
      </w:r>
    </w:p>
    <w:p w14:paraId="4808997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5.2.7 超声换能器的安装应避开管道焊接部位，超声换能器的安装支承件外形应平顺，减少管道内流态的影响。</w:t>
      </w:r>
    </w:p>
    <w:p w14:paraId="20D48A8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Cs w:val="0"/>
          <w:snapToGrid/>
          <w:color w:val="auto"/>
          <w:kern w:val="2"/>
          <w:sz w:val="24"/>
          <w:szCs w:val="24"/>
          <w:highlight w:val="none"/>
        </w:rPr>
      </w:pPr>
      <w:r>
        <w:rPr>
          <w:rFonts w:hint="eastAsia" w:ascii="宋体" w:hAnsi="宋体" w:eastAsia="宋体" w:cs="宋体"/>
          <w:snapToGrid/>
          <w:color w:val="auto"/>
          <w:kern w:val="2"/>
          <w:sz w:val="24"/>
          <w:szCs w:val="24"/>
          <w:highlight w:val="none"/>
        </w:rPr>
        <w:t>5.3 电缆及密封装置</w:t>
      </w:r>
    </w:p>
    <w:p w14:paraId="5B4D3A6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5.3.1 超声换能器和主机系统采用同轴射频电缆连接，射频电缆不应转接。</w:t>
      </w:r>
    </w:p>
    <w:p w14:paraId="5DFAE32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5.3.2 内贴式超声波流量计须在管道上设置电缆套管。电缆穿管处应设置防护板，避免水流直接冲刷，防护板外形应平顺。射频电缆与水流隔断部位应设置电缆密封装置。</w:t>
      </w:r>
    </w:p>
    <w:p w14:paraId="2E833F6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5.3.3 水位计信号（若有）电缆采用双绞线带气管防水专用电缆。</w:t>
      </w:r>
    </w:p>
    <w:p w14:paraId="5166357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Cs w:val="0"/>
          <w:snapToGrid/>
          <w:color w:val="auto"/>
          <w:kern w:val="2"/>
          <w:sz w:val="24"/>
          <w:szCs w:val="24"/>
          <w:highlight w:val="none"/>
        </w:rPr>
      </w:pPr>
      <w:r>
        <w:rPr>
          <w:rFonts w:hint="eastAsia" w:ascii="宋体" w:hAnsi="宋体" w:eastAsia="宋体" w:cs="宋体"/>
          <w:snapToGrid/>
          <w:color w:val="auto"/>
          <w:kern w:val="2"/>
          <w:sz w:val="24"/>
          <w:szCs w:val="24"/>
          <w:highlight w:val="none"/>
        </w:rPr>
        <w:t>5.4 户外布置主机柜</w:t>
      </w:r>
    </w:p>
    <w:p w14:paraId="6816E48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 主机柜为户外式布置，采用304不锈钢板折弯焊接结构，板厚＞1.5mm。</w:t>
      </w:r>
    </w:p>
    <w:p w14:paraId="6A31AAE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5.4.2 主机柜采用双开门、柜底开孔出线、落地式安装，配防水密封接头。</w:t>
      </w:r>
    </w:p>
    <w:p w14:paraId="725CB44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5.4.3 柜体防护等级IP56及以上。</w:t>
      </w:r>
    </w:p>
    <w:p w14:paraId="1353DC8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5.4.4 柜体内主要安装主机系统、220V交直流电源模块、电源防雷保护器、电加热器、除湿器和温湿度控制器等</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可自动控制柜内温湿度。</w:t>
      </w:r>
    </w:p>
    <w:p w14:paraId="7ED8B43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5.4.5 柜体带底座安装，外形尺寸：底座为250（高）×720（宽）×390（深）mm，本体为1550（高）×720（宽）×400（深）mm（不含门楣高度）；本体与底座采用螺栓连接。</w:t>
      </w:r>
    </w:p>
    <w:p w14:paraId="2724469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5.4.6 柜体结构：参照XLW-21型，采用门板外包式钢结构箱，顶部采用突出后背、前面突出的双坡帽檐式防雨结构；外门上装有防尘橡皮嵌条，外门与柜的连接处装有U型防尘槽；可旋出内门板上安装操作按钮和仪表，底板上安装板前接线的元器件。</w:t>
      </w:r>
    </w:p>
    <w:p w14:paraId="5F9C6C5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5.4.7 固定方式：底座通过预埋#10基础槽钢焊接固定，本体与底座采用螺栓连接。</w:t>
      </w:r>
    </w:p>
    <w:p w14:paraId="636DFCB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5.4.8 柜体进出线方式：底部预留5只穿线敲落孔，孔径50mm，孔与孔之间间隔20mm居中布置。</w:t>
      </w:r>
    </w:p>
    <w:p w14:paraId="7A18DCB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5.4.9 柜顶部帽檐式前部突出朝下部位设有格栅式通风孔，内侧装有滤网（可拆卸）；背后突出20mm，柜顶部内侧安装LED节能灯，采用门控开关控制。</w:t>
      </w:r>
    </w:p>
    <w:p w14:paraId="6388B69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5.4.10本体柜门门轴在左手侧（以人面对箱体正面为准</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；门锁在右手侧，采用MS816-6型号亚光色门锁（钥匙通用），门锁三套锁紧结构。</w:t>
      </w:r>
    </w:p>
    <w:p w14:paraId="2A38DA8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5.4.11 外门防护，三联铰链，可旋出内门板上安装操作按钮和仪表，元器件下方应采用丝网印刷工艺注明功能。</w:t>
      </w:r>
    </w:p>
    <w:p w14:paraId="64C6526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5.4.12 柜内应有安装元件的框架，在框架的垂直角钢上冲有长孔φ9×120，以便元器件可采用条架、钢板或绝缘板的方式进行安装；箱内元器件采用板前接线，导线采用PVC线槽布线。</w:t>
      </w:r>
    </w:p>
    <w:p w14:paraId="2C4D1CF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5.4.13外门与柜体、内门板与柜体、柜体与底座之间分别用4mm</w:t>
      </w:r>
      <w:r>
        <w:rPr>
          <w:rFonts w:hint="eastAsia" w:ascii="宋体" w:hAnsi="宋体" w:eastAsia="宋体" w:cs="宋体"/>
          <w:snapToGrid/>
          <w:color w:val="auto"/>
          <w:kern w:val="2"/>
          <w:sz w:val="24"/>
          <w:szCs w:val="24"/>
          <w:highlight w:val="none"/>
          <w:vertAlign w:val="baseline"/>
        </w:rPr>
        <w:t>2</w:t>
      </w:r>
      <w:r>
        <w:rPr>
          <w:rFonts w:hint="eastAsia" w:ascii="宋体" w:hAnsi="宋体" w:eastAsia="宋体" w:cs="宋体"/>
          <w:snapToGrid/>
          <w:color w:val="auto"/>
          <w:kern w:val="2"/>
          <w:sz w:val="24"/>
          <w:szCs w:val="24"/>
          <w:highlight w:val="none"/>
        </w:rPr>
        <w:t>镀锡编织铜带加透明套管可靠连接。</w:t>
      </w:r>
    </w:p>
    <w:p w14:paraId="11E73EF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5.4.14 门楣印字采用在厚度1.0mm的黄铜板上刻印黑色字体，固定在外门上方与边齐平处；黄铜板尺寸为720×60mm；内套715×55mm长方形墨绿线框，线条粗1mm；柜体名称按技术联络会纪要所确认的命名；字体为宋体，字宽25mm，字高40mm，位置居中布置。</w:t>
      </w:r>
    </w:p>
    <w:p w14:paraId="20C5F34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5.4.15 生产厂家的公司LOGO标志统一印制在柜门右下角，LOGO标志尺寸大小为80×80mm，并与产品信息追溯二维码合一，除此柜门正面及底座其他地方不得出现公司名称等标志。</w:t>
      </w:r>
    </w:p>
    <w:p w14:paraId="3678C97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5.4.16 加热器的布置应避开柜内电缆布置路径，以防过热引起绝缘损坏。</w:t>
      </w:r>
    </w:p>
    <w:p w14:paraId="72AB401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Cs w:val="0"/>
          <w:snapToGrid/>
          <w:color w:val="auto"/>
          <w:kern w:val="2"/>
          <w:sz w:val="24"/>
          <w:szCs w:val="24"/>
          <w:highlight w:val="none"/>
        </w:rPr>
      </w:pPr>
      <w:r>
        <w:rPr>
          <w:rFonts w:hint="eastAsia" w:ascii="宋体" w:hAnsi="宋体" w:eastAsia="宋体" w:cs="宋体"/>
          <w:snapToGrid/>
          <w:color w:val="auto"/>
          <w:kern w:val="2"/>
          <w:sz w:val="24"/>
          <w:szCs w:val="24"/>
          <w:highlight w:val="none"/>
        </w:rPr>
        <w:t>5.5 户内或井内布置主机柜</w:t>
      </w:r>
    </w:p>
    <w:p w14:paraId="6374285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 主机柜为户内式布置，采用钢板折弯焊接结构，板厚＞1.5mm。</w:t>
      </w:r>
    </w:p>
    <w:p w14:paraId="251AD9F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5.5.2 主机柜采用双开门、柜底开孔出线、落地式安装。</w:t>
      </w:r>
    </w:p>
    <w:p w14:paraId="7C611CE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5.5.3 柜体防护等级IP56及以上。</w:t>
      </w:r>
    </w:p>
    <w:p w14:paraId="45282AB3">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5.5.4 柜体内主要安装主机系统、220V交直流电源模块、电源防雷保护器、电加热器、除湿器和温湿度控制器等</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可自动控制柜内温湿度。</w:t>
      </w:r>
    </w:p>
    <w:p w14:paraId="0C16B0F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5.5.5 柜体外形尺寸：底座为250（高）×720（宽）×390（深）mm，本体为1550（高）×720（宽）×400（深）mm（不含门楣高度）；本体与底座采用螺栓连接。</w:t>
      </w:r>
    </w:p>
    <w:p w14:paraId="532F8409">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5.5.6 柜体颜色</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 xml:space="preserve"> RAL7035，橘纹，静电喷涂。</w:t>
      </w:r>
    </w:p>
    <w:p w14:paraId="5A7739D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5.5.7 固定方式：底座通过预埋#10基础槽钢焊接固定，本体与底座采用螺栓连接。</w:t>
      </w:r>
    </w:p>
    <w:p w14:paraId="688E34D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5.5.8 柜体进出线方式：底部预留5只穿线敲落孔，孔径50mm，孔与孔之间间隔20mm居中布置。</w:t>
      </w:r>
    </w:p>
    <w:p w14:paraId="2B4BE1C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5.5.9 柜顶设有格栅式通风孔，内侧装有滤网（可拆卸）；柜顶部内侧安装LED节能灯，采用门控开关控制。</w:t>
      </w:r>
    </w:p>
    <w:p w14:paraId="072E105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5.5.10本体柜门门轴在左手侧（以人面对箱体正面为准</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；门锁在右手侧，采用MS816-6型号亚光色门锁（钥匙通用），门锁三套锁紧结构。</w:t>
      </w:r>
    </w:p>
    <w:p w14:paraId="3E4912B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5.5.11 外门防护，三联铰链，可旋出内门板上安装操作按钮和仪表，元器件下方应采用丝网印刷工艺注明功能。</w:t>
      </w:r>
    </w:p>
    <w:p w14:paraId="2ACEAEE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5.5.12 柜内应有安装元件的框架，在框架的垂直角钢上冲有长孔φ9×120，以便元器件可采用条架、钢板或绝缘板的方式进行安装；箱内元器件采用板前接线，导线采用PVC线槽布线。</w:t>
      </w:r>
    </w:p>
    <w:p w14:paraId="7DCB25F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5.5.13外门与柜体、内门板与柜体、柜体与底座之间分别用4mm</w:t>
      </w:r>
      <w:r>
        <w:rPr>
          <w:rFonts w:hint="eastAsia" w:ascii="宋体" w:hAnsi="宋体" w:eastAsia="宋体" w:cs="宋体"/>
          <w:snapToGrid/>
          <w:color w:val="auto"/>
          <w:kern w:val="2"/>
          <w:sz w:val="24"/>
          <w:szCs w:val="24"/>
          <w:highlight w:val="none"/>
          <w:vertAlign w:val="baseline"/>
        </w:rPr>
        <w:t>2</w:t>
      </w:r>
      <w:r>
        <w:rPr>
          <w:rFonts w:hint="eastAsia" w:ascii="宋体" w:hAnsi="宋体" w:eastAsia="宋体" w:cs="宋体"/>
          <w:snapToGrid/>
          <w:color w:val="auto"/>
          <w:kern w:val="2"/>
          <w:sz w:val="24"/>
          <w:szCs w:val="24"/>
          <w:highlight w:val="none"/>
        </w:rPr>
        <w:t>镀锡编织铜带加透明套管可靠连接。</w:t>
      </w:r>
    </w:p>
    <w:p w14:paraId="7A6B4F9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5.5.14 门楣印字采用在厚度1.0mm的黄铜板上刻印黑色字体，固定在外门上方与边齐平处；黄铜板尺寸为720×60mm；内套715×55mm长方形墨绿线框，线条粗1mm；柜体名称按技术联络会纪要所确认的命名；字体为宋体，字宽25mm，字高40mm，位置居中布置。</w:t>
      </w:r>
    </w:p>
    <w:p w14:paraId="40E7D0C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5.5.15 生产厂家的公司LOGO标志统一印制在柜门右下角，LOGO标志尺寸大小为80×80mm，并与产品信息追溯二维码合一，除此柜门正面及底座其他地方不得出现公司名称等标志。</w:t>
      </w:r>
    </w:p>
    <w:p w14:paraId="4425DD1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5.5.16 加热器的布置应避开柜内电缆布置路径，以防过热引起绝缘损坏。</w:t>
      </w:r>
    </w:p>
    <w:p w14:paraId="181EE0B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Cs w:val="0"/>
          <w:snapToGrid/>
          <w:color w:val="auto"/>
          <w:kern w:val="2"/>
          <w:sz w:val="24"/>
          <w:szCs w:val="24"/>
          <w:highlight w:val="none"/>
        </w:rPr>
      </w:pPr>
      <w:r>
        <w:rPr>
          <w:rFonts w:hint="eastAsia" w:ascii="宋体" w:hAnsi="宋体" w:eastAsia="宋体" w:cs="宋体"/>
          <w:snapToGrid/>
          <w:color w:val="auto"/>
          <w:kern w:val="2"/>
          <w:sz w:val="24"/>
          <w:szCs w:val="24"/>
          <w:highlight w:val="none"/>
        </w:rPr>
        <w:t>5.6 水位计</w:t>
      </w:r>
    </w:p>
    <w:p w14:paraId="7CED47A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5.6.1 水位计采用压阻式。</w:t>
      </w:r>
    </w:p>
    <w:p w14:paraId="6A7E516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5.6.2 水位计的水位测量精度不低于0.1%。</w:t>
      </w:r>
    </w:p>
    <w:p w14:paraId="571B8CF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5.6.3 水位计连接电缆采用双绞线带气管防水专用电缆。</w:t>
      </w:r>
    </w:p>
    <w:p w14:paraId="213F1486">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5.6.4 水位计安装用钢管和安装附件由承包人提供。</w:t>
      </w:r>
    </w:p>
    <w:p w14:paraId="3379DA8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5.6.5 如果水位计离主机柜距离较远，应设置水位计接线盒，接线盒及安装附件也由承包人提供。</w:t>
      </w:r>
    </w:p>
    <w:p w14:paraId="06E60E2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（六） 试验和检验</w:t>
      </w:r>
    </w:p>
    <w:p w14:paraId="60D1827F">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 超声波流量计出厂时，在实验室条件下，可采用静水声速法进行准确度检验。对于已安装在现场的超声波流量计，根据《超声流量计检定规程》（JJG1030）的规定，可采用以声速比较为基础，对超声波流量计进行在线检测。</w:t>
      </w:r>
    </w:p>
    <w:p w14:paraId="7D28D704">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6.2 对超声波流量计用500V的兆欧表测量被测试部位（AC220V接线端子）对外壳接地点的绝缘电阻不小于10MΩ。</w:t>
      </w:r>
    </w:p>
    <w:p w14:paraId="1C1D99A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 将超声换能器放入压力罐中，保证电缆尾部不进水，给压力罐加压到使用环境压力的1.5倍</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1h内超声换能器或电缆不应渗水，压力罐压力下降不应超过0.1MPa。</w:t>
      </w:r>
    </w:p>
    <w:p w14:paraId="7BA2904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 静电放电抗扰度试验根据《电磁兼容 试验和测量技术静电放电抗扰度试验》（GB/T17626.2）要求进行、电瞬变脉冲群抗扰度试验根据《电磁兼容试验和测量技术 电快速瞬变脉冲群抗扰度试验》（GB/T17626.4）要求进行、工频磁场抗扰度试验根据《电磁兼容 试验和测量技术工频磁场抗扰度试验》（GB/T17626.8）要求进行、涌浪抗扰度试验根据《电磁兼容试验和测量技术涌浪（冲击）抗扰度试验》（GB/T17626.5）要求进行，各项试验结果应满足4.3.7条的要求。</w:t>
      </w:r>
    </w:p>
    <w:p w14:paraId="5D059331">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6.5 超声波流量计主机和配套的超声换能器连成系统，在静水中，调试声波信号正常后连续通电72h，要求设备测量正常、功能正常。</w:t>
      </w:r>
    </w:p>
    <w:p w14:paraId="5B3829FA">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6.6 将超声换能器成对固定在静水中，并与超声波流量计主机连成系统，逐项测试超声波流量计的各项功能。</w:t>
      </w:r>
    </w:p>
    <w:p w14:paraId="1B168297">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6.7 超声波流量计出厂前应逐台检验。</w:t>
      </w:r>
    </w:p>
    <w:p w14:paraId="10361C6B">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6.8 超声波流量计的工厂检验和现场试验项目见</w:t>
      </w:r>
      <w:r>
        <w:rPr>
          <w:rFonts w:hint="eastAsia" w:ascii="宋体" w:hAnsi="宋体" w:eastAsia="宋体" w:cs="宋体"/>
          <w:snapToGrid/>
          <w:color w:val="auto"/>
          <w:kern w:val="2"/>
          <w:sz w:val="24"/>
          <w:szCs w:val="24"/>
          <w:highlight w:val="none"/>
          <w:lang w:val="en-US" w:eastAsia="zh-CN"/>
        </w:rPr>
        <w:t>下</w:t>
      </w:r>
      <w:r>
        <w:rPr>
          <w:rFonts w:hint="eastAsia" w:ascii="宋体" w:hAnsi="宋体" w:eastAsia="宋体" w:cs="宋体"/>
          <w:snapToGrid/>
          <w:color w:val="auto"/>
          <w:kern w:val="2"/>
          <w:sz w:val="24"/>
          <w:szCs w:val="24"/>
          <w:highlight w:val="none"/>
        </w:rPr>
        <w:t>表。</w:t>
      </w:r>
    </w:p>
    <w:p w14:paraId="1F9DB47D">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color w:val="auto"/>
          <w:kern w:val="2"/>
          <w:sz w:val="24"/>
          <w:szCs w:val="24"/>
          <w:highlight w:val="none"/>
        </w:rPr>
        <w:t>表</w:t>
      </w:r>
      <w:r>
        <w:rPr>
          <w:rFonts w:hint="eastAsia" w:ascii="宋体" w:hAnsi="宋体" w:eastAsia="宋体" w:cs="宋体"/>
          <w:snapToGrid/>
          <w:color w:val="auto"/>
          <w:kern w:val="2"/>
          <w:sz w:val="24"/>
          <w:szCs w:val="24"/>
          <w:highlight w:val="none"/>
          <w:lang w:val="en-US" w:eastAsia="zh-CN"/>
        </w:rPr>
        <w:t>6.11.6</w:t>
      </w:r>
      <w:r>
        <w:rPr>
          <w:rFonts w:hint="eastAsia" w:ascii="宋体" w:hAnsi="宋体" w:eastAsia="宋体" w:cs="宋体"/>
          <w:snapToGrid/>
          <w:color w:val="auto"/>
          <w:kern w:val="2"/>
          <w:sz w:val="24"/>
          <w:szCs w:val="24"/>
          <w:highlight w:val="none"/>
        </w:rPr>
        <w:t xml:space="preserve">-1 </w:t>
      </w:r>
      <w:r>
        <w:rPr>
          <w:rFonts w:hint="eastAsia" w:ascii="宋体" w:hAnsi="宋体" w:eastAsia="宋体" w:cs="宋体"/>
          <w:snapToGrid/>
          <w:color w:val="auto"/>
          <w:kern w:val="2"/>
          <w:sz w:val="24"/>
          <w:szCs w:val="24"/>
          <w:highlight w:val="none"/>
          <w:lang w:val="en-US" w:eastAsia="zh-CN"/>
        </w:rPr>
        <w:t xml:space="preserve">                  </w:t>
      </w:r>
      <w:r>
        <w:rPr>
          <w:rFonts w:hint="eastAsia" w:ascii="宋体" w:hAnsi="宋体" w:eastAsia="宋体" w:cs="宋体"/>
          <w:snapToGrid/>
          <w:color w:val="auto"/>
          <w:kern w:val="2"/>
          <w:sz w:val="24"/>
          <w:szCs w:val="24"/>
          <w:highlight w:val="none"/>
        </w:rPr>
        <w:t xml:space="preserve"> 出厂检验和现场试验项目</w:t>
      </w:r>
    </w:p>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3669"/>
        <w:gridCol w:w="2273"/>
        <w:gridCol w:w="2273"/>
      </w:tblGrid>
      <w:tr w14:paraId="541D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6FD561CE">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018" w:type="pct"/>
            <w:noWrap w:val="0"/>
            <w:vAlign w:val="center"/>
          </w:tcPr>
          <w:p w14:paraId="7696F73F">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1250" w:type="pct"/>
            <w:noWrap w:val="0"/>
            <w:vAlign w:val="center"/>
          </w:tcPr>
          <w:p w14:paraId="739673F2">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出厂检验</w:t>
            </w:r>
          </w:p>
        </w:tc>
        <w:tc>
          <w:tcPr>
            <w:tcW w:w="1250" w:type="pct"/>
            <w:noWrap w:val="0"/>
            <w:vAlign w:val="center"/>
          </w:tcPr>
          <w:p w14:paraId="191C7CC7">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现场试验</w:t>
            </w:r>
          </w:p>
        </w:tc>
      </w:tr>
      <w:tr w14:paraId="058B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07F04530">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018" w:type="pct"/>
            <w:noWrap w:val="0"/>
            <w:vAlign w:val="center"/>
          </w:tcPr>
          <w:p w14:paraId="08BDEA02">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外观</w:t>
            </w:r>
          </w:p>
        </w:tc>
        <w:tc>
          <w:tcPr>
            <w:tcW w:w="1250" w:type="pct"/>
            <w:noWrap w:val="0"/>
            <w:vAlign w:val="center"/>
          </w:tcPr>
          <w:p w14:paraId="64AC8348">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5778C98F">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61831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05C6A98D">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018" w:type="pct"/>
            <w:noWrap w:val="0"/>
            <w:vAlign w:val="center"/>
          </w:tcPr>
          <w:p w14:paraId="75A4ACFC">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数据显示及人机对话</w:t>
            </w:r>
          </w:p>
        </w:tc>
        <w:tc>
          <w:tcPr>
            <w:tcW w:w="1250" w:type="pct"/>
            <w:noWrap w:val="0"/>
            <w:vAlign w:val="center"/>
          </w:tcPr>
          <w:p w14:paraId="4688935B">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094C7150">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0FCB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6EAFB021">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018" w:type="pct"/>
            <w:noWrap w:val="0"/>
            <w:vAlign w:val="center"/>
          </w:tcPr>
          <w:p w14:paraId="7788514C">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数据传输</w:t>
            </w:r>
          </w:p>
        </w:tc>
        <w:tc>
          <w:tcPr>
            <w:tcW w:w="1250" w:type="pct"/>
            <w:noWrap w:val="0"/>
            <w:vAlign w:val="center"/>
          </w:tcPr>
          <w:p w14:paraId="402BDA75">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5C4AF6A0">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362D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58E12D00">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018" w:type="pct"/>
            <w:noWrap w:val="0"/>
            <w:vAlign w:val="center"/>
          </w:tcPr>
          <w:p w14:paraId="28C135B7">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自诊断功能检验</w:t>
            </w:r>
          </w:p>
        </w:tc>
        <w:tc>
          <w:tcPr>
            <w:tcW w:w="1250" w:type="pct"/>
            <w:noWrap w:val="0"/>
            <w:vAlign w:val="center"/>
          </w:tcPr>
          <w:p w14:paraId="6B12BBD2">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3A5CA4B5">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04086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4FDCDC7B">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018" w:type="pct"/>
            <w:noWrap w:val="0"/>
            <w:vAlign w:val="center"/>
          </w:tcPr>
          <w:p w14:paraId="6C25318D">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准确度检验</w:t>
            </w:r>
          </w:p>
        </w:tc>
        <w:tc>
          <w:tcPr>
            <w:tcW w:w="1250" w:type="pct"/>
            <w:noWrap w:val="0"/>
            <w:vAlign w:val="center"/>
          </w:tcPr>
          <w:p w14:paraId="2F45ADB1">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1D0CE630">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r w14:paraId="6754A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4F42808E">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2018" w:type="pct"/>
            <w:noWrap w:val="0"/>
            <w:vAlign w:val="center"/>
          </w:tcPr>
          <w:p w14:paraId="7D1999FF">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绝缘性能</w:t>
            </w:r>
          </w:p>
        </w:tc>
        <w:tc>
          <w:tcPr>
            <w:tcW w:w="1250" w:type="pct"/>
            <w:noWrap w:val="0"/>
            <w:vAlign w:val="center"/>
          </w:tcPr>
          <w:p w14:paraId="0879AB40">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12265E96">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r>
      <w:tr w14:paraId="3B7F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784A29B9">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2018" w:type="pct"/>
            <w:noWrap w:val="0"/>
            <w:vAlign w:val="center"/>
          </w:tcPr>
          <w:p w14:paraId="58764EF3">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耐压防护</w:t>
            </w:r>
          </w:p>
        </w:tc>
        <w:tc>
          <w:tcPr>
            <w:tcW w:w="1250" w:type="pct"/>
            <w:noWrap w:val="0"/>
            <w:vAlign w:val="center"/>
          </w:tcPr>
          <w:p w14:paraId="600264EC">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1F3F00EB">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p>
        </w:tc>
      </w:tr>
      <w:tr w14:paraId="2E6C8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2" w:type="pct"/>
            <w:noWrap w:val="0"/>
            <w:vAlign w:val="center"/>
          </w:tcPr>
          <w:p w14:paraId="378A5739">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2018" w:type="pct"/>
            <w:noWrap w:val="0"/>
            <w:vAlign w:val="center"/>
          </w:tcPr>
          <w:p w14:paraId="47311A28">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连续通电</w:t>
            </w:r>
          </w:p>
        </w:tc>
        <w:tc>
          <w:tcPr>
            <w:tcW w:w="1250" w:type="pct"/>
            <w:noWrap w:val="0"/>
            <w:vAlign w:val="center"/>
          </w:tcPr>
          <w:p w14:paraId="67A9F9AE">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250" w:type="pct"/>
            <w:noWrap w:val="0"/>
            <w:vAlign w:val="center"/>
          </w:tcPr>
          <w:p w14:paraId="68416BBD">
            <w:pPr>
              <w:keepNext w:val="0"/>
              <w:keepLines w:val="0"/>
              <w:pageBreakBefore w:val="0"/>
              <w:widowControl w:val="0"/>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r>
    </w:tbl>
    <w:p w14:paraId="15F4CC0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（七）售后服务</w:t>
      </w:r>
    </w:p>
    <w:p w14:paraId="2473E04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要求流量计设备制造厂商必须在中国具有独立、自有售后服务中心</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 xml:space="preserve"> 并提供制造厂商中国国内法律实体名称</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办公地址及联系方式备查</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保证在整个项目实施过程中提供原厂商售后服务。</w:t>
      </w:r>
    </w:p>
    <w:p w14:paraId="700D0B0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p>
    <w:p w14:paraId="08462F50">
      <w:pPr>
        <w:pStyle w:val="41"/>
        <w:numPr>
          <w:ilvl w:val="0"/>
          <w:numId w:val="0"/>
        </w:numPr>
        <w:kinsoku/>
        <w:topLinePunct/>
        <w:spacing w:line="360" w:lineRule="auto"/>
        <w:jc w:val="left"/>
        <w:outlineLvl w:val="1"/>
        <w:rPr>
          <w:rFonts w:hint="eastAsia" w:ascii="宋体" w:hAnsi="宋体" w:eastAsia="宋体" w:cs="宋体"/>
          <w:b/>
          <w:bCs/>
          <w:color w:val="auto"/>
          <w:sz w:val="24"/>
          <w:szCs w:val="24"/>
          <w:highlight w:val="none"/>
        </w:rPr>
      </w:pPr>
      <w:bookmarkStart w:id="1159" w:name="_Toc13038"/>
      <w:bookmarkStart w:id="1160" w:name="_Toc7939"/>
      <w:bookmarkStart w:id="1161" w:name="_Toc822"/>
      <w:bookmarkStart w:id="1162" w:name="_Toc15442"/>
      <w:bookmarkStart w:id="1163" w:name="_Toc27270"/>
      <w:bookmarkStart w:id="1164" w:name="_Toc18402"/>
      <w:bookmarkStart w:id="1165" w:name="_Toc6879"/>
      <w:bookmarkStart w:id="1166" w:name="_Toc12217"/>
      <w:bookmarkStart w:id="1167" w:name="_Toc30392"/>
      <w:bookmarkStart w:id="1168" w:name="_Toc24062"/>
      <w:bookmarkStart w:id="1169" w:name="_Toc25742"/>
      <w:bookmarkStart w:id="1170" w:name="_Toc6424"/>
      <w:bookmarkStart w:id="1171" w:name="_Toc30523"/>
      <w:bookmarkStart w:id="1172" w:name="_Toc18144"/>
      <w:bookmarkStart w:id="1173" w:name="_Toc32341"/>
      <w:bookmarkStart w:id="1174" w:name="_Toc9884"/>
      <w:bookmarkStart w:id="1175" w:name="_Toc18757"/>
      <w:bookmarkStart w:id="1176" w:name="_Toc1986"/>
      <w:bookmarkStart w:id="1177" w:name="_Toc32706"/>
      <w:bookmarkStart w:id="1178" w:name="_Toc25817"/>
      <w:bookmarkStart w:id="1179" w:name="_Toc28439"/>
      <w:bookmarkStart w:id="1180" w:name="_Toc25393"/>
      <w:bookmarkStart w:id="1181" w:name="_Toc22763"/>
      <w:r>
        <w:rPr>
          <w:rFonts w:hint="eastAsia" w:ascii="宋体" w:hAnsi="宋体" w:eastAsia="宋体" w:cs="宋体"/>
          <w:b/>
          <w:bCs/>
          <w:snapToGrid/>
          <w:color w:val="auto"/>
          <w:spacing w:val="0"/>
          <w:sz w:val="24"/>
          <w:szCs w:val="24"/>
          <w:highlight w:val="none"/>
          <w:lang w:val="en-US" w:eastAsia="zh-CN" w:bidi="en-US"/>
        </w:rPr>
        <w:t>十二  电磁流量计</w:t>
      </w:r>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p>
    <w:p w14:paraId="127A596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（一）电磁流量计总要求</w:t>
      </w:r>
    </w:p>
    <w:p w14:paraId="473ADF9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1.1本工程电磁流量计均为分体式安装，精度为0.5级。</w:t>
      </w:r>
    </w:p>
    <w:p w14:paraId="297A007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 因本工程所有电磁流量计安装环境潮湿，因此所有电磁流量计均为IP68，壳体采用不低于不锈钢304的材质，电极采用不低于不锈钢316L的材质。</w:t>
      </w:r>
    </w:p>
    <w:p w14:paraId="38869FE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（二）电磁流量计供货范围及备品备件</w:t>
      </w:r>
    </w:p>
    <w:p w14:paraId="73106AB4">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 包括电磁流量计本体、配对法兰、连接的螺栓、螺母，以及备品备件。</w:t>
      </w:r>
    </w:p>
    <w:p w14:paraId="7ECBE6A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（三）技术参数</w:t>
      </w:r>
    </w:p>
    <w:p w14:paraId="65A975E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 产品符合JB/T 9248-2015。</w:t>
      </w:r>
    </w:p>
    <w:p w14:paraId="232D3D6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 法兰标准：GB/T 9124.1-2019。</w:t>
      </w:r>
    </w:p>
    <w:p w14:paraId="015C4960">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1.3 压力等级：PN1.6MPa(PN16)。</w:t>
      </w:r>
    </w:p>
    <w:p w14:paraId="60667534">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1.4 传感器法兰材质：不低于不锈钢304。</w:t>
      </w:r>
    </w:p>
    <w:p w14:paraId="62D827D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1.5 传感器外壳：不低于不锈钢304。</w:t>
      </w:r>
    </w:p>
    <w:p w14:paraId="35BAFDF4">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1.6 电极形式：标准型。</w:t>
      </w:r>
    </w:p>
    <w:p w14:paraId="529B19A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1.7 电极材质：不低于不锈钢316L。</w:t>
      </w:r>
    </w:p>
    <w:p w14:paraId="2D5BB1E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1.8 衬里材质：氯丁橡胶。</w:t>
      </w:r>
    </w:p>
    <w:p w14:paraId="7321BB7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1.9 防护绝缘等级：传感器IP68/E </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常温线圈</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，转换器IP66/67。</w:t>
      </w:r>
    </w:p>
    <w:p w14:paraId="5445F23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1.10 接地形式：普通接地环/DN10-300:316L,≥DN350</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304。</w:t>
      </w:r>
    </w:p>
    <w:p w14:paraId="1CE90B9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1.11 转换器外壳：标准（分体式）。</w:t>
      </w:r>
    </w:p>
    <w:p w14:paraId="77FC771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1.12 输出及通讯协议：RS485输出；必须是转换器自带的内置通讯，能够实现流量计与外部设备的双向通讯功能。</w:t>
      </w:r>
    </w:p>
    <w:p w14:paraId="14E03E2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1.13 供电：220VAC/ 24VDC</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电源适应偏离值在±10%工况下能正常工作。</w:t>
      </w:r>
    </w:p>
    <w:p w14:paraId="3413178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1.14 电气接口：M20*1.5。</w:t>
      </w:r>
    </w:p>
    <w:p w14:paraId="4B1B41C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1.15 防爆：无防爆要求。</w:t>
      </w:r>
    </w:p>
    <w:p w14:paraId="003695B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1.16 电缆：传感器和转换器电缆长度为30米，电磁流量计可满足精度正常测量（与一次仪表一体封装，不得破拆连接）。（若安装现场对传感器和转换器电缆长度有特殊要求，须提供配套长度电缆，延长后的电缆能满足精度正常测量要求）</w:t>
      </w:r>
    </w:p>
    <w:p w14:paraId="12195A4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1.17 附件：标准（标定证书及操作手册）。</w:t>
      </w:r>
    </w:p>
    <w:p w14:paraId="0A54825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1.18 精度：0.5级，投标单位在投标文件中须出具每个口径流量计的精度证明（提供各口径产品计量器具型式批准证书或省级及以上法定计量检定机构出具的检定证书）在流量计铭牌上要有明确标识。</w:t>
      </w:r>
    </w:p>
    <w:p w14:paraId="7A885A0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1.19 介质为</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自来水。</w:t>
      </w:r>
    </w:p>
    <w:p w14:paraId="2446C7CC">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1.20 水温</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0-40℃。</w:t>
      </w:r>
    </w:p>
    <w:p w14:paraId="2ACC9DA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1.21 环境温度：-40℃-65℃。</w:t>
      </w:r>
    </w:p>
    <w:p w14:paraId="76D352B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1.22 产品需满足安装现场零位校验条件（具有相应校验设备），每台流量计须提供一次安装现场零位校验服务。 </w:t>
      </w:r>
    </w:p>
    <w:p w14:paraId="23E70D1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1.23 产品具有抗电磁、电涌、静电干扰能力。</w:t>
      </w:r>
    </w:p>
    <w:p w14:paraId="4685226C">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p>
    <w:p w14:paraId="16D28BE8">
      <w:pPr>
        <w:pStyle w:val="41"/>
        <w:numPr>
          <w:ilvl w:val="0"/>
          <w:numId w:val="0"/>
        </w:numPr>
        <w:kinsoku/>
        <w:topLinePunct/>
        <w:spacing w:line="360" w:lineRule="auto"/>
        <w:jc w:val="left"/>
        <w:outlineLvl w:val="1"/>
        <w:rPr>
          <w:rFonts w:hint="eastAsia" w:ascii="宋体" w:hAnsi="宋体" w:eastAsia="宋体" w:cs="宋体"/>
          <w:b/>
          <w:bCs/>
          <w:snapToGrid/>
          <w:color w:val="auto"/>
          <w:spacing w:val="0"/>
          <w:sz w:val="24"/>
          <w:szCs w:val="24"/>
          <w:highlight w:val="none"/>
          <w:lang w:val="en-US" w:eastAsia="zh-CN" w:bidi="en-US"/>
        </w:rPr>
      </w:pPr>
      <w:bookmarkStart w:id="1182" w:name="_Toc30815"/>
      <w:bookmarkStart w:id="1183" w:name="_Toc25160"/>
      <w:bookmarkStart w:id="1184" w:name="_Toc10946"/>
      <w:bookmarkStart w:id="1185" w:name="_Toc25664"/>
      <w:bookmarkStart w:id="1186" w:name="_Toc25559"/>
      <w:bookmarkStart w:id="1187" w:name="_Toc4055"/>
      <w:bookmarkStart w:id="1188" w:name="_Toc26169"/>
      <w:bookmarkStart w:id="1189" w:name="_Toc595"/>
      <w:bookmarkStart w:id="1190" w:name="_Toc23446"/>
      <w:bookmarkStart w:id="1191" w:name="_Toc7775"/>
      <w:bookmarkStart w:id="1192" w:name="_Toc15026"/>
      <w:bookmarkStart w:id="1193" w:name="_Toc14448"/>
      <w:bookmarkStart w:id="1194" w:name="_Toc21718"/>
      <w:bookmarkStart w:id="1195" w:name="_Toc9768"/>
      <w:bookmarkStart w:id="1196" w:name="_Toc13606"/>
      <w:bookmarkStart w:id="1197" w:name="_Toc7091"/>
      <w:bookmarkStart w:id="1198" w:name="_Toc16285"/>
      <w:bookmarkStart w:id="1199" w:name="_Toc5220"/>
      <w:bookmarkStart w:id="1200" w:name="_Toc11637"/>
      <w:bookmarkStart w:id="1201" w:name="_Toc24211"/>
      <w:bookmarkStart w:id="1202" w:name="_Toc25686"/>
      <w:bookmarkStart w:id="1203" w:name="_Toc32207"/>
      <w:bookmarkStart w:id="1204" w:name="_Toc13137"/>
      <w:r>
        <w:rPr>
          <w:rFonts w:hint="eastAsia" w:ascii="宋体" w:hAnsi="宋体" w:eastAsia="宋体" w:cs="宋体"/>
          <w:b/>
          <w:bCs/>
          <w:snapToGrid/>
          <w:color w:val="auto"/>
          <w:spacing w:val="0"/>
          <w:sz w:val="24"/>
          <w:szCs w:val="24"/>
          <w:highlight w:val="none"/>
          <w:lang w:val="en-US" w:eastAsia="zh-CN" w:bidi="en-US"/>
        </w:rPr>
        <w:t>十三 电动双梁桥式起重机</w:t>
      </w:r>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p>
    <w:p w14:paraId="6DE7953C">
      <w:pPr>
        <w:keepNext w:val="0"/>
        <w:keepLines w:val="0"/>
        <w:pageBreakBefore w:val="0"/>
        <w:kinsoku/>
        <w:wordWrap/>
        <w:overflowPunct/>
        <w:topLinePunct/>
        <w:autoSpaceDE w:val="0"/>
        <w:autoSpaceDN w:val="0"/>
        <w:bidi w:val="0"/>
        <w:adjustRightInd w:val="0"/>
        <w:snapToGrid w:val="0"/>
        <w:spacing w:before="0" w:after="0" w:line="360" w:lineRule="auto"/>
        <w:ind w:firstLine="0" w:firstLineChars="0"/>
        <w:jc w:val="left"/>
        <w:textAlignment w:val="baseline"/>
        <w:outlineLvl w:val="9"/>
        <w:rPr>
          <w:rFonts w:hint="eastAsia" w:ascii="宋体" w:hAnsi="宋体" w:eastAsia="宋体" w:cs="宋体"/>
          <w:bCs w:val="0"/>
          <w:snapToGrid w:val="0"/>
          <w:color w:val="auto"/>
          <w:kern w:val="0"/>
          <w:sz w:val="24"/>
          <w:szCs w:val="24"/>
          <w:highlight w:val="none"/>
        </w:rPr>
      </w:pPr>
      <w:r>
        <w:rPr>
          <w:rFonts w:hint="eastAsia" w:ascii="宋体" w:hAnsi="宋体" w:eastAsia="宋体" w:cs="宋体"/>
          <w:bCs w:val="0"/>
          <w:snapToGrid w:val="0"/>
          <w:color w:val="auto"/>
          <w:kern w:val="0"/>
          <w:sz w:val="24"/>
          <w:szCs w:val="24"/>
          <w:highlight w:val="none"/>
        </w:rPr>
        <w:t>1、设备清单</w:t>
      </w:r>
    </w:p>
    <w:p w14:paraId="39EA4D45">
      <w:pPr>
        <w:keepNext w:val="0"/>
        <w:keepLines w:val="0"/>
        <w:pageBreakBefore w:val="0"/>
        <w:kinsoku/>
        <w:wordWrap/>
        <w:overflowPunct/>
        <w:topLinePunct/>
        <w:autoSpaceDE w:val="0"/>
        <w:autoSpaceDN w:val="0"/>
        <w:bidi w:val="0"/>
        <w:adjustRightInd w:val="0"/>
        <w:snapToGrid w:val="0"/>
        <w:spacing w:before="0" w:after="0" w:line="360" w:lineRule="auto"/>
        <w:ind w:firstLine="0" w:firstLineChars="0"/>
        <w:jc w:val="left"/>
        <w:textAlignment w:val="baseline"/>
        <w:outlineLvl w:val="9"/>
        <w:rPr>
          <w:rFonts w:hint="default" w:ascii="宋体" w:hAnsi="宋体" w:eastAsia="宋体" w:cs="宋体"/>
          <w:bCs w:val="0"/>
          <w:snapToGrid w:val="0"/>
          <w:color w:val="auto"/>
          <w:kern w:val="0"/>
          <w:sz w:val="24"/>
          <w:szCs w:val="24"/>
          <w:highlight w:val="none"/>
          <w:lang w:val="en-US" w:eastAsia="zh-CN"/>
        </w:rPr>
      </w:pPr>
      <w:r>
        <w:rPr>
          <w:rFonts w:hint="eastAsia" w:ascii="宋体" w:hAnsi="宋体" w:eastAsia="宋体" w:cs="宋体"/>
          <w:bCs w:val="0"/>
          <w:snapToGrid w:val="0"/>
          <w:color w:val="auto"/>
          <w:kern w:val="0"/>
          <w:sz w:val="24"/>
          <w:szCs w:val="24"/>
          <w:highlight w:val="none"/>
          <w:lang w:val="en-US" w:eastAsia="zh-CN"/>
        </w:rPr>
        <w:t xml:space="preserve">表 6.13.1-1                            </w:t>
      </w:r>
      <w:r>
        <w:rPr>
          <w:rFonts w:hint="eastAsia" w:ascii="宋体" w:hAnsi="宋体" w:eastAsia="宋体" w:cs="宋体"/>
          <w:bCs w:val="0"/>
          <w:snapToGrid w:val="0"/>
          <w:color w:val="auto"/>
          <w:kern w:val="0"/>
          <w:sz w:val="24"/>
          <w:szCs w:val="24"/>
          <w:highlight w:val="none"/>
        </w:rPr>
        <w:t>设备清单</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00"/>
        <w:gridCol w:w="2305"/>
        <w:gridCol w:w="4427"/>
        <w:gridCol w:w="716"/>
        <w:gridCol w:w="838"/>
      </w:tblGrid>
      <w:tr w14:paraId="108ED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0" w:type="pct"/>
            <w:tcBorders>
              <w:top w:val="single" w:color="000000" w:sz="4" w:space="0"/>
              <w:left w:val="single" w:color="000000" w:sz="4" w:space="0"/>
              <w:bottom w:val="single" w:color="000000" w:sz="4" w:space="0"/>
              <w:right w:val="single" w:color="000000" w:sz="4" w:space="0"/>
            </w:tcBorders>
            <w:noWrap/>
            <w:vAlign w:val="center"/>
          </w:tcPr>
          <w:p w14:paraId="024FD1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序号</w:t>
            </w:r>
          </w:p>
        </w:tc>
        <w:tc>
          <w:tcPr>
            <w:tcW w:w="1268" w:type="pct"/>
            <w:tcBorders>
              <w:top w:val="single" w:color="000000" w:sz="4" w:space="0"/>
              <w:left w:val="single" w:color="000000" w:sz="4" w:space="0"/>
              <w:bottom w:val="single" w:color="000000" w:sz="4" w:space="0"/>
              <w:right w:val="single" w:color="000000" w:sz="4" w:space="0"/>
            </w:tcBorders>
            <w:noWrap/>
            <w:vAlign w:val="center"/>
          </w:tcPr>
          <w:p w14:paraId="1173EC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设备类别</w:t>
            </w:r>
          </w:p>
        </w:tc>
        <w:tc>
          <w:tcPr>
            <w:tcW w:w="2435" w:type="pct"/>
            <w:tcBorders>
              <w:top w:val="single" w:color="000000" w:sz="4" w:space="0"/>
              <w:left w:val="single" w:color="000000" w:sz="4" w:space="0"/>
              <w:bottom w:val="single" w:color="000000" w:sz="4" w:space="0"/>
              <w:right w:val="single" w:color="000000" w:sz="4" w:space="0"/>
            </w:tcBorders>
            <w:noWrap/>
            <w:vAlign w:val="center"/>
          </w:tcPr>
          <w:p w14:paraId="29AF75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规格型号</w:t>
            </w: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07C77C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681810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r>
      <w:tr w14:paraId="77DA1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0" w:type="pct"/>
            <w:tcBorders>
              <w:top w:val="single" w:color="000000" w:sz="4" w:space="0"/>
              <w:left w:val="single" w:color="000000" w:sz="4" w:space="0"/>
              <w:bottom w:val="single" w:color="000000" w:sz="4" w:space="0"/>
              <w:right w:val="single" w:color="000000" w:sz="4" w:space="0"/>
            </w:tcBorders>
            <w:noWrap/>
            <w:vAlign w:val="center"/>
          </w:tcPr>
          <w:p w14:paraId="27F3A0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1268" w:type="pct"/>
            <w:tcBorders>
              <w:top w:val="single" w:color="000000" w:sz="4" w:space="0"/>
              <w:left w:val="single" w:color="000000" w:sz="4" w:space="0"/>
              <w:bottom w:val="single" w:color="000000" w:sz="4" w:space="0"/>
              <w:right w:val="single" w:color="000000" w:sz="4" w:space="0"/>
            </w:tcBorders>
            <w:noWrap/>
            <w:vAlign w:val="center"/>
          </w:tcPr>
          <w:p w14:paraId="48047A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双梁桥式起重机</w:t>
            </w:r>
          </w:p>
        </w:tc>
        <w:tc>
          <w:tcPr>
            <w:tcW w:w="2435" w:type="pct"/>
            <w:tcBorders>
              <w:top w:val="single" w:color="000000" w:sz="4" w:space="0"/>
              <w:left w:val="single" w:color="000000" w:sz="4" w:space="0"/>
              <w:bottom w:val="single" w:color="000000" w:sz="4" w:space="0"/>
              <w:right w:val="single" w:color="000000" w:sz="4" w:space="0"/>
            </w:tcBorders>
            <w:noWrap w:val="0"/>
            <w:vAlign w:val="center"/>
          </w:tcPr>
          <w:p w14:paraId="4BEBF2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25/5t，Lk=9.6m</w:t>
            </w: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720302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2E9C07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r>
      <w:tr w14:paraId="009A4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0" w:type="pct"/>
            <w:tcBorders>
              <w:top w:val="single" w:color="000000" w:sz="4" w:space="0"/>
              <w:left w:val="single" w:color="000000" w:sz="4" w:space="0"/>
              <w:bottom w:val="single" w:color="000000" w:sz="4" w:space="0"/>
              <w:right w:val="single" w:color="000000" w:sz="4" w:space="0"/>
            </w:tcBorders>
            <w:noWrap/>
            <w:vAlign w:val="center"/>
          </w:tcPr>
          <w:p w14:paraId="092F88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1268" w:type="pct"/>
            <w:tcBorders>
              <w:top w:val="single" w:color="000000" w:sz="4" w:space="0"/>
              <w:left w:val="single" w:color="000000" w:sz="4" w:space="0"/>
              <w:bottom w:val="single" w:color="000000" w:sz="4" w:space="0"/>
              <w:right w:val="single" w:color="000000" w:sz="4" w:space="0"/>
            </w:tcBorders>
            <w:noWrap/>
            <w:vAlign w:val="center"/>
          </w:tcPr>
          <w:p w14:paraId="388786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双梁桥式起重机</w:t>
            </w:r>
          </w:p>
        </w:tc>
        <w:tc>
          <w:tcPr>
            <w:tcW w:w="2435" w:type="pct"/>
            <w:tcBorders>
              <w:top w:val="single" w:color="000000" w:sz="4" w:space="0"/>
              <w:left w:val="single" w:color="000000" w:sz="4" w:space="0"/>
              <w:bottom w:val="single" w:color="000000" w:sz="4" w:space="0"/>
              <w:right w:val="single" w:color="000000" w:sz="4" w:space="0"/>
            </w:tcBorders>
            <w:noWrap/>
            <w:vAlign w:val="center"/>
          </w:tcPr>
          <w:p w14:paraId="0A41AD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10t，Lk=9.6m</w:t>
            </w:r>
          </w:p>
        </w:tc>
        <w:tc>
          <w:tcPr>
            <w:tcW w:w="394" w:type="pct"/>
            <w:tcBorders>
              <w:top w:val="single" w:color="000000" w:sz="4" w:space="0"/>
              <w:left w:val="single" w:color="000000" w:sz="4" w:space="0"/>
              <w:bottom w:val="single" w:color="000000" w:sz="4" w:space="0"/>
              <w:right w:val="single" w:color="000000" w:sz="4" w:space="0"/>
            </w:tcBorders>
            <w:noWrap w:val="0"/>
            <w:vAlign w:val="center"/>
          </w:tcPr>
          <w:p w14:paraId="430E2F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7A42FF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r>
      <w:tr w14:paraId="352CF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440" w:type="pct"/>
            <w:tcBorders>
              <w:top w:val="single" w:color="000000" w:sz="4" w:space="0"/>
              <w:left w:val="single" w:color="000000" w:sz="4" w:space="0"/>
              <w:bottom w:val="single" w:color="000000" w:sz="4" w:space="0"/>
              <w:right w:val="single" w:color="000000" w:sz="4" w:space="0"/>
            </w:tcBorders>
            <w:noWrap/>
            <w:vAlign w:val="center"/>
          </w:tcPr>
          <w:p w14:paraId="372041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1268" w:type="pct"/>
            <w:tcBorders>
              <w:top w:val="single" w:color="000000" w:sz="4" w:space="0"/>
              <w:left w:val="single" w:color="000000" w:sz="4" w:space="0"/>
              <w:bottom w:val="single" w:color="000000" w:sz="4" w:space="0"/>
              <w:right w:val="single" w:color="000000" w:sz="4" w:space="0"/>
            </w:tcBorders>
            <w:noWrap/>
            <w:vAlign w:val="center"/>
          </w:tcPr>
          <w:p w14:paraId="6C4179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双梁桥式起重机</w:t>
            </w:r>
          </w:p>
        </w:tc>
        <w:tc>
          <w:tcPr>
            <w:tcW w:w="2435" w:type="pct"/>
            <w:tcBorders>
              <w:top w:val="single" w:color="000000" w:sz="4" w:space="0"/>
              <w:left w:val="single" w:color="000000" w:sz="4" w:space="0"/>
              <w:bottom w:val="single" w:color="000000" w:sz="4" w:space="0"/>
              <w:right w:val="single" w:color="000000" w:sz="4" w:space="0"/>
            </w:tcBorders>
            <w:noWrap w:val="0"/>
            <w:vAlign w:val="center"/>
          </w:tcPr>
          <w:p w14:paraId="30CAED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32/5t，Lk=6.6m</w:t>
            </w:r>
          </w:p>
        </w:tc>
        <w:tc>
          <w:tcPr>
            <w:tcW w:w="394" w:type="pct"/>
            <w:tcBorders>
              <w:top w:val="single" w:color="000000" w:sz="4" w:space="0"/>
              <w:left w:val="single" w:color="000000" w:sz="4" w:space="0"/>
              <w:bottom w:val="single" w:color="000000" w:sz="4" w:space="0"/>
              <w:right w:val="single" w:color="000000" w:sz="4" w:space="0"/>
            </w:tcBorders>
            <w:noWrap/>
            <w:vAlign w:val="center"/>
          </w:tcPr>
          <w:p w14:paraId="7102DC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461" w:type="pct"/>
            <w:tcBorders>
              <w:top w:val="single" w:color="000000" w:sz="4" w:space="0"/>
              <w:left w:val="single" w:color="000000" w:sz="4" w:space="0"/>
              <w:bottom w:val="single" w:color="000000" w:sz="4" w:space="0"/>
              <w:right w:val="single" w:color="000000" w:sz="4" w:space="0"/>
            </w:tcBorders>
            <w:noWrap/>
            <w:vAlign w:val="center"/>
          </w:tcPr>
          <w:p w14:paraId="5E5CF1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r>
    </w:tbl>
    <w:p w14:paraId="44A9CEAF">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p>
    <w:p w14:paraId="465AE34A">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 供货及工作范围</w:t>
      </w:r>
    </w:p>
    <w:p w14:paraId="413700A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2.1.1 本章涵盖了对于以下设备从设计、制造、工厂试验；包装、运输、保险、交货；培训、设计协调、指导安装、现场服务、现场试验、试运行和验收的要求。</w:t>
      </w:r>
    </w:p>
    <w:p w14:paraId="3B7E35D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1）上表所包含的所有起重机，包括所有的电气设备、限位装置、安全装置等；</w:t>
      </w:r>
    </w:p>
    <w:p w14:paraId="09A372B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2）起重机大车P38轨道，长度见上表，含4只轨道阻进器、轨道压板、联接件、预埋螺栓、螺母及垫板等所有轨道附件；</w:t>
      </w:r>
    </w:p>
    <w:p w14:paraId="7910AE5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3）封闭式安全滑触线，含固定滑触线所需的预埋件和附件；</w:t>
      </w:r>
    </w:p>
    <w:p w14:paraId="7207CF3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4）规定的备品备件；</w:t>
      </w:r>
    </w:p>
    <w:p w14:paraId="7D3A93C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5）必须的专用工器具；</w:t>
      </w:r>
    </w:p>
    <w:p w14:paraId="094B639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6）用于工地涂刷的最后一道面漆；</w:t>
      </w:r>
    </w:p>
    <w:p w14:paraId="51019BF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7）起重机技术文件，产品合格证书、使用说明书、装箱单、随机备品备件及专用工具明细表、易损件图样等。</w:t>
      </w:r>
    </w:p>
    <w:p w14:paraId="08EDF1B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8）提供报验资料，并协助发包人取得特种设备使用登记证。</w:t>
      </w:r>
    </w:p>
    <w:p w14:paraId="711DB0F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2.1.2 起重机的安装和现场试验将在承包人的技术指导和监督下，由安装承包人或其他承包人完成。</w:t>
      </w:r>
    </w:p>
    <w:p w14:paraId="21A1E30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2.1.3 工作范围</w:t>
      </w:r>
    </w:p>
    <w:p w14:paraId="0C0C77B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2.1.3.1 承包人应完成本技术条款涉及的合同设备的设计、制造、工厂试验、包装、运输、交货、技术资料的提供、技术服务和交接验收，并对上述工作范围内的工作负全部责任。</w:t>
      </w:r>
    </w:p>
    <w:p w14:paraId="2E212AD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2.1.3.2 按本技术条款要求，完成与工程设计有关的设计联络，负责与其他相关设备承包人之间的协调；接受发包人代表参加工厂检验、监造、见证工厂试验和参加工厂验收。 </w:t>
      </w:r>
    </w:p>
    <w:p w14:paraId="39668AE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2.1.3.3 在工厂和现场对发包人人员进行合同设备性能、组装、试验、运行和维护等方面的指导和培训。</w:t>
      </w:r>
    </w:p>
    <w:p w14:paraId="294A86B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2.1.3.4 与其他承包人配合、协调完成的工作还包括：</w:t>
      </w:r>
    </w:p>
    <w:p w14:paraId="67E9E0F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1）指导合同设备交货以后的保管；</w:t>
      </w:r>
    </w:p>
    <w:p w14:paraId="69636F9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2）指导合同设备安装、调试等。</w:t>
      </w:r>
    </w:p>
    <w:p w14:paraId="01AA730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2.1.3.5 本技术条款中未说明的但与设计、制造、工厂试验、包装、运输、保管、安装、现场试验和运行维护等相关的工作，均按相关标准执行。</w:t>
      </w:r>
    </w:p>
    <w:p w14:paraId="045A041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2.1.4 供货界限</w:t>
      </w:r>
    </w:p>
    <w:p w14:paraId="52CB884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土建侧——供货至大车轨道和滑触线的基础螺栓、螺母及垫板、压板、支撑架等；</w:t>
      </w:r>
    </w:p>
    <w:p w14:paraId="4CF096D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控制及电气系统——供货至承包人提供的盘柜端子；</w:t>
      </w:r>
    </w:p>
    <w:p w14:paraId="0BD383D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承包人提供的成套设备之间的机械和电气连接均属承包人的供货范围。</w:t>
      </w:r>
    </w:p>
    <w:p w14:paraId="46EFABE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2.1.5 试验、组装和安装</w:t>
      </w:r>
    </w:p>
    <w:p w14:paraId="0FB50EB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1）完成材料试验和工厂试验。</w:t>
      </w:r>
    </w:p>
    <w:p w14:paraId="3CFF2C8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2）完成规定部件的工厂组装。</w:t>
      </w:r>
    </w:p>
    <w:p w14:paraId="5A83DC4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3）为合同设备的现场组装、安装及现场试验提供技术服务。</w:t>
      </w:r>
    </w:p>
    <w:p w14:paraId="17A6F4B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2.1.6 桥式起重机推荐品牌</w:t>
      </w:r>
      <w:r>
        <w:rPr>
          <w:rFonts w:hint="eastAsia" w:ascii="宋体" w:hAnsi="宋体" w:eastAsia="宋体" w:cs="宋体"/>
          <w:snapToGrid/>
          <w:color w:val="auto"/>
          <w:kern w:val="2"/>
          <w:sz w:val="24"/>
          <w:szCs w:val="24"/>
          <w:highlight w:val="none"/>
          <w:lang w:val="en-US" w:eastAsia="zh-CN"/>
        </w:rPr>
        <w:t>见本章一般规定</w:t>
      </w:r>
      <w:r>
        <w:rPr>
          <w:rFonts w:hint="eastAsia" w:ascii="宋体" w:hAnsi="宋体" w:eastAsia="宋体" w:cs="宋体"/>
          <w:snapToGrid/>
          <w:color w:val="auto"/>
          <w:kern w:val="2"/>
          <w:sz w:val="24"/>
          <w:szCs w:val="24"/>
          <w:highlight w:val="none"/>
        </w:rPr>
        <w:t>。</w:t>
      </w:r>
    </w:p>
    <w:p w14:paraId="76545CDD">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2.2 型式及说明</w:t>
      </w:r>
    </w:p>
    <w:p w14:paraId="36A4E0E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本合同中的所有室内用的电动葫芦桥式起重机，用于主厂房内机组及辅助设备的安装与检修。电源滑触线布置在主厂房下游侧，起重机操纵方式为地面操纵（含跟随式手电按钮装置和遥控器）。具体布置以联络会确定为准。</w:t>
      </w:r>
    </w:p>
    <w:p w14:paraId="62474AAB">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2.3 桥机主要技术参数</w:t>
      </w:r>
    </w:p>
    <w:p w14:paraId="5AAFF48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2.3.1  桥机主要技术参数见表</w:t>
      </w:r>
      <w:r>
        <w:rPr>
          <w:rFonts w:hint="eastAsia" w:ascii="宋体" w:hAnsi="宋体" w:eastAsia="宋体" w:cs="宋体"/>
          <w:snapToGrid/>
          <w:color w:val="auto"/>
          <w:kern w:val="2"/>
          <w:sz w:val="24"/>
          <w:szCs w:val="24"/>
          <w:highlight w:val="none"/>
          <w:lang w:val="en-US" w:eastAsia="zh-CN"/>
        </w:rPr>
        <w:t>6.13.2</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lang w:val="en-US" w:eastAsia="zh-CN"/>
        </w:rPr>
        <w:t>1、6.13.2-2</w:t>
      </w:r>
      <w:r>
        <w:rPr>
          <w:rFonts w:hint="eastAsia" w:ascii="宋体" w:hAnsi="宋体" w:eastAsia="宋体" w:cs="宋体"/>
          <w:snapToGrid/>
          <w:color w:val="auto"/>
          <w:kern w:val="2"/>
          <w:sz w:val="24"/>
          <w:szCs w:val="24"/>
          <w:highlight w:val="none"/>
        </w:rPr>
        <w:t>。</w:t>
      </w:r>
    </w:p>
    <w:p w14:paraId="57935C3E">
      <w:pPr>
        <w:keepNext w:val="0"/>
        <w:keepLines w:val="0"/>
        <w:pageBreakBefore w:val="0"/>
        <w:tabs>
          <w:tab w:val="left" w:pos="3025"/>
        </w:tabs>
        <w:kinsoku/>
        <w:wordWrap/>
        <w:overflowPunct/>
        <w:topLinePunct/>
        <w:autoSpaceDE w:val="0"/>
        <w:autoSpaceDN w:val="0"/>
        <w:bidi w:val="0"/>
        <w:adjustRightInd w:val="0"/>
        <w:snapToGrid w:val="0"/>
        <w:spacing w:line="360" w:lineRule="auto"/>
        <w:ind w:firstLine="0" w:firstLineChars="0"/>
        <w:jc w:val="left"/>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表</w:t>
      </w:r>
      <w:r>
        <w:rPr>
          <w:rFonts w:hint="eastAsia" w:ascii="宋体" w:hAnsi="宋体" w:eastAsia="宋体" w:cs="宋体"/>
          <w:b/>
          <w:snapToGrid w:val="0"/>
          <w:color w:val="auto"/>
          <w:sz w:val="24"/>
          <w:szCs w:val="24"/>
          <w:highlight w:val="none"/>
          <w:lang w:val="en-US" w:eastAsia="zh-CN"/>
        </w:rPr>
        <w:t>6.13.2</w:t>
      </w:r>
      <w:r>
        <w:rPr>
          <w:rFonts w:hint="eastAsia" w:ascii="宋体" w:hAnsi="宋体" w:eastAsia="宋体" w:cs="宋体"/>
          <w:b/>
          <w:snapToGrid w:val="0"/>
          <w:color w:val="auto"/>
          <w:sz w:val="24"/>
          <w:szCs w:val="24"/>
          <w:highlight w:val="none"/>
        </w:rPr>
        <w:t>-</w:t>
      </w:r>
      <w:r>
        <w:rPr>
          <w:rFonts w:hint="eastAsia" w:ascii="宋体" w:hAnsi="宋体" w:eastAsia="宋体" w:cs="宋体"/>
          <w:b/>
          <w:snapToGrid w:val="0"/>
          <w:color w:val="auto"/>
          <w:sz w:val="24"/>
          <w:szCs w:val="24"/>
          <w:highlight w:val="none"/>
          <w:lang w:val="en-US" w:eastAsia="zh-CN"/>
        </w:rPr>
        <w:t>1</w:t>
      </w:r>
      <w:r>
        <w:rPr>
          <w:rFonts w:hint="eastAsia" w:ascii="宋体" w:hAnsi="宋体" w:eastAsia="宋体" w:cs="宋体"/>
          <w:b/>
          <w:snapToGrid w:val="0"/>
          <w:color w:val="auto"/>
          <w:sz w:val="24"/>
          <w:szCs w:val="24"/>
          <w:highlight w:val="none"/>
        </w:rPr>
        <w:t xml:space="preserve">  </w:t>
      </w:r>
      <w:r>
        <w:rPr>
          <w:rFonts w:hint="eastAsia" w:ascii="宋体" w:hAnsi="宋体" w:eastAsia="宋体" w:cs="宋体"/>
          <w:b/>
          <w:snapToGrid w:val="0"/>
          <w:color w:val="auto"/>
          <w:sz w:val="24"/>
          <w:szCs w:val="24"/>
          <w:highlight w:val="none"/>
          <w:lang w:val="en-US" w:eastAsia="zh-CN"/>
        </w:rPr>
        <w:t xml:space="preserve">                      </w:t>
      </w:r>
      <w:r>
        <w:rPr>
          <w:rFonts w:hint="eastAsia" w:ascii="宋体" w:hAnsi="宋体" w:eastAsia="宋体" w:cs="宋体"/>
          <w:b/>
          <w:snapToGrid w:val="0"/>
          <w:color w:val="auto"/>
          <w:sz w:val="24"/>
          <w:szCs w:val="24"/>
          <w:highlight w:val="none"/>
        </w:rPr>
        <w:t>主要技术参数表</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46"/>
        <w:gridCol w:w="1921"/>
        <w:gridCol w:w="2941"/>
        <w:gridCol w:w="1899"/>
        <w:gridCol w:w="1178"/>
      </w:tblGrid>
      <w:tr w14:paraId="3808D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restart"/>
            <w:noWrap w:val="0"/>
            <w:vAlign w:val="center"/>
          </w:tcPr>
          <w:p w14:paraId="618360F5">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桥</w:t>
            </w:r>
          </w:p>
          <w:p w14:paraId="539E74F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机</w:t>
            </w:r>
          </w:p>
        </w:tc>
        <w:tc>
          <w:tcPr>
            <w:tcW w:w="1056" w:type="pct"/>
            <w:noWrap w:val="0"/>
            <w:vAlign w:val="center"/>
          </w:tcPr>
          <w:p w14:paraId="5BAE39E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型  号</w:t>
            </w:r>
          </w:p>
        </w:tc>
        <w:tc>
          <w:tcPr>
            <w:tcW w:w="2663" w:type="pct"/>
            <w:gridSpan w:val="2"/>
            <w:noWrap w:val="0"/>
            <w:vAlign w:val="center"/>
          </w:tcPr>
          <w:p w14:paraId="479EA7A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25/3t电动葫芦双梁桥式起重机</w:t>
            </w:r>
          </w:p>
        </w:tc>
        <w:tc>
          <w:tcPr>
            <w:tcW w:w="648" w:type="pct"/>
            <w:noWrap w:val="0"/>
            <w:vAlign w:val="center"/>
          </w:tcPr>
          <w:p w14:paraId="6CD1573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备  注</w:t>
            </w:r>
          </w:p>
        </w:tc>
      </w:tr>
      <w:tr w14:paraId="40E2A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5CD827A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noWrap w:val="0"/>
            <w:vAlign w:val="center"/>
          </w:tcPr>
          <w:p w14:paraId="43D3B1E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跨  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w:t>
            </w:r>
            <w:r>
              <w:rPr>
                <w:rFonts w:hint="eastAsia" w:ascii="宋体" w:hAnsi="宋体" w:eastAsia="宋体" w:cs="宋体"/>
                <w:snapToGrid w:val="0"/>
                <w:color w:val="auto"/>
                <w:sz w:val="24"/>
                <w:szCs w:val="24"/>
                <w:highlight w:val="none"/>
                <w:lang w:eastAsia="zh-CN"/>
              </w:rPr>
              <w:t>）</w:t>
            </w:r>
          </w:p>
        </w:tc>
        <w:tc>
          <w:tcPr>
            <w:tcW w:w="2663" w:type="pct"/>
            <w:gridSpan w:val="2"/>
            <w:noWrap w:val="0"/>
            <w:vAlign w:val="center"/>
          </w:tcPr>
          <w:p w14:paraId="6F7030A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7.5</w:t>
            </w:r>
          </w:p>
        </w:tc>
        <w:tc>
          <w:tcPr>
            <w:tcW w:w="648" w:type="pct"/>
            <w:vMerge w:val="restart"/>
            <w:noWrap w:val="0"/>
            <w:vAlign w:val="center"/>
          </w:tcPr>
          <w:p w14:paraId="6465BAF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61F94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31B66CC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noWrap w:val="0"/>
            <w:vAlign w:val="center"/>
          </w:tcPr>
          <w:p w14:paraId="778E833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工作级别</w:t>
            </w:r>
          </w:p>
        </w:tc>
        <w:tc>
          <w:tcPr>
            <w:tcW w:w="2663" w:type="pct"/>
            <w:gridSpan w:val="2"/>
            <w:noWrap w:val="0"/>
            <w:vAlign w:val="center"/>
          </w:tcPr>
          <w:p w14:paraId="7D80E0C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A3</w:t>
            </w:r>
          </w:p>
        </w:tc>
        <w:tc>
          <w:tcPr>
            <w:tcW w:w="648" w:type="pct"/>
            <w:vMerge w:val="continue"/>
            <w:noWrap w:val="0"/>
            <w:vAlign w:val="center"/>
          </w:tcPr>
          <w:p w14:paraId="6685B47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54D49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129F191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vMerge w:val="restart"/>
            <w:noWrap w:val="0"/>
            <w:vAlign w:val="center"/>
          </w:tcPr>
          <w:p w14:paraId="642C1A5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起重量</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t</w:t>
            </w:r>
            <w:r>
              <w:rPr>
                <w:rFonts w:hint="eastAsia" w:ascii="宋体" w:hAnsi="宋体" w:eastAsia="宋体" w:cs="宋体"/>
                <w:snapToGrid w:val="0"/>
                <w:color w:val="auto"/>
                <w:sz w:val="24"/>
                <w:szCs w:val="24"/>
                <w:highlight w:val="none"/>
                <w:lang w:eastAsia="zh-CN"/>
              </w:rPr>
              <w:t>）</w:t>
            </w:r>
          </w:p>
        </w:tc>
        <w:tc>
          <w:tcPr>
            <w:tcW w:w="1618" w:type="pct"/>
            <w:noWrap w:val="0"/>
            <w:vAlign w:val="center"/>
          </w:tcPr>
          <w:p w14:paraId="7A3E462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主电动葫芦</w:t>
            </w:r>
          </w:p>
        </w:tc>
        <w:tc>
          <w:tcPr>
            <w:tcW w:w="1044" w:type="pct"/>
            <w:noWrap w:val="0"/>
            <w:vAlign w:val="center"/>
          </w:tcPr>
          <w:p w14:paraId="1EBC0ED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副电动葫芦</w:t>
            </w:r>
          </w:p>
        </w:tc>
        <w:tc>
          <w:tcPr>
            <w:tcW w:w="648" w:type="pct"/>
            <w:vMerge w:val="continue"/>
            <w:noWrap w:val="0"/>
            <w:vAlign w:val="center"/>
          </w:tcPr>
          <w:p w14:paraId="4822662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38C83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264F3D8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vMerge w:val="continue"/>
            <w:noWrap w:val="0"/>
            <w:vAlign w:val="center"/>
          </w:tcPr>
          <w:p w14:paraId="580869A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618" w:type="pct"/>
            <w:noWrap w:val="0"/>
            <w:vAlign w:val="center"/>
          </w:tcPr>
          <w:p w14:paraId="2105889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25</w:t>
            </w:r>
          </w:p>
        </w:tc>
        <w:tc>
          <w:tcPr>
            <w:tcW w:w="1044" w:type="pct"/>
            <w:noWrap w:val="0"/>
            <w:vAlign w:val="center"/>
          </w:tcPr>
          <w:p w14:paraId="1953AFE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p>
        </w:tc>
        <w:tc>
          <w:tcPr>
            <w:tcW w:w="648" w:type="pct"/>
            <w:vMerge w:val="continue"/>
            <w:noWrap w:val="0"/>
            <w:vAlign w:val="center"/>
          </w:tcPr>
          <w:p w14:paraId="7537E93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406D9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restart"/>
            <w:noWrap w:val="0"/>
            <w:vAlign w:val="center"/>
          </w:tcPr>
          <w:p w14:paraId="7352F09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起升机构</w:t>
            </w:r>
          </w:p>
        </w:tc>
        <w:tc>
          <w:tcPr>
            <w:tcW w:w="1056" w:type="pct"/>
            <w:noWrap w:val="0"/>
            <w:vAlign w:val="center"/>
          </w:tcPr>
          <w:p w14:paraId="4904950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起升速度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m/min</w:t>
            </w:r>
            <w:r>
              <w:rPr>
                <w:rFonts w:hint="eastAsia" w:ascii="宋体" w:hAnsi="宋体" w:eastAsia="宋体" w:cs="宋体"/>
                <w:snapToGrid w:val="0"/>
                <w:color w:val="auto"/>
                <w:sz w:val="24"/>
                <w:szCs w:val="24"/>
                <w:highlight w:val="none"/>
                <w:lang w:eastAsia="zh-CN"/>
              </w:rPr>
              <w:t>）</w:t>
            </w:r>
          </w:p>
        </w:tc>
        <w:tc>
          <w:tcPr>
            <w:tcW w:w="1618" w:type="pct"/>
            <w:noWrap w:val="0"/>
            <w:vAlign w:val="center"/>
          </w:tcPr>
          <w:p w14:paraId="6EA1910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双速0.35/3.5</w:t>
            </w:r>
          </w:p>
        </w:tc>
        <w:tc>
          <w:tcPr>
            <w:tcW w:w="1044" w:type="pct"/>
            <w:noWrap w:val="0"/>
            <w:vAlign w:val="center"/>
          </w:tcPr>
          <w:p w14:paraId="46DC4A2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双速0.8/8.0</w:t>
            </w:r>
          </w:p>
        </w:tc>
        <w:tc>
          <w:tcPr>
            <w:tcW w:w="648" w:type="pct"/>
            <w:vMerge w:val="continue"/>
            <w:noWrap w:val="0"/>
            <w:vAlign w:val="center"/>
          </w:tcPr>
          <w:p w14:paraId="168ED1D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10DC3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548D555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noWrap w:val="0"/>
            <w:vAlign w:val="center"/>
          </w:tcPr>
          <w:p w14:paraId="16C8D46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起升高度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w:t>
            </w:r>
            <w:r>
              <w:rPr>
                <w:rFonts w:hint="eastAsia" w:ascii="宋体" w:hAnsi="宋体" w:eastAsia="宋体" w:cs="宋体"/>
                <w:snapToGrid w:val="0"/>
                <w:color w:val="auto"/>
                <w:sz w:val="24"/>
                <w:szCs w:val="24"/>
                <w:highlight w:val="none"/>
                <w:lang w:eastAsia="zh-CN"/>
              </w:rPr>
              <w:t>）</w:t>
            </w:r>
          </w:p>
        </w:tc>
        <w:tc>
          <w:tcPr>
            <w:tcW w:w="1618" w:type="pct"/>
            <w:noWrap w:val="0"/>
            <w:vAlign w:val="center"/>
          </w:tcPr>
          <w:p w14:paraId="0701B6A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14</w:t>
            </w:r>
          </w:p>
        </w:tc>
        <w:tc>
          <w:tcPr>
            <w:tcW w:w="1044" w:type="pct"/>
            <w:noWrap w:val="0"/>
            <w:vAlign w:val="center"/>
          </w:tcPr>
          <w:p w14:paraId="21E0A39A">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16</w:t>
            </w:r>
          </w:p>
        </w:tc>
        <w:tc>
          <w:tcPr>
            <w:tcW w:w="648" w:type="pct"/>
            <w:vMerge w:val="continue"/>
            <w:noWrap w:val="0"/>
            <w:vAlign w:val="center"/>
          </w:tcPr>
          <w:p w14:paraId="797D5CA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3A904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21CD666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noWrap w:val="0"/>
            <w:vAlign w:val="center"/>
          </w:tcPr>
          <w:p w14:paraId="498651A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工作级别</w:t>
            </w:r>
          </w:p>
        </w:tc>
        <w:tc>
          <w:tcPr>
            <w:tcW w:w="1618" w:type="pct"/>
            <w:noWrap w:val="0"/>
            <w:vAlign w:val="center"/>
          </w:tcPr>
          <w:p w14:paraId="53D83F7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1044" w:type="pct"/>
            <w:noWrap w:val="0"/>
            <w:vAlign w:val="center"/>
          </w:tcPr>
          <w:p w14:paraId="2D9D746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648" w:type="pct"/>
            <w:vMerge w:val="continue"/>
            <w:noWrap w:val="0"/>
            <w:vAlign w:val="center"/>
          </w:tcPr>
          <w:p w14:paraId="2CBEB22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11285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restart"/>
            <w:noWrap w:val="0"/>
            <w:vAlign w:val="center"/>
          </w:tcPr>
          <w:p w14:paraId="11819A4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行走</w:t>
            </w:r>
          </w:p>
          <w:p w14:paraId="2FC2BBD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机构</w:t>
            </w:r>
          </w:p>
        </w:tc>
        <w:tc>
          <w:tcPr>
            <w:tcW w:w="1056" w:type="pct"/>
            <w:noWrap w:val="0"/>
            <w:vAlign w:val="center"/>
          </w:tcPr>
          <w:p w14:paraId="08A54D8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名    称</w:t>
            </w:r>
          </w:p>
        </w:tc>
        <w:tc>
          <w:tcPr>
            <w:tcW w:w="1618" w:type="pct"/>
            <w:noWrap w:val="0"/>
            <w:vAlign w:val="center"/>
          </w:tcPr>
          <w:p w14:paraId="20339005">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大  车</w:t>
            </w:r>
          </w:p>
        </w:tc>
        <w:tc>
          <w:tcPr>
            <w:tcW w:w="1044" w:type="pct"/>
            <w:noWrap w:val="0"/>
            <w:vAlign w:val="center"/>
          </w:tcPr>
          <w:p w14:paraId="611B6FD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小  车</w:t>
            </w:r>
          </w:p>
        </w:tc>
        <w:tc>
          <w:tcPr>
            <w:tcW w:w="648" w:type="pct"/>
            <w:vMerge w:val="continue"/>
            <w:noWrap w:val="0"/>
            <w:vAlign w:val="center"/>
          </w:tcPr>
          <w:p w14:paraId="31D158F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0ABDC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688B045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noWrap w:val="0"/>
            <w:vAlign w:val="center"/>
          </w:tcPr>
          <w:p w14:paraId="7A754135">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行走速度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m/min</w:t>
            </w:r>
            <w:r>
              <w:rPr>
                <w:rFonts w:hint="eastAsia" w:ascii="宋体" w:hAnsi="宋体" w:eastAsia="宋体" w:cs="宋体"/>
                <w:snapToGrid w:val="0"/>
                <w:color w:val="auto"/>
                <w:sz w:val="24"/>
                <w:szCs w:val="24"/>
                <w:highlight w:val="none"/>
                <w:lang w:eastAsia="zh-CN"/>
              </w:rPr>
              <w:t>）</w:t>
            </w:r>
          </w:p>
        </w:tc>
        <w:tc>
          <w:tcPr>
            <w:tcW w:w="1618" w:type="pct"/>
            <w:noWrap w:val="0"/>
            <w:vAlign w:val="center"/>
          </w:tcPr>
          <w:p w14:paraId="67A6761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变频调速3-30</w:t>
            </w:r>
          </w:p>
        </w:tc>
        <w:tc>
          <w:tcPr>
            <w:tcW w:w="1044" w:type="pct"/>
            <w:noWrap w:val="0"/>
            <w:vAlign w:val="center"/>
          </w:tcPr>
          <w:p w14:paraId="3E32AFA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变频调速2-20</w:t>
            </w:r>
          </w:p>
        </w:tc>
        <w:tc>
          <w:tcPr>
            <w:tcW w:w="648" w:type="pct"/>
            <w:vMerge w:val="continue"/>
            <w:noWrap w:val="0"/>
            <w:vAlign w:val="center"/>
          </w:tcPr>
          <w:p w14:paraId="6F29CB8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047E7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631" w:type="pct"/>
            <w:vMerge w:val="continue"/>
            <w:noWrap w:val="0"/>
            <w:vAlign w:val="center"/>
          </w:tcPr>
          <w:p w14:paraId="087A73C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56" w:type="pct"/>
            <w:noWrap w:val="0"/>
            <w:vAlign w:val="center"/>
          </w:tcPr>
          <w:p w14:paraId="1D3FE28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工作级别</w:t>
            </w:r>
          </w:p>
        </w:tc>
        <w:tc>
          <w:tcPr>
            <w:tcW w:w="1618" w:type="pct"/>
            <w:noWrap w:val="0"/>
            <w:vAlign w:val="center"/>
          </w:tcPr>
          <w:p w14:paraId="7C2FA65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1044" w:type="pct"/>
            <w:noWrap w:val="0"/>
            <w:vAlign w:val="center"/>
          </w:tcPr>
          <w:p w14:paraId="23ABAD5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648" w:type="pct"/>
            <w:vMerge w:val="continue"/>
            <w:noWrap w:val="0"/>
            <w:vAlign w:val="center"/>
          </w:tcPr>
          <w:p w14:paraId="094D903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77F3C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8" w:type="pct"/>
            <w:gridSpan w:val="2"/>
            <w:noWrap w:val="0"/>
            <w:vAlign w:val="center"/>
          </w:tcPr>
          <w:p w14:paraId="418AA9D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最大轮压Pmax(kN)</w:t>
            </w:r>
          </w:p>
        </w:tc>
        <w:tc>
          <w:tcPr>
            <w:tcW w:w="2663" w:type="pct"/>
            <w:gridSpan w:val="2"/>
            <w:noWrap w:val="0"/>
            <w:vAlign w:val="center"/>
          </w:tcPr>
          <w:p w14:paraId="03415E7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≤300</w:t>
            </w:r>
          </w:p>
        </w:tc>
        <w:tc>
          <w:tcPr>
            <w:tcW w:w="648" w:type="pct"/>
            <w:noWrap w:val="0"/>
            <w:vAlign w:val="center"/>
          </w:tcPr>
          <w:p w14:paraId="14A6E01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每侧2个轮子</w:t>
            </w:r>
          </w:p>
        </w:tc>
      </w:tr>
      <w:tr w14:paraId="7C75E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688" w:type="pct"/>
            <w:gridSpan w:val="2"/>
            <w:noWrap w:val="0"/>
            <w:vAlign w:val="center"/>
          </w:tcPr>
          <w:p w14:paraId="51E6EF4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电源</w:t>
            </w:r>
          </w:p>
        </w:tc>
        <w:tc>
          <w:tcPr>
            <w:tcW w:w="2663" w:type="pct"/>
            <w:gridSpan w:val="2"/>
            <w:noWrap w:val="0"/>
            <w:vAlign w:val="center"/>
          </w:tcPr>
          <w:p w14:paraId="78B527C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三相交流电源，380V，50Hz</w:t>
            </w:r>
          </w:p>
        </w:tc>
        <w:tc>
          <w:tcPr>
            <w:tcW w:w="648" w:type="pct"/>
            <w:noWrap w:val="0"/>
            <w:vAlign w:val="center"/>
          </w:tcPr>
          <w:p w14:paraId="7F43BAF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bl>
    <w:p w14:paraId="099A6F4C">
      <w:pPr>
        <w:keepNext w:val="0"/>
        <w:keepLines w:val="0"/>
        <w:pageBreakBefore w:val="0"/>
        <w:tabs>
          <w:tab w:val="left" w:pos="3025"/>
        </w:tabs>
        <w:kinsoku/>
        <w:wordWrap/>
        <w:overflowPunct/>
        <w:topLinePunct/>
        <w:autoSpaceDE w:val="0"/>
        <w:autoSpaceDN w:val="0"/>
        <w:bidi w:val="0"/>
        <w:adjustRightInd w:val="0"/>
        <w:snapToGrid w:val="0"/>
        <w:spacing w:line="360" w:lineRule="auto"/>
        <w:ind w:firstLine="0" w:firstLineChars="0"/>
        <w:jc w:val="left"/>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表</w:t>
      </w:r>
      <w:r>
        <w:rPr>
          <w:rFonts w:hint="eastAsia" w:ascii="宋体" w:hAnsi="宋体" w:eastAsia="宋体" w:cs="宋体"/>
          <w:b/>
          <w:snapToGrid w:val="0"/>
          <w:color w:val="auto"/>
          <w:sz w:val="24"/>
          <w:szCs w:val="24"/>
          <w:highlight w:val="none"/>
          <w:lang w:val="en-US" w:eastAsia="zh-CN"/>
        </w:rPr>
        <w:t>6.13.2</w:t>
      </w:r>
      <w:r>
        <w:rPr>
          <w:rFonts w:hint="eastAsia" w:ascii="宋体" w:hAnsi="宋体" w:eastAsia="宋体" w:cs="宋体"/>
          <w:b/>
          <w:snapToGrid w:val="0"/>
          <w:color w:val="auto"/>
          <w:sz w:val="24"/>
          <w:szCs w:val="24"/>
          <w:highlight w:val="none"/>
        </w:rPr>
        <w:t>-</w:t>
      </w:r>
      <w:r>
        <w:rPr>
          <w:rFonts w:hint="eastAsia" w:ascii="宋体" w:hAnsi="宋体" w:eastAsia="宋体" w:cs="宋体"/>
          <w:b/>
          <w:snapToGrid w:val="0"/>
          <w:color w:val="auto"/>
          <w:sz w:val="24"/>
          <w:szCs w:val="24"/>
          <w:highlight w:val="none"/>
          <w:lang w:val="en-US" w:eastAsia="zh-CN"/>
        </w:rPr>
        <w:t>2</w:t>
      </w:r>
      <w:r>
        <w:rPr>
          <w:rFonts w:hint="eastAsia" w:ascii="宋体" w:hAnsi="宋体" w:eastAsia="宋体" w:cs="宋体"/>
          <w:b/>
          <w:snapToGrid w:val="0"/>
          <w:color w:val="auto"/>
          <w:sz w:val="24"/>
          <w:szCs w:val="24"/>
          <w:highlight w:val="none"/>
        </w:rPr>
        <w:t xml:space="preserve">  主要技术参数表</w:t>
      </w:r>
    </w:p>
    <w:tbl>
      <w:tblPr>
        <w:tblStyle w:val="22"/>
        <w:tblW w:w="50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4"/>
        <w:gridCol w:w="1892"/>
        <w:gridCol w:w="2986"/>
        <w:gridCol w:w="1868"/>
        <w:gridCol w:w="1197"/>
      </w:tblGrid>
      <w:tr w14:paraId="33E1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restart"/>
            <w:noWrap w:val="0"/>
            <w:vAlign w:val="center"/>
          </w:tcPr>
          <w:p w14:paraId="3F4DFD5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桥机</w:t>
            </w:r>
          </w:p>
        </w:tc>
        <w:tc>
          <w:tcPr>
            <w:tcW w:w="1036" w:type="pct"/>
            <w:noWrap w:val="0"/>
            <w:vAlign w:val="center"/>
          </w:tcPr>
          <w:p w14:paraId="351DE0F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型  号</w:t>
            </w:r>
          </w:p>
        </w:tc>
        <w:tc>
          <w:tcPr>
            <w:tcW w:w="2661" w:type="pct"/>
            <w:gridSpan w:val="2"/>
            <w:noWrap w:val="0"/>
            <w:vAlign w:val="center"/>
          </w:tcPr>
          <w:p w14:paraId="033F1C4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10/3t电动葫芦双梁桥式起重机</w:t>
            </w:r>
          </w:p>
        </w:tc>
        <w:tc>
          <w:tcPr>
            <w:tcW w:w="656" w:type="pct"/>
            <w:noWrap w:val="0"/>
            <w:vAlign w:val="center"/>
          </w:tcPr>
          <w:p w14:paraId="145FDD1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备  注</w:t>
            </w:r>
          </w:p>
        </w:tc>
      </w:tr>
      <w:tr w14:paraId="46A45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7723213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noWrap w:val="0"/>
            <w:vAlign w:val="center"/>
          </w:tcPr>
          <w:p w14:paraId="5B8389F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跨  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w:t>
            </w:r>
            <w:r>
              <w:rPr>
                <w:rFonts w:hint="eastAsia" w:ascii="宋体" w:hAnsi="宋体" w:eastAsia="宋体" w:cs="宋体"/>
                <w:snapToGrid w:val="0"/>
                <w:color w:val="auto"/>
                <w:sz w:val="24"/>
                <w:szCs w:val="24"/>
                <w:highlight w:val="none"/>
                <w:lang w:eastAsia="zh-CN"/>
              </w:rPr>
              <w:t>）</w:t>
            </w:r>
          </w:p>
        </w:tc>
        <w:tc>
          <w:tcPr>
            <w:tcW w:w="2661" w:type="pct"/>
            <w:gridSpan w:val="2"/>
            <w:noWrap w:val="0"/>
            <w:vAlign w:val="center"/>
          </w:tcPr>
          <w:p w14:paraId="2562BB2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9.6</w:t>
            </w:r>
          </w:p>
        </w:tc>
        <w:tc>
          <w:tcPr>
            <w:tcW w:w="656" w:type="pct"/>
            <w:vMerge w:val="restart"/>
            <w:noWrap w:val="0"/>
            <w:vAlign w:val="center"/>
          </w:tcPr>
          <w:p w14:paraId="72BB1F1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42988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2CA2A57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noWrap w:val="0"/>
            <w:vAlign w:val="center"/>
          </w:tcPr>
          <w:p w14:paraId="0B35D1C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工作级别</w:t>
            </w:r>
          </w:p>
        </w:tc>
        <w:tc>
          <w:tcPr>
            <w:tcW w:w="2661" w:type="pct"/>
            <w:gridSpan w:val="2"/>
            <w:noWrap w:val="0"/>
            <w:vAlign w:val="center"/>
          </w:tcPr>
          <w:p w14:paraId="12B510C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A3</w:t>
            </w:r>
          </w:p>
        </w:tc>
        <w:tc>
          <w:tcPr>
            <w:tcW w:w="656" w:type="pct"/>
            <w:vMerge w:val="continue"/>
            <w:noWrap w:val="0"/>
            <w:vAlign w:val="center"/>
          </w:tcPr>
          <w:p w14:paraId="55E47E2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75D0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04635ED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vMerge w:val="restart"/>
            <w:noWrap w:val="0"/>
            <w:vAlign w:val="center"/>
          </w:tcPr>
          <w:p w14:paraId="6947473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起重量</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t</w:t>
            </w:r>
            <w:r>
              <w:rPr>
                <w:rFonts w:hint="eastAsia" w:ascii="宋体" w:hAnsi="宋体" w:eastAsia="宋体" w:cs="宋体"/>
                <w:snapToGrid w:val="0"/>
                <w:color w:val="auto"/>
                <w:sz w:val="24"/>
                <w:szCs w:val="24"/>
                <w:highlight w:val="none"/>
                <w:lang w:eastAsia="zh-CN"/>
              </w:rPr>
              <w:t>）</w:t>
            </w:r>
          </w:p>
        </w:tc>
        <w:tc>
          <w:tcPr>
            <w:tcW w:w="1637" w:type="pct"/>
            <w:noWrap w:val="0"/>
            <w:vAlign w:val="center"/>
          </w:tcPr>
          <w:p w14:paraId="021436F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主电动葫芦</w:t>
            </w:r>
          </w:p>
        </w:tc>
        <w:tc>
          <w:tcPr>
            <w:tcW w:w="1024" w:type="pct"/>
            <w:noWrap w:val="0"/>
            <w:vAlign w:val="center"/>
          </w:tcPr>
          <w:p w14:paraId="0561709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副电动葫芦</w:t>
            </w:r>
          </w:p>
        </w:tc>
        <w:tc>
          <w:tcPr>
            <w:tcW w:w="656" w:type="pct"/>
            <w:vMerge w:val="continue"/>
            <w:noWrap w:val="0"/>
            <w:vAlign w:val="center"/>
          </w:tcPr>
          <w:p w14:paraId="1E090C6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0877A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51DFA37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vMerge w:val="continue"/>
            <w:noWrap w:val="0"/>
            <w:vAlign w:val="center"/>
          </w:tcPr>
          <w:p w14:paraId="31E7AD45">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637" w:type="pct"/>
            <w:noWrap w:val="0"/>
            <w:vAlign w:val="center"/>
          </w:tcPr>
          <w:p w14:paraId="1DF71F0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10</w:t>
            </w:r>
          </w:p>
        </w:tc>
        <w:tc>
          <w:tcPr>
            <w:tcW w:w="1024" w:type="pct"/>
            <w:noWrap w:val="0"/>
            <w:vAlign w:val="center"/>
          </w:tcPr>
          <w:p w14:paraId="1FF5025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p>
        </w:tc>
        <w:tc>
          <w:tcPr>
            <w:tcW w:w="656" w:type="pct"/>
            <w:vMerge w:val="continue"/>
            <w:noWrap w:val="0"/>
            <w:vAlign w:val="center"/>
          </w:tcPr>
          <w:p w14:paraId="547D8F1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6A496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restart"/>
            <w:noWrap w:val="0"/>
            <w:vAlign w:val="center"/>
          </w:tcPr>
          <w:p w14:paraId="512CCD8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起升</w:t>
            </w:r>
          </w:p>
          <w:p w14:paraId="599F045A">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机构</w:t>
            </w:r>
          </w:p>
        </w:tc>
        <w:tc>
          <w:tcPr>
            <w:tcW w:w="1036" w:type="pct"/>
            <w:noWrap w:val="0"/>
            <w:vAlign w:val="center"/>
          </w:tcPr>
          <w:p w14:paraId="6B5DB59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起升速度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m/min</w:t>
            </w:r>
            <w:r>
              <w:rPr>
                <w:rFonts w:hint="eastAsia" w:ascii="宋体" w:hAnsi="宋体" w:eastAsia="宋体" w:cs="宋体"/>
                <w:snapToGrid w:val="0"/>
                <w:color w:val="auto"/>
                <w:sz w:val="24"/>
                <w:szCs w:val="24"/>
                <w:highlight w:val="none"/>
                <w:lang w:eastAsia="zh-CN"/>
              </w:rPr>
              <w:t>）</w:t>
            </w:r>
          </w:p>
        </w:tc>
        <w:tc>
          <w:tcPr>
            <w:tcW w:w="1637" w:type="pct"/>
            <w:noWrap w:val="0"/>
            <w:vAlign w:val="center"/>
          </w:tcPr>
          <w:p w14:paraId="223F948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双速0.35/3.5</w:t>
            </w:r>
          </w:p>
        </w:tc>
        <w:tc>
          <w:tcPr>
            <w:tcW w:w="1024" w:type="pct"/>
            <w:noWrap w:val="0"/>
            <w:vAlign w:val="center"/>
          </w:tcPr>
          <w:p w14:paraId="70A73C2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双速0.8/8.0</w:t>
            </w:r>
          </w:p>
        </w:tc>
        <w:tc>
          <w:tcPr>
            <w:tcW w:w="656" w:type="pct"/>
            <w:vMerge w:val="continue"/>
            <w:noWrap w:val="0"/>
            <w:vAlign w:val="center"/>
          </w:tcPr>
          <w:p w14:paraId="4356750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7884D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730BD52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noWrap w:val="0"/>
            <w:vAlign w:val="center"/>
          </w:tcPr>
          <w:p w14:paraId="485DC14A">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起升高度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w:t>
            </w:r>
            <w:r>
              <w:rPr>
                <w:rFonts w:hint="eastAsia" w:ascii="宋体" w:hAnsi="宋体" w:eastAsia="宋体" w:cs="宋体"/>
                <w:snapToGrid w:val="0"/>
                <w:color w:val="auto"/>
                <w:sz w:val="24"/>
                <w:szCs w:val="24"/>
                <w:highlight w:val="none"/>
                <w:lang w:eastAsia="zh-CN"/>
              </w:rPr>
              <w:t>）</w:t>
            </w:r>
          </w:p>
        </w:tc>
        <w:tc>
          <w:tcPr>
            <w:tcW w:w="1637" w:type="pct"/>
            <w:noWrap w:val="0"/>
            <w:vAlign w:val="center"/>
          </w:tcPr>
          <w:p w14:paraId="7BCC027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15</w:t>
            </w:r>
          </w:p>
        </w:tc>
        <w:tc>
          <w:tcPr>
            <w:tcW w:w="1024" w:type="pct"/>
            <w:noWrap w:val="0"/>
            <w:vAlign w:val="center"/>
          </w:tcPr>
          <w:p w14:paraId="411E326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15</w:t>
            </w:r>
          </w:p>
        </w:tc>
        <w:tc>
          <w:tcPr>
            <w:tcW w:w="656" w:type="pct"/>
            <w:vMerge w:val="continue"/>
            <w:noWrap w:val="0"/>
            <w:vAlign w:val="center"/>
          </w:tcPr>
          <w:p w14:paraId="04F6F29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44E6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52ABB7D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noWrap w:val="0"/>
            <w:vAlign w:val="center"/>
          </w:tcPr>
          <w:p w14:paraId="4E05001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工作级别</w:t>
            </w:r>
          </w:p>
        </w:tc>
        <w:tc>
          <w:tcPr>
            <w:tcW w:w="1637" w:type="pct"/>
            <w:noWrap w:val="0"/>
            <w:vAlign w:val="center"/>
          </w:tcPr>
          <w:p w14:paraId="0DAB9E3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1024" w:type="pct"/>
            <w:noWrap w:val="0"/>
            <w:vAlign w:val="center"/>
          </w:tcPr>
          <w:p w14:paraId="20913D6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656" w:type="pct"/>
            <w:vMerge w:val="continue"/>
            <w:noWrap w:val="0"/>
            <w:vAlign w:val="center"/>
          </w:tcPr>
          <w:p w14:paraId="6768733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3E60F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restart"/>
            <w:noWrap w:val="0"/>
            <w:vAlign w:val="center"/>
          </w:tcPr>
          <w:p w14:paraId="7A167725">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行走机构</w:t>
            </w:r>
          </w:p>
        </w:tc>
        <w:tc>
          <w:tcPr>
            <w:tcW w:w="1036" w:type="pct"/>
            <w:noWrap w:val="0"/>
            <w:vAlign w:val="center"/>
          </w:tcPr>
          <w:p w14:paraId="0983BD6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名    称</w:t>
            </w:r>
          </w:p>
        </w:tc>
        <w:tc>
          <w:tcPr>
            <w:tcW w:w="1637" w:type="pct"/>
            <w:noWrap w:val="0"/>
            <w:vAlign w:val="center"/>
          </w:tcPr>
          <w:p w14:paraId="545EB6E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大  车</w:t>
            </w:r>
          </w:p>
        </w:tc>
        <w:tc>
          <w:tcPr>
            <w:tcW w:w="1024" w:type="pct"/>
            <w:noWrap w:val="0"/>
            <w:vAlign w:val="center"/>
          </w:tcPr>
          <w:p w14:paraId="74B2581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小  车</w:t>
            </w:r>
          </w:p>
        </w:tc>
        <w:tc>
          <w:tcPr>
            <w:tcW w:w="656" w:type="pct"/>
            <w:vMerge w:val="continue"/>
            <w:noWrap w:val="0"/>
            <w:vAlign w:val="center"/>
          </w:tcPr>
          <w:p w14:paraId="427DE91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2EE3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1816A02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noWrap w:val="0"/>
            <w:vAlign w:val="center"/>
          </w:tcPr>
          <w:p w14:paraId="424F9BF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行走速度</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m/min</w:t>
            </w:r>
            <w:r>
              <w:rPr>
                <w:rFonts w:hint="eastAsia" w:ascii="宋体" w:hAnsi="宋体" w:eastAsia="宋体" w:cs="宋体"/>
                <w:snapToGrid w:val="0"/>
                <w:color w:val="auto"/>
                <w:sz w:val="24"/>
                <w:szCs w:val="24"/>
                <w:highlight w:val="none"/>
                <w:lang w:eastAsia="zh-CN"/>
              </w:rPr>
              <w:t>）</w:t>
            </w:r>
          </w:p>
        </w:tc>
        <w:tc>
          <w:tcPr>
            <w:tcW w:w="1637" w:type="pct"/>
            <w:noWrap w:val="0"/>
            <w:vAlign w:val="center"/>
          </w:tcPr>
          <w:p w14:paraId="768F7EA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变频调速3-30</w:t>
            </w:r>
          </w:p>
        </w:tc>
        <w:tc>
          <w:tcPr>
            <w:tcW w:w="1024" w:type="pct"/>
            <w:noWrap w:val="0"/>
            <w:vAlign w:val="center"/>
          </w:tcPr>
          <w:p w14:paraId="78FF544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变频调速2-20</w:t>
            </w:r>
          </w:p>
        </w:tc>
        <w:tc>
          <w:tcPr>
            <w:tcW w:w="656" w:type="pct"/>
            <w:vMerge w:val="continue"/>
            <w:noWrap w:val="0"/>
            <w:vAlign w:val="center"/>
          </w:tcPr>
          <w:p w14:paraId="6CF8F77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6873E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44" w:type="pct"/>
            <w:vMerge w:val="continue"/>
            <w:noWrap w:val="0"/>
            <w:vAlign w:val="center"/>
          </w:tcPr>
          <w:p w14:paraId="1A37FAE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c>
          <w:tcPr>
            <w:tcW w:w="1036" w:type="pct"/>
            <w:noWrap w:val="0"/>
            <w:vAlign w:val="center"/>
          </w:tcPr>
          <w:p w14:paraId="5DFB03C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工作级别</w:t>
            </w:r>
          </w:p>
        </w:tc>
        <w:tc>
          <w:tcPr>
            <w:tcW w:w="1637" w:type="pct"/>
            <w:noWrap w:val="0"/>
            <w:vAlign w:val="center"/>
          </w:tcPr>
          <w:p w14:paraId="149C076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1024" w:type="pct"/>
            <w:noWrap w:val="0"/>
            <w:vAlign w:val="center"/>
          </w:tcPr>
          <w:p w14:paraId="65CA3EC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M3</w:t>
            </w:r>
          </w:p>
        </w:tc>
        <w:tc>
          <w:tcPr>
            <w:tcW w:w="656" w:type="pct"/>
            <w:vMerge w:val="continue"/>
            <w:noWrap w:val="0"/>
            <w:vAlign w:val="center"/>
          </w:tcPr>
          <w:p w14:paraId="78DDF5B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r w14:paraId="27578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 w:hRule="atLeast"/>
          <w:jc w:val="center"/>
        </w:trPr>
        <w:tc>
          <w:tcPr>
            <w:tcW w:w="1681" w:type="pct"/>
            <w:gridSpan w:val="2"/>
            <w:noWrap w:val="0"/>
            <w:vAlign w:val="center"/>
          </w:tcPr>
          <w:p w14:paraId="0ECA982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最大轮压Pmax(kN)</w:t>
            </w:r>
          </w:p>
        </w:tc>
        <w:tc>
          <w:tcPr>
            <w:tcW w:w="2661" w:type="pct"/>
            <w:gridSpan w:val="2"/>
            <w:noWrap w:val="0"/>
            <w:vAlign w:val="center"/>
          </w:tcPr>
          <w:p w14:paraId="087F362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≤300</w:t>
            </w:r>
          </w:p>
        </w:tc>
        <w:tc>
          <w:tcPr>
            <w:tcW w:w="656" w:type="pct"/>
            <w:noWrap w:val="0"/>
            <w:vAlign w:val="center"/>
          </w:tcPr>
          <w:p w14:paraId="0C741B6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每侧2个轮子</w:t>
            </w:r>
          </w:p>
        </w:tc>
      </w:tr>
      <w:tr w14:paraId="6FC65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1" w:type="pct"/>
            <w:gridSpan w:val="2"/>
            <w:noWrap w:val="0"/>
            <w:vAlign w:val="center"/>
          </w:tcPr>
          <w:p w14:paraId="1D81A3C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电源</w:t>
            </w:r>
          </w:p>
        </w:tc>
        <w:tc>
          <w:tcPr>
            <w:tcW w:w="2661" w:type="pct"/>
            <w:gridSpan w:val="2"/>
            <w:noWrap w:val="0"/>
            <w:vAlign w:val="center"/>
          </w:tcPr>
          <w:p w14:paraId="555D8BBF">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三相交流电源，380V，50Hz</w:t>
            </w:r>
          </w:p>
        </w:tc>
        <w:tc>
          <w:tcPr>
            <w:tcW w:w="656" w:type="pct"/>
            <w:noWrap w:val="0"/>
            <w:vAlign w:val="center"/>
          </w:tcPr>
          <w:p w14:paraId="602B9E7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p>
        </w:tc>
      </w:tr>
    </w:tbl>
    <w:p w14:paraId="6A453FB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2.3.2 桥机控制尺寸</w:t>
      </w:r>
    </w:p>
    <w:p w14:paraId="3FFE9A0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桥式起重机最终控制尺寸（吊钩极限位置、大车高度、宽度、轮距等）在联络会上讨论确定。</w:t>
      </w:r>
    </w:p>
    <w:p w14:paraId="4215A56F">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2.4 性能要求</w:t>
      </w:r>
    </w:p>
    <w:p w14:paraId="518A571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2.4.1 起重机的型式为电动葫芦双梁桥式起重机，室内运行，地面操纵。主要用于主厂房机组及其附属设备的安装和检修，要求速度慢、准确而又平稳。</w:t>
      </w:r>
    </w:p>
    <w:p w14:paraId="2E0B42E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2.4.2 起重机的金属结构部分、大车和小车运行机构的机械部分以及运行机构的电气设备均为轻级工作制，起重机主起升机构的电动机、制动器及电气设备、副起升机构及电气设备为中级工作制。</w:t>
      </w:r>
    </w:p>
    <w:p w14:paraId="5E5D3F6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2.4.3 起重机吊运100%额定负荷且小车位于跨中时，主梁的下挠度不大于S/800。</w:t>
      </w:r>
    </w:p>
    <w:p w14:paraId="250E29E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2.4.4 大钩和小钩应允许同时负载但不同时起升，同时负载时的总重量不超过最大起重量。</w:t>
      </w:r>
    </w:p>
    <w:p w14:paraId="1E4DD60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2.4.5 可靠性指标</w:t>
      </w:r>
    </w:p>
    <w:p w14:paraId="04A40F3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起重机在正常条件下，无故障工作时间应不小于 5 年，第一次大修时间应不小于10 年</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有效寿命不低于30年。</w:t>
      </w:r>
    </w:p>
    <w:p w14:paraId="3A105F80">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2.5 部件分项要求</w:t>
      </w:r>
    </w:p>
    <w:p w14:paraId="2FBBFC8C">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2.5.1 概述</w:t>
      </w:r>
    </w:p>
    <w:p w14:paraId="427B059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起重机主要由大车、小车、电气设备等几部分组成。要求起重机总体结构紧凑，重量轻，上下左右极限小，节省厂房空间，作业范围大。</w:t>
      </w:r>
    </w:p>
    <w:p w14:paraId="2F6A68D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2.5.2 桥机钢结构</w:t>
      </w:r>
    </w:p>
    <w:p w14:paraId="0C5D87F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大车桥架结构</w:t>
      </w:r>
    </w:p>
    <w:p w14:paraId="670A812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大车主要由主梁、端梁、主梁栏杆、电缆支架、梯子（如有司机室，配套）、平台、轨道安装、大车导电维修平台、大车滑线挡架、行走机构等组成。</w:t>
      </w:r>
    </w:p>
    <w:p w14:paraId="34403F6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主梁</w:t>
      </w:r>
    </w:p>
    <w:p w14:paraId="265362E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选择主梁截面时，要确保其具有足够的强度、刚度和整体稳定性，并应合理布置大车运行机构和电气设备，保证人员在桥架上通行方便，减轻桥架自重。</w:t>
      </w:r>
    </w:p>
    <w:p w14:paraId="4773FC7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每根主梁整体焊接，要求构造简单、受力确定，整体稳定性好，抗疲劳，且梁内横向加筋数量少，以有效缩短生产周期。</w:t>
      </w:r>
    </w:p>
    <w:p w14:paraId="6B00A8B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主梁承载构件材质不低于Q235-B，主梁板材应采用埋弧焊对接，自动切割机下料。为保证板材表面平整，对接后，下料前进行校平。主梁四条纵向焊缝采用自动CO2气体保护焊，焊接成型后进行振动时效处理，消除应力。桥架盖板、腹板的对接焊缝和组合焊缝必须进行100%的无损探伤。</w:t>
      </w:r>
    </w:p>
    <w:p w14:paraId="35E5247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端梁</w:t>
      </w:r>
    </w:p>
    <w:p w14:paraId="1F0C778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承载构件材质不低于Q235-B，板材应采用数控切割下料，四条纵向焊缝采用CO2气体保护自动焊，焊接成型后进行振动时效处理，消除焊接应力。</w:t>
      </w:r>
    </w:p>
    <w:p w14:paraId="7B428B7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主梁与端梁采用高强度螺栓连接。在端梁的端部应设有缓冲装置。</w:t>
      </w:r>
    </w:p>
    <w:p w14:paraId="4E34B99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走道和阶梯：大车桥架上设置跨度不小于600mm的通道，桥架四周设栏杆扶手，栏杆高度为1m左右，底部设高度60mm的维护板。斜梯踏板间距相等，梯宽≥550mm，踏板间距≤250mm。直梯踏杆间距为350mm，梯宽＞550mm。栏杆上任何一处都能承受1KN来自任何方向的载荷而不产生塑性变形。</w:t>
      </w:r>
    </w:p>
    <w:p w14:paraId="57DA39A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 小车架结构</w:t>
      </w:r>
    </w:p>
    <w:p w14:paraId="74621BC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小车架主要承载构件材质不低于Q235-B；小车架上的设备支座加工后焊接在小车架上。</w:t>
      </w:r>
    </w:p>
    <w:p w14:paraId="4B2F7F9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小车架采用刚性框架焊接结构，或承包人认为更优结构。小车架应有足够的强度，和合适的刚度，以保证小车架受载变形后不影响机构的正常工作。其构造应考虑起升机构和小车运行机构的布置要求。</w:t>
      </w:r>
    </w:p>
    <w:p w14:paraId="74D0064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2.5.3 主、副起升电动葫芦</w:t>
      </w:r>
    </w:p>
    <w:p w14:paraId="25A6FCB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主、副起升电动葫芦由电动机、联轴器、制动器、减速器、卷筒、滑轮、吊钩、钢丝绳等部件构成。起升机构由电机驱动，通过减速机传动到卷筒装置。</w:t>
      </w:r>
    </w:p>
    <w:p w14:paraId="4AB0E42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总体要求</w:t>
      </w:r>
    </w:p>
    <w:p w14:paraId="65A4241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1）主、副起升电动葫芦装置的布置应紧凑、维护方便，确保安全可靠。</w:t>
      </w:r>
    </w:p>
    <w:p w14:paraId="717A502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2）电机、卷筒的数量，滑轮组和钢丝绳缠绕系统的设计，应满足相关标准的规定。</w:t>
      </w:r>
    </w:p>
    <w:p w14:paraId="212A8E9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3）起升机构的制动采用双速葫芦制动系统。在每一套独立驱动装置电机应设置制动装置，任何情况下不得出现“溜钩”现象。</w:t>
      </w:r>
    </w:p>
    <w:p w14:paraId="5164B2B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4）制动引起的物品升降平均加</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减</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速度不大于0.1m/s2。</w:t>
      </w:r>
    </w:p>
    <w:p w14:paraId="5170E7F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5）起吊物在下降制动时的制动距离（控制器在下降速度最低档稳定运行，拉回零位后，从制动器断电至重物停止时的下滑距离）应不大于1min内稳定起升距离的1/65。</w:t>
      </w:r>
    </w:p>
    <w:p w14:paraId="01A26E3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卷筒组</w:t>
      </w:r>
    </w:p>
    <w:p w14:paraId="79B00E0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卷筒采用抗压强度高、承载能力大的无缝钢管车削加工而成，材质为Q235B，卷筒毛坯件加工进行退火应力消除，压板与螺栓牢固可靠，钢丝绳偏角＜3.5度。卷筒两端的钢丝绳留有不少于3圈的安全圈。</w:t>
      </w:r>
    </w:p>
    <w:p w14:paraId="5609F99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滑轮</w:t>
      </w:r>
    </w:p>
    <w:p w14:paraId="2D85F59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滑轮全部采用轧制滑轮，结构紧凑合理、重量轻。</w:t>
      </w:r>
    </w:p>
    <w:p w14:paraId="543F801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滑轮直径与钢丝绳直径之比大于18。</w:t>
      </w:r>
    </w:p>
    <w:p w14:paraId="47B5482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滑轮应有防止钢丝绳跳出轮槽的装置。</w:t>
      </w:r>
    </w:p>
    <w:p w14:paraId="0369703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 吊钩</w:t>
      </w:r>
    </w:p>
    <w:p w14:paraId="6C785EE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吊钩为全封闭式，锻造吊钩，材质为DG20</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其表面光滑、无剥裂、锐角、毛刺、裂纹等缺陷。吊钩组钩头绕横梁中心线能够360度灵活转动，钩口设有防钢丝绳脱落装置。钩头锻件须经超声波和磁粉探伤检测。</w:t>
      </w:r>
    </w:p>
    <w:p w14:paraId="1E8BDAD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 钢丝绳</w:t>
      </w:r>
    </w:p>
    <w:p w14:paraId="70C14E5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钢丝绳采用GB/T8918重要用途钢丝绳中规定的</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NAT 6×37＋FC公称抗拉强度不小于1570MPa的线接触式钢丝绳，要求镀锌，挠性中等，强度高，寿命长。钢丝绳安全系数不应小于4.5倍。</w:t>
      </w:r>
    </w:p>
    <w:p w14:paraId="7DFD68E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钢丝绳在卷筒上，应能按顺序整齐排列。荷载由多根钢丝绳承受时，应设有各根钢丝绳受力的均衡装置。</w:t>
      </w:r>
    </w:p>
    <w:p w14:paraId="45BB70F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钢丝绳应保持良好的润滑状态。所有润滑剂应符合该绳的要求，并且不影响外观检查。应防止钢丝绳有划、磨、碾压和过度弯曲的情况。</w:t>
      </w:r>
    </w:p>
    <w:p w14:paraId="4BF0DBA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2.5.4 运行机构</w:t>
      </w:r>
    </w:p>
    <w:p w14:paraId="13D8D36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总体要求</w:t>
      </w:r>
    </w:p>
    <w:p w14:paraId="532FC9E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大、小车运行机构主要由车轮组、三合一驱动电机等组成。运行机构驱动装置的布置应紧凑，安装维护方便，确保安全可靠。</w:t>
      </w:r>
    </w:p>
    <w:p w14:paraId="407BA80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三合一驱动装置与车轮驱动轴之间的连接方式采用安全可靠、传动性能好的套装式型式。</w:t>
      </w:r>
    </w:p>
    <w:p w14:paraId="2811A2D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运行机构制动宜采用电磁盘式制动器或锥形刹车制动器，当运行机构起动时主动轮应不打滑，制动时应平稳可靠。制动引起的大小车运行机构的平均线加（减）速度不大于0.1m/s2。制动距离应不大于1min内稳定运行距离的1/10。</w:t>
      </w:r>
    </w:p>
    <w:p w14:paraId="4781CED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车轮组</w:t>
      </w:r>
    </w:p>
    <w:p w14:paraId="5AE2949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车轮采用45#钢模锻成型。车轮为双轮缘。车轮的踏面和轮缘内侧面上，不得有影响使用性能的缺陷，也不得焊补。</w:t>
      </w:r>
    </w:p>
    <w:p w14:paraId="2DA73D6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车轮踏面直径的精度不低于GB1800～1804《公差与配合》中规定的h9，装配后车轮基准端面的圆跳动不低于GB1182～1184中的9级。同时按P38轨道设计。</w:t>
      </w:r>
    </w:p>
    <w:p w14:paraId="45C4D0B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各车轮受力应均衡，多车轮运行平稳，不得出现部分车轮超载，部分车轮不受力的不均衡现象和啃轨现象。并在结构上应有防止啃轨的具体措施。车轮装置等部件的安装、拆卸、维护应简单方便。</w:t>
      </w:r>
    </w:p>
    <w:p w14:paraId="5BD46F5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车轮平衡架应进行时效处理。</w:t>
      </w:r>
    </w:p>
    <w:p w14:paraId="1612C56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运行机构组装要求</w:t>
      </w:r>
    </w:p>
    <w:p w14:paraId="108B4E8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大、小车的轨距差、车轮的垂直偏斜、车轮的水平偏斜、车轮的同位差、装配好的空载小车，各车轮与轨道接触点形成的平面度应符合FEM标准或国标有关规定。</w:t>
      </w:r>
    </w:p>
    <w:p w14:paraId="7CA1EB1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2.5.5 主要零部件</w:t>
      </w:r>
    </w:p>
    <w:p w14:paraId="0DA162B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电动机</w:t>
      </w:r>
    </w:p>
    <w:p w14:paraId="6598253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1）主起升用电动机采用双速电动机。运行机构电机采用变频电动机。电动机绝缘等级为F级，防护等级IP44或更好。并应满足低速运行时的散热要求。</w:t>
      </w:r>
    </w:p>
    <w:p w14:paraId="65E9D25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2）所有电动机包括附属及保护装置均能够在满负荷、85%～110%额定电压（400V/230V、50HZ）下电动机应能正常起动、可靠地连续工作和进行各项试验。</w:t>
      </w:r>
    </w:p>
    <w:p w14:paraId="5A2162F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3）电动机应能满足速度、加速度、起动、过载能力、噪音和调速的要求，也应能适应电网和使用环境的要求。</w:t>
      </w:r>
    </w:p>
    <w:p w14:paraId="6A0956E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4）应对电动机起动能力、过载能力，温升等进行校验。</w:t>
      </w:r>
    </w:p>
    <w:p w14:paraId="67B5C2E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5）所有电动机均应设有过载以及短路电流保护。</w:t>
      </w:r>
    </w:p>
    <w:p w14:paraId="5B141E9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制动器</w:t>
      </w:r>
    </w:p>
    <w:p w14:paraId="6979013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1）起升机构的制动器制动安全系数应不低于1.75倍。</w:t>
      </w:r>
    </w:p>
    <w:p w14:paraId="4C25687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2）制动器宜采用电磁盘式制动器或锥形刹车制动器。</w:t>
      </w:r>
    </w:p>
    <w:p w14:paraId="01A1AC9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制动器应有符合操作频度的热容量。制动器对制动带摩擦垫片的磨损应有自动补偿能力和松闸显示功能。</w:t>
      </w:r>
    </w:p>
    <w:p w14:paraId="7801C56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减速器</w:t>
      </w:r>
    </w:p>
    <w:p w14:paraId="5319ED6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1）起重机减速器应选用斜齿设计的齿轮，应保证转动灵活无漏油现象。减速箱焊后应进行整体退火消除内应力的处理。应在厂内进行齿轮模拟负荷试验，并应有发包人代表参加。</w:t>
      </w:r>
    </w:p>
    <w:p w14:paraId="035752C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2）减速器以不低于工作转速无负荷转动时，在壳体侧面等高上，距减速器前后左右1m处的噪音不得大于80dB（A）。</w:t>
      </w:r>
    </w:p>
    <w:p w14:paraId="32A292A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 缓冲器</w:t>
      </w:r>
    </w:p>
    <w:p w14:paraId="0F3E26E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在大车和小车端部都应装设缓冲器。缓冲器可选用聚氨酯缓冲器或其他类型，但应具有吸收运动机构的能量并减少冲击的良好性能。</w:t>
      </w:r>
    </w:p>
    <w:p w14:paraId="019C266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 轴承</w:t>
      </w:r>
    </w:p>
    <w:p w14:paraId="5EC8D48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起升机构，卷筒及大、小车运行机构高速轴应采用优质轴承（如哈瓦洛轴承）。轴承密封件采用优质产品。</w:t>
      </w:r>
    </w:p>
    <w:p w14:paraId="2B5A063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2.5.6 润滑</w:t>
      </w:r>
    </w:p>
    <w:p w14:paraId="1236C7F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采用分散润滑系统，润滑点有快速接头，并配置相应移动式油枪。</w:t>
      </w:r>
    </w:p>
    <w:p w14:paraId="281BC5E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设备应有润滑图，润滑点应有标志。加油位置应安全、方便。</w:t>
      </w:r>
    </w:p>
    <w:p w14:paraId="21C4E51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2.5.7 照明</w:t>
      </w:r>
    </w:p>
    <w:p w14:paraId="5324B68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起重机上应设置对作业面的照明。为了检修方便在大车下部向下应装有不小于6×200W的灯具，且在大车上便于更换。</w:t>
      </w:r>
    </w:p>
    <w:p w14:paraId="1D4C933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2.5.8 轨道及附件</w:t>
      </w:r>
    </w:p>
    <w:p w14:paraId="36AC4AC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大车轨道采用标准的P38重轨。承包人应提供符合要求的起重机轨合格证明。</w:t>
      </w:r>
    </w:p>
    <w:p w14:paraId="3536732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小车轨道应采用把接头焊为一体的整根轨道，焊缝接头应无裂纹。</w:t>
      </w:r>
    </w:p>
    <w:p w14:paraId="29F200D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轨道以及轨道阻进器的固定和联接方式由承包人确定并提供所需的所有附件。承包人应保证其所提供的附件是与轨道、起重机配合良好的。承包人应将这些与布置、预埋有关的信息提供给发包人，供配合电站设计之用。</w:t>
      </w:r>
    </w:p>
    <w:p w14:paraId="25FA34C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2.5.9 检修平台</w:t>
      </w:r>
    </w:p>
    <w:p w14:paraId="232287D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在桥机滑触线侧和其它难以检修维护的地方，均应设置检修平台或吊笼。</w:t>
      </w:r>
    </w:p>
    <w:p w14:paraId="1A2593E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2.5.10 铭牌和标牌</w:t>
      </w:r>
    </w:p>
    <w:p w14:paraId="2F721DC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每一项主要设备和辅助设备均应设置一个永久固定的铭牌，在铭牌上以清楚和耐用的方式标出序号、规格、特性、重量、出厂日期、制造厂家的名称以及其他有用的数据。</w:t>
      </w:r>
    </w:p>
    <w:p w14:paraId="2C750C2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为了工作人员和操作的安全，应提供专门的标牌以表明主要的操作说明、注意事项或警告。每一个仪表、位置指示器、按钮、开关、灯或其他类似设备应用永久性的标牌以表明控制功能。所有铭牌和标牌应永久性地安装在相应的设备和部件上，其位置应清楚可见、字体应清晰可见，并能抵抗环境的影响。</w:t>
      </w:r>
    </w:p>
    <w:p w14:paraId="77A8B91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2.5.11 电气控制、盘柜</w:t>
      </w:r>
    </w:p>
    <w:p w14:paraId="61B75CD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（1）起重机的电气系统设计应符合IEC中的有关规定，起重机的电气设备必须保证传动性能、监控性能和保护性能安全、准确可靠，在紧急情况下能切断电源安全停车。</w:t>
      </w:r>
    </w:p>
    <w:p w14:paraId="23081BF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（2）电器设备和电器元件应与起重机的机构特性、工况条件、环境条件和使用条件相适应。在额定条件下工作时，其温升及其他技术指标应符合有关标准的规定。</w:t>
      </w:r>
    </w:p>
    <w:p w14:paraId="247B4FF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（3）桥机采用按键控制器操作。按键控制器为短时接触型，即只是当按下按键时，触点闭合，桥机运行。按键弹簧复位后处于断开状态，按钮释放时桥机停止运动。</w:t>
      </w:r>
    </w:p>
    <w:p w14:paraId="514E76A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（4）桥机须设有短路、过流、失压、零位、接地等保护和紧急断电开关等。</w:t>
      </w:r>
    </w:p>
    <w:p w14:paraId="0A2C2FA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（5）电气控制盘柜应结构坚固，并适当加筋以防变形。根据需要，可设置带锁的铰接门板。除非另有说明，所有在面板上安装的仪器仪表均应采用嵌入式。</w:t>
      </w:r>
    </w:p>
    <w:p w14:paraId="347C3D9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（6）电气控制盘柜应采用整体封闭结构，防护等级应采用IEC No.144/529标准，并要求室内最小为IP42。</w:t>
      </w:r>
    </w:p>
    <w:p w14:paraId="4C92737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（7）所有控制电缆及接线端子应标线号，号码要求机打。</w:t>
      </w:r>
    </w:p>
    <w:p w14:paraId="2C0A374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2.5.12 供电、电缆及滑触线</w:t>
      </w:r>
    </w:p>
    <w:p w14:paraId="3E1DB03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（1）供电</w:t>
      </w:r>
    </w:p>
    <w:p w14:paraId="31ED623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电源  三相四线制交流380/220V</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 xml:space="preserve">电压变化范围85%～115% </w:t>
      </w:r>
    </w:p>
    <w:p w14:paraId="1A58687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频率  50± 0.5Hz</w:t>
      </w:r>
    </w:p>
    <w:p w14:paraId="4EAAB86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桥机采用安全滑触线供电。</w:t>
      </w:r>
    </w:p>
    <w:p w14:paraId="76AAED7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 小车采用拖缆供电。</w:t>
      </w:r>
    </w:p>
    <w:p w14:paraId="39AB08A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 在桥机合适地方，应设一回检修用电源。</w:t>
      </w:r>
    </w:p>
    <w:p w14:paraId="3EBD61B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（2）电缆</w:t>
      </w:r>
    </w:p>
    <w:p w14:paraId="4C36AB9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起重机上必须采用铜芯、多芯、有护套、阻燃型的绝缘电缆及软电缆。起重机上必须采用截面不小于2.5mm2的多芯单根导线。为保证控制接线可靠，不得采用每芯为多根（或多股）的铜芯控制电缆。</w:t>
      </w:r>
    </w:p>
    <w:p w14:paraId="2690914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电缆应敷设于厚度不小于1.5mm的钢板制成的线槽或金属管中，电缆可直接敷设，在有机械损伤、化学腐蚀或油污侵蚀的地方，应有防护装置。</w:t>
      </w:r>
    </w:p>
    <w:p w14:paraId="6B9D968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不同机构、不同电压等级的导线，穿管时应分开。照明线应单独敷设。</w:t>
      </w:r>
    </w:p>
    <w:p w14:paraId="4AC812F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 穿线用钢管采用镀锌钢管。管子的弯曲半径应大于其直径的10倍。在制造厂安装的套管，出厂时封住管口并按图编写管号。管内导线不准有接头，管口要有护线嘴保护。线管、线槽的固定可点焊在金属构件上，但不得焊穿。</w:t>
      </w:r>
    </w:p>
    <w:p w14:paraId="6A84D6B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 电缆穿管时，管子内径应不小于电缆外径的1.5倍。</w:t>
      </w:r>
    </w:p>
    <w:p w14:paraId="6B83A22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 导线的两端应采用不会脱落的冷压铜端头，导线与端头的连接必须采用专用的冷压钳将其压紧，并套以鲜明的不褪色的端子标号。</w:t>
      </w:r>
    </w:p>
    <w:p w14:paraId="55DA5F6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（3）安全滑触线</w:t>
      </w:r>
    </w:p>
    <w:p w14:paraId="340FCE1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桥机电源线应采用性能优良的优质铜芯安全滑线型式。滑触线包括集电器等布置在主厂房上游侧行车梁牛腿垂直面上。桥机的设计应便于滑触线的检修。</w:t>
      </w:r>
    </w:p>
    <w:p w14:paraId="59E99B1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滑触线支架型式和材料由承包人推荐及提供，要求牢固可靠。并提供相应的预埋信息给发包人，供配合电站设计之用。</w:t>
      </w:r>
    </w:p>
    <w:p w14:paraId="7187836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2.5.13 电气保护</w:t>
      </w:r>
    </w:p>
    <w:p w14:paraId="640CB80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电气盘柜内均应设置除湿装置，且应设置温湿度控制器以实现自动控制。</w:t>
      </w:r>
    </w:p>
    <w:p w14:paraId="7CD8305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（1）主隔离开关</w:t>
      </w:r>
    </w:p>
    <w:p w14:paraId="47FB3FF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起重机进线处应设主隔离开关，或采取其它隔离措施。</w:t>
      </w:r>
    </w:p>
    <w:p w14:paraId="326ECE9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（2）紧急断电开关</w:t>
      </w:r>
    </w:p>
    <w:p w14:paraId="7A52600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起重机应设有紧急断电开关，在紧急情况下，应能切断起重机总控制电源。</w:t>
      </w:r>
    </w:p>
    <w:p w14:paraId="304A1FA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（3）电动机的电气保护</w:t>
      </w:r>
    </w:p>
    <w:p w14:paraId="5082E86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应为电动机配置保护功能齐全的保护装置，对电动机的过流、短路、断相、低压、失压、不对称运行等故障进行有效地保护。保护装置的类型应为微机型或集成电路型。</w:t>
      </w:r>
    </w:p>
    <w:p w14:paraId="5BE4056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（4）零位保护</w:t>
      </w:r>
    </w:p>
    <w:p w14:paraId="2D28C26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起重机应设置零位保护。当机构开始运转和失压后恢复供电时，必须先将控制器置于零位后，机构的电动机才能启动。</w:t>
      </w:r>
    </w:p>
    <w:p w14:paraId="5A8BF16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（5）行程开关</w:t>
      </w:r>
    </w:p>
    <w:p w14:paraId="23D9CB9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在大车运行机构和小车运行机构上均应设置行程开关。由行程开关控制运行机构的断路装置。</w:t>
      </w:r>
    </w:p>
    <w:p w14:paraId="0F396D0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（6）接地</w:t>
      </w:r>
    </w:p>
    <w:p w14:paraId="7A7B698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接地范围</w:t>
      </w:r>
    </w:p>
    <w:p w14:paraId="1E8A4D8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起重机的金属结构及所有电气设备的金属外壳、管槽、电缆金属外皮，均应有可靠的接地。</w:t>
      </w:r>
    </w:p>
    <w:p w14:paraId="71E9D20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接地结构</w:t>
      </w:r>
    </w:p>
    <w:p w14:paraId="248A542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金属结构必须有可靠的接地线连接，不可通过车轮和轨道接地。接地线连接应采用截面不小于50mm2的扁钢或50mm2的铜线，用焊接法连接。接地线连接，应按GB50169《电气装置安装工程接地装置施工及验收规范》规定检验。严禁用接地线作载流零线。</w:t>
      </w:r>
    </w:p>
    <w:p w14:paraId="6F681A7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绝缘电阻</w:t>
      </w:r>
    </w:p>
    <w:p w14:paraId="5D3A66A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a) 对地绝缘电阻</w:t>
      </w:r>
    </w:p>
    <w:p w14:paraId="4AACA29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回路的对地绝缘电阻不小于0.5MΩ。测量时应用500V的兆欧表在常温下测量。</w:t>
      </w:r>
    </w:p>
    <w:p w14:paraId="3DED46B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b) 在走人地板上应铺设绝缘、防滑和导热系数小的阻燃材料。</w:t>
      </w:r>
    </w:p>
    <w:p w14:paraId="431D02F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2.5.14 控制方式</w:t>
      </w:r>
    </w:p>
    <w:p w14:paraId="3C60450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桥机的控制系统采用可编程控制器。PLC选用原装进口产品，接线端子选用国内著名产品。</w:t>
      </w:r>
    </w:p>
    <w:p w14:paraId="5BEA159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2.5.15 安全防护装置</w:t>
      </w:r>
    </w:p>
    <w:p w14:paraId="027BB10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（1）上升极限位置限制器</w:t>
      </w:r>
    </w:p>
    <w:p w14:paraId="7F6EFED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起升机构应设置上升极限位置限制器。必须保证当吊具起升到极限位置时，自动切断起升的动力电源。并发出报警信号。</w:t>
      </w:r>
    </w:p>
    <w:p w14:paraId="0B66CB2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（2）下降极限位置限制器</w:t>
      </w:r>
    </w:p>
    <w:p w14:paraId="69E8BB3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起升机构应设置下降极限位置限制器。应保证吊具下降到极限位置时，能自动切断下降的动力电源，保证钢丝绳在卷筒上的缠绕不少于设计所规定的圈数，并发出报警信号。</w:t>
      </w:r>
    </w:p>
    <w:p w14:paraId="3FE1D7C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（3）运行极限位置限制器</w:t>
      </w:r>
    </w:p>
    <w:p w14:paraId="3C847BF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应保证机构在其运动的极限位置时，自动切断前进的动力电源停止运动，并发出报警信号。</w:t>
      </w:r>
    </w:p>
    <w:p w14:paraId="23B989E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（4）缓冲器</w:t>
      </w:r>
    </w:p>
    <w:p w14:paraId="4A93BC4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在大车、小车运行机构上，应装设缓冲器，缓冲器应具有吸收运动机构的能量并减少冲击的良好性能。</w:t>
      </w:r>
    </w:p>
    <w:p w14:paraId="7615E73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（5）扫轨板和支承架</w:t>
      </w:r>
    </w:p>
    <w:p w14:paraId="48E6F9D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在大车运行机构上应设扫轨板。扫轨板距轨面不应大于10mm</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rPr>
        <w:t>支承架距轨面不应大于20mm，两者合为一体时，距轨面不应大于10mm。</w:t>
      </w:r>
    </w:p>
    <w:p w14:paraId="20145EB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（6）轨道端部止档</w:t>
      </w:r>
    </w:p>
    <w:p w14:paraId="2567831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在小车轨道端部应设止档。止档应具有防止设备脱轨的良好性能。</w:t>
      </w:r>
    </w:p>
    <w:p w14:paraId="6E7DFB1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（7）暴露的活动零部件的防护罩</w:t>
      </w:r>
    </w:p>
    <w:p w14:paraId="304263C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起重机上外露的、有伤人可能的活动零部件，如联轴器、传轴、链轮、链条、传动带等，均应设置防护罩。</w:t>
      </w:r>
    </w:p>
    <w:p w14:paraId="0F802F4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（8）超载限制器</w:t>
      </w:r>
    </w:p>
    <w:p w14:paraId="73B55DD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主、副机构均应设置超载限制器。超载限制器应具有显示起重量的功能。当荷载达到额定起重量的90%时，应能发出提示性报警信号；当起重量超过额定起重量时，能自动切断起升动力源，并发出禁止性报警信号。超载限制器应选用优质产品，并应有成熟的运行业绩。</w:t>
      </w:r>
    </w:p>
    <w:p w14:paraId="3C22DCB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（9）走道及护栏</w:t>
      </w:r>
    </w:p>
    <w:p w14:paraId="0A345EE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起重机走台上通道的宽度应不小于600mm，走台上方的净空高度应不小于1800mm。走台应能承受3kN移动的集中荷载而不产生永久变形。走台板面应具有防滑性能。</w:t>
      </w:r>
    </w:p>
    <w:p w14:paraId="06ABF2C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2.5.16 外购件品牌档次要求</w:t>
      </w:r>
    </w:p>
    <w:p w14:paraId="62547F2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（1）起升电机不低于南京总厂、南京特种、杭州电机等同档次产品；</w:t>
      </w:r>
    </w:p>
    <w:p w14:paraId="2607561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（2）减速器不低于博能、东力、蒲瑞等同档次硬齿面产品；</w:t>
      </w:r>
    </w:p>
    <w:p w14:paraId="47D03C4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（3）主要电器元件接触器不低于ABB、施耐德、西门子等同档次产品，空气开关等不低于ABB、施耐德、西门子等同档次产品；</w:t>
      </w:r>
    </w:p>
    <w:p w14:paraId="115AD46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（4）钢丝绳不低于贵州钢丝绳集团、南通钢丝绳集团、宁夏恒力等同档次产品；</w:t>
      </w:r>
    </w:p>
    <w:p w14:paraId="70AE1756">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2.6 备品备件和专用工具</w:t>
      </w:r>
    </w:p>
    <w:p w14:paraId="67A348DA">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2.6.1 备品备件</w:t>
      </w:r>
    </w:p>
    <w:p w14:paraId="73460C2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承包人应提供如</w:t>
      </w:r>
      <w:r>
        <w:rPr>
          <w:rFonts w:hint="eastAsia" w:ascii="宋体" w:hAnsi="宋体" w:eastAsia="宋体" w:cs="宋体"/>
          <w:snapToGrid/>
          <w:color w:val="auto"/>
          <w:kern w:val="2"/>
          <w:sz w:val="24"/>
          <w:szCs w:val="24"/>
          <w:highlight w:val="none"/>
          <w:lang w:val="en-US" w:eastAsia="zh-CN"/>
        </w:rPr>
        <w:t>下</w:t>
      </w:r>
      <w:r>
        <w:rPr>
          <w:rFonts w:hint="eastAsia" w:ascii="宋体" w:hAnsi="宋体" w:eastAsia="宋体" w:cs="宋体"/>
          <w:snapToGrid/>
          <w:color w:val="auto"/>
          <w:kern w:val="2"/>
          <w:sz w:val="24"/>
          <w:szCs w:val="24"/>
          <w:highlight w:val="none"/>
        </w:rPr>
        <w:t>表所列的备品备件，价格应包括在投标总价中。备品备件应与相同用途部件具有相同的规格、材料和工艺，并具有互换性。</w:t>
      </w:r>
    </w:p>
    <w:p w14:paraId="04A16ACB">
      <w:pPr>
        <w:keepNext w:val="0"/>
        <w:keepLines w:val="0"/>
        <w:pageBreakBefore w:val="0"/>
        <w:widowControl w:val="0"/>
        <w:tabs>
          <w:tab w:val="left" w:pos="3025"/>
        </w:tabs>
        <w:kinsoku/>
        <w:wordWrap/>
        <w:overflowPunct/>
        <w:topLinePunct/>
        <w:autoSpaceDE/>
        <w:autoSpaceDN/>
        <w:bidi w:val="0"/>
        <w:adjustRightInd w:val="0"/>
        <w:snapToGrid w:val="0"/>
        <w:spacing w:line="360" w:lineRule="auto"/>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b/>
          <w:snapToGrid w:val="0"/>
          <w:color w:val="auto"/>
          <w:sz w:val="24"/>
          <w:szCs w:val="24"/>
          <w:highlight w:val="none"/>
        </w:rPr>
        <w:t>表</w:t>
      </w:r>
      <w:r>
        <w:rPr>
          <w:rFonts w:hint="eastAsia" w:ascii="宋体" w:hAnsi="宋体" w:eastAsia="宋体" w:cs="宋体"/>
          <w:b/>
          <w:snapToGrid w:val="0"/>
          <w:color w:val="auto"/>
          <w:sz w:val="24"/>
          <w:szCs w:val="24"/>
          <w:highlight w:val="none"/>
          <w:lang w:val="en-US" w:eastAsia="zh-CN"/>
        </w:rPr>
        <w:t>6.13.2</w:t>
      </w:r>
      <w:r>
        <w:rPr>
          <w:rFonts w:hint="eastAsia" w:ascii="宋体" w:hAnsi="宋体" w:eastAsia="宋体" w:cs="宋体"/>
          <w:b/>
          <w:snapToGrid w:val="0"/>
          <w:color w:val="auto"/>
          <w:sz w:val="24"/>
          <w:szCs w:val="24"/>
          <w:highlight w:val="none"/>
        </w:rPr>
        <w:t>-</w:t>
      </w:r>
      <w:r>
        <w:rPr>
          <w:rFonts w:hint="eastAsia" w:ascii="宋体" w:hAnsi="宋体" w:eastAsia="宋体" w:cs="宋体"/>
          <w:b/>
          <w:snapToGrid w:val="0"/>
          <w:color w:val="auto"/>
          <w:sz w:val="24"/>
          <w:szCs w:val="24"/>
          <w:highlight w:val="none"/>
          <w:lang w:val="en-US" w:eastAsia="zh-CN"/>
        </w:rPr>
        <w:t>3</w:t>
      </w:r>
      <w:r>
        <w:rPr>
          <w:rFonts w:hint="eastAsia" w:ascii="宋体" w:hAnsi="宋体" w:eastAsia="宋体" w:cs="宋体"/>
          <w:b/>
          <w:snapToGrid w:val="0"/>
          <w:color w:val="auto"/>
          <w:sz w:val="24"/>
          <w:szCs w:val="24"/>
          <w:highlight w:val="none"/>
        </w:rPr>
        <w:t xml:space="preserve">  </w:t>
      </w:r>
      <w:r>
        <w:rPr>
          <w:rFonts w:hint="eastAsia" w:ascii="宋体" w:hAnsi="宋体" w:eastAsia="宋体" w:cs="宋体"/>
          <w:b/>
          <w:snapToGrid w:val="0"/>
          <w:color w:val="auto"/>
          <w:sz w:val="24"/>
          <w:szCs w:val="24"/>
          <w:highlight w:val="none"/>
          <w:lang w:val="en-US" w:eastAsia="zh-CN"/>
        </w:rPr>
        <w:t xml:space="preserve">            </w:t>
      </w:r>
      <w:r>
        <w:rPr>
          <w:rFonts w:hint="eastAsia" w:ascii="宋体" w:hAnsi="宋体" w:eastAsia="宋体" w:cs="宋体"/>
          <w:b/>
          <w:snapToGrid w:val="0"/>
          <w:color w:val="auto"/>
          <w:sz w:val="24"/>
          <w:szCs w:val="24"/>
          <w:highlight w:val="none"/>
        </w:rPr>
        <w:t xml:space="preserve">  起重机备品备件表</w:t>
      </w:r>
    </w:p>
    <w:tbl>
      <w:tblPr>
        <w:tblStyle w:val="22"/>
        <w:tblpPr w:leftFromText="180" w:rightFromText="180" w:vertAnchor="text" w:horzAnchor="page" w:tblpX="1448" w:tblpY="405"/>
        <w:tblOverlap w:val="never"/>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8"/>
        <w:gridCol w:w="6076"/>
        <w:gridCol w:w="1802"/>
      </w:tblGrid>
      <w:tr w14:paraId="15187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65" w:type="pct"/>
            <w:noWrap w:val="0"/>
            <w:vAlign w:val="center"/>
          </w:tcPr>
          <w:p w14:paraId="212F3EE7">
            <w:pPr>
              <w:keepNext w:val="0"/>
              <w:keepLines w:val="0"/>
              <w:pageBreakBefore w:val="0"/>
              <w:widowControl/>
              <w:tabs>
                <w:tab w:val="left" w:pos="3025"/>
              </w:tabs>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序号</w:t>
            </w:r>
          </w:p>
        </w:tc>
        <w:tc>
          <w:tcPr>
            <w:tcW w:w="3342" w:type="pct"/>
            <w:noWrap w:val="0"/>
            <w:vAlign w:val="center"/>
          </w:tcPr>
          <w:p w14:paraId="37119C25">
            <w:pPr>
              <w:keepNext w:val="0"/>
              <w:keepLines w:val="0"/>
              <w:pageBreakBefore w:val="0"/>
              <w:widowControl/>
              <w:tabs>
                <w:tab w:val="left" w:pos="3025"/>
              </w:tabs>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备品、备件名称</w:t>
            </w:r>
          </w:p>
        </w:tc>
        <w:tc>
          <w:tcPr>
            <w:tcW w:w="991" w:type="pct"/>
            <w:noWrap w:val="0"/>
            <w:vAlign w:val="center"/>
          </w:tcPr>
          <w:p w14:paraId="503EB37D">
            <w:pPr>
              <w:keepNext w:val="0"/>
              <w:keepLines w:val="0"/>
              <w:pageBreakBefore w:val="0"/>
              <w:widowControl/>
              <w:tabs>
                <w:tab w:val="left" w:pos="3025"/>
              </w:tabs>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数  量</w:t>
            </w:r>
          </w:p>
        </w:tc>
      </w:tr>
      <w:tr w14:paraId="0C697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07FD359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w:t>
            </w:r>
          </w:p>
        </w:tc>
        <w:tc>
          <w:tcPr>
            <w:tcW w:w="3342" w:type="pct"/>
            <w:noWrap w:val="0"/>
            <w:vAlign w:val="center"/>
          </w:tcPr>
          <w:p w14:paraId="78FCA1B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用于起重机的各种型号的电动机</w:t>
            </w:r>
          </w:p>
        </w:tc>
        <w:tc>
          <w:tcPr>
            <w:tcW w:w="991" w:type="pct"/>
            <w:noWrap w:val="0"/>
            <w:vAlign w:val="center"/>
          </w:tcPr>
          <w:p w14:paraId="42B7D51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1台</w:t>
            </w:r>
          </w:p>
        </w:tc>
      </w:tr>
      <w:tr w14:paraId="09548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14C2E435">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2</w:t>
            </w:r>
          </w:p>
        </w:tc>
        <w:tc>
          <w:tcPr>
            <w:tcW w:w="3342" w:type="pct"/>
            <w:noWrap w:val="0"/>
            <w:vAlign w:val="center"/>
          </w:tcPr>
          <w:p w14:paraId="4081041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各种型号的轴承、轴套、摩擦片</w:t>
            </w:r>
          </w:p>
        </w:tc>
        <w:tc>
          <w:tcPr>
            <w:tcW w:w="991" w:type="pct"/>
            <w:noWrap w:val="0"/>
            <w:vAlign w:val="center"/>
          </w:tcPr>
          <w:p w14:paraId="0E83D86A">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r w14:paraId="290A6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692D272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p>
        </w:tc>
        <w:tc>
          <w:tcPr>
            <w:tcW w:w="3342" w:type="pct"/>
            <w:noWrap w:val="0"/>
            <w:vAlign w:val="center"/>
          </w:tcPr>
          <w:p w14:paraId="1D365A4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各种型号制动器的制动瓦</w:t>
            </w:r>
          </w:p>
        </w:tc>
        <w:tc>
          <w:tcPr>
            <w:tcW w:w="991" w:type="pct"/>
            <w:noWrap w:val="0"/>
            <w:vAlign w:val="center"/>
          </w:tcPr>
          <w:p w14:paraId="20A55FC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r w14:paraId="4E7F3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4730121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4</w:t>
            </w:r>
          </w:p>
        </w:tc>
        <w:tc>
          <w:tcPr>
            <w:tcW w:w="3342" w:type="pct"/>
            <w:noWrap w:val="0"/>
            <w:vAlign w:val="center"/>
          </w:tcPr>
          <w:p w14:paraId="57835D53">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每个电动机用的碳刷</w:t>
            </w:r>
          </w:p>
        </w:tc>
        <w:tc>
          <w:tcPr>
            <w:tcW w:w="991" w:type="pct"/>
            <w:noWrap w:val="0"/>
            <w:vAlign w:val="center"/>
          </w:tcPr>
          <w:p w14:paraId="7BB6137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3套</w:t>
            </w:r>
          </w:p>
        </w:tc>
      </w:tr>
      <w:tr w14:paraId="5DC84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30C7FF0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5</w:t>
            </w:r>
          </w:p>
        </w:tc>
        <w:tc>
          <w:tcPr>
            <w:tcW w:w="3342" w:type="pct"/>
            <w:noWrap w:val="0"/>
            <w:vAlign w:val="center"/>
          </w:tcPr>
          <w:p w14:paraId="3716FB0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每个电动机用的刷架</w:t>
            </w:r>
          </w:p>
        </w:tc>
        <w:tc>
          <w:tcPr>
            <w:tcW w:w="991" w:type="pct"/>
            <w:noWrap w:val="0"/>
            <w:vAlign w:val="center"/>
          </w:tcPr>
          <w:p w14:paraId="76F024A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3套</w:t>
            </w:r>
          </w:p>
        </w:tc>
      </w:tr>
      <w:tr w14:paraId="5E399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19498F6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6</w:t>
            </w:r>
          </w:p>
        </w:tc>
        <w:tc>
          <w:tcPr>
            <w:tcW w:w="3342" w:type="pct"/>
            <w:noWrap w:val="0"/>
            <w:vAlign w:val="center"/>
          </w:tcPr>
          <w:p w14:paraId="72F8066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各种型号的密封圈、填料</w:t>
            </w:r>
          </w:p>
        </w:tc>
        <w:tc>
          <w:tcPr>
            <w:tcW w:w="991" w:type="pct"/>
            <w:noWrap w:val="0"/>
            <w:vAlign w:val="center"/>
          </w:tcPr>
          <w:p w14:paraId="7A1BEB0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r w14:paraId="23C36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1BDA696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7</w:t>
            </w:r>
          </w:p>
        </w:tc>
        <w:tc>
          <w:tcPr>
            <w:tcW w:w="3342" w:type="pct"/>
            <w:noWrap w:val="0"/>
            <w:vAlign w:val="center"/>
          </w:tcPr>
          <w:p w14:paraId="622CE76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各种型号的限位开关</w:t>
            </w:r>
          </w:p>
        </w:tc>
        <w:tc>
          <w:tcPr>
            <w:tcW w:w="991" w:type="pct"/>
            <w:noWrap w:val="0"/>
            <w:vAlign w:val="center"/>
          </w:tcPr>
          <w:p w14:paraId="2066D4D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r w14:paraId="0613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09FE65E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8</w:t>
            </w:r>
          </w:p>
        </w:tc>
        <w:tc>
          <w:tcPr>
            <w:tcW w:w="3342" w:type="pct"/>
            <w:noWrap w:val="0"/>
            <w:vAlign w:val="center"/>
          </w:tcPr>
          <w:p w14:paraId="0B13688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各种型号的电控制线圈、控制器、接触器</w:t>
            </w:r>
          </w:p>
        </w:tc>
        <w:tc>
          <w:tcPr>
            <w:tcW w:w="991" w:type="pct"/>
            <w:noWrap w:val="0"/>
            <w:vAlign w:val="center"/>
          </w:tcPr>
          <w:p w14:paraId="3FB9ED2E">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r w14:paraId="4D2A8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65" w:type="pct"/>
            <w:noWrap w:val="0"/>
            <w:vAlign w:val="center"/>
          </w:tcPr>
          <w:p w14:paraId="0F7F081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9</w:t>
            </w:r>
          </w:p>
        </w:tc>
        <w:tc>
          <w:tcPr>
            <w:tcW w:w="3342" w:type="pct"/>
            <w:noWrap w:val="0"/>
            <w:vAlign w:val="center"/>
          </w:tcPr>
          <w:p w14:paraId="18EC7D7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各种型号的灯、熔断器</w:t>
            </w:r>
          </w:p>
        </w:tc>
        <w:tc>
          <w:tcPr>
            <w:tcW w:w="991" w:type="pct"/>
            <w:noWrap w:val="0"/>
            <w:vAlign w:val="center"/>
          </w:tcPr>
          <w:p w14:paraId="405850F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50只</w:t>
            </w:r>
          </w:p>
        </w:tc>
      </w:tr>
    </w:tbl>
    <w:p w14:paraId="1D63D3C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w:t>
      </w:r>
      <w:r>
        <w:rPr>
          <w:rFonts w:hint="eastAsia" w:ascii="宋体" w:hAnsi="宋体" w:eastAsia="宋体" w:cs="宋体"/>
          <w:snapToGrid/>
          <w:color w:val="auto"/>
          <w:kern w:val="2"/>
          <w:sz w:val="24"/>
          <w:szCs w:val="24"/>
          <w:highlight w:val="none"/>
        </w:rPr>
        <w:t>.6.2 专用工器具</w:t>
      </w:r>
    </w:p>
    <w:p w14:paraId="12D1438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承包人应随桥式起重机供给安装与检修用的专用工器具。全部工器具应打上标记以便识别并专项使用。</w:t>
      </w:r>
    </w:p>
    <w:p w14:paraId="01B250B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承包人应提供的专用工器具如</w:t>
      </w:r>
      <w:r>
        <w:rPr>
          <w:rFonts w:hint="eastAsia" w:ascii="宋体" w:hAnsi="宋体" w:eastAsia="宋体" w:cs="宋体"/>
          <w:snapToGrid/>
          <w:color w:val="auto"/>
          <w:kern w:val="2"/>
          <w:sz w:val="24"/>
          <w:szCs w:val="24"/>
          <w:highlight w:val="none"/>
          <w:lang w:val="en-US" w:eastAsia="zh-CN"/>
        </w:rPr>
        <w:t>下</w:t>
      </w:r>
      <w:r>
        <w:rPr>
          <w:rFonts w:hint="eastAsia" w:ascii="宋体" w:hAnsi="宋体" w:eastAsia="宋体" w:cs="宋体"/>
          <w:snapToGrid/>
          <w:color w:val="auto"/>
          <w:kern w:val="2"/>
          <w:sz w:val="24"/>
          <w:szCs w:val="24"/>
          <w:highlight w:val="none"/>
        </w:rPr>
        <w:t>表所列。</w:t>
      </w:r>
    </w:p>
    <w:p w14:paraId="13768F45">
      <w:pPr>
        <w:keepNext w:val="0"/>
        <w:keepLines w:val="0"/>
        <w:pageBreakBefore w:val="0"/>
        <w:tabs>
          <w:tab w:val="left" w:pos="3025"/>
        </w:tabs>
        <w:kinsoku/>
        <w:wordWrap/>
        <w:overflowPunct/>
        <w:topLinePunct/>
        <w:autoSpaceDE w:val="0"/>
        <w:autoSpaceDN w:val="0"/>
        <w:bidi w:val="0"/>
        <w:adjustRightInd w:val="0"/>
        <w:snapToGrid w:val="0"/>
        <w:spacing w:line="360" w:lineRule="auto"/>
        <w:ind w:firstLine="0" w:firstLineChars="0"/>
        <w:jc w:val="left"/>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表</w:t>
      </w:r>
      <w:r>
        <w:rPr>
          <w:rFonts w:hint="eastAsia" w:ascii="宋体" w:hAnsi="宋体" w:eastAsia="宋体" w:cs="宋体"/>
          <w:b/>
          <w:snapToGrid w:val="0"/>
          <w:color w:val="auto"/>
          <w:sz w:val="24"/>
          <w:szCs w:val="24"/>
          <w:highlight w:val="none"/>
          <w:lang w:val="en-US" w:eastAsia="zh-CN"/>
        </w:rPr>
        <w:t>6.13.2</w:t>
      </w:r>
      <w:r>
        <w:rPr>
          <w:rFonts w:hint="eastAsia" w:ascii="宋体" w:hAnsi="宋体" w:eastAsia="宋体" w:cs="宋体"/>
          <w:b/>
          <w:snapToGrid w:val="0"/>
          <w:color w:val="auto"/>
          <w:sz w:val="24"/>
          <w:szCs w:val="24"/>
          <w:highlight w:val="none"/>
        </w:rPr>
        <w:t>-</w:t>
      </w:r>
      <w:r>
        <w:rPr>
          <w:rFonts w:hint="eastAsia" w:ascii="宋体" w:hAnsi="宋体" w:eastAsia="宋体" w:cs="宋体"/>
          <w:b/>
          <w:snapToGrid w:val="0"/>
          <w:color w:val="auto"/>
          <w:sz w:val="24"/>
          <w:szCs w:val="24"/>
          <w:highlight w:val="none"/>
          <w:lang w:val="en-US" w:eastAsia="zh-CN"/>
        </w:rPr>
        <w:t>4</w:t>
      </w:r>
      <w:r>
        <w:rPr>
          <w:rFonts w:hint="eastAsia" w:ascii="宋体" w:hAnsi="宋体" w:eastAsia="宋体" w:cs="宋体"/>
          <w:b/>
          <w:snapToGrid w:val="0"/>
          <w:color w:val="auto"/>
          <w:sz w:val="24"/>
          <w:szCs w:val="24"/>
          <w:highlight w:val="none"/>
        </w:rPr>
        <w:t xml:space="preserve">     </w:t>
      </w:r>
      <w:r>
        <w:rPr>
          <w:rFonts w:hint="eastAsia" w:ascii="宋体" w:hAnsi="宋体" w:eastAsia="宋体" w:cs="宋体"/>
          <w:b/>
          <w:snapToGrid w:val="0"/>
          <w:color w:val="auto"/>
          <w:sz w:val="24"/>
          <w:szCs w:val="24"/>
          <w:highlight w:val="none"/>
          <w:lang w:val="en-US" w:eastAsia="zh-CN"/>
        </w:rPr>
        <w:t xml:space="preserve">                </w:t>
      </w:r>
      <w:r>
        <w:rPr>
          <w:rFonts w:hint="eastAsia" w:ascii="宋体" w:hAnsi="宋体" w:eastAsia="宋体" w:cs="宋体"/>
          <w:b/>
          <w:snapToGrid w:val="0"/>
          <w:color w:val="auto"/>
          <w:sz w:val="24"/>
          <w:szCs w:val="24"/>
          <w:highlight w:val="none"/>
        </w:rPr>
        <w:t xml:space="preserve">   起重机专用工器具表</w:t>
      </w:r>
    </w:p>
    <w:tbl>
      <w:tblPr>
        <w:tblStyle w:val="2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
        <w:gridCol w:w="4452"/>
        <w:gridCol w:w="3661"/>
      </w:tblGrid>
      <w:tr w14:paraId="679C5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37" w:type="pct"/>
            <w:noWrap w:val="0"/>
            <w:vAlign w:val="center"/>
          </w:tcPr>
          <w:p w14:paraId="4EC8A25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序号</w:t>
            </w:r>
          </w:p>
        </w:tc>
        <w:tc>
          <w:tcPr>
            <w:tcW w:w="2448" w:type="pct"/>
            <w:noWrap w:val="0"/>
            <w:vAlign w:val="center"/>
          </w:tcPr>
          <w:p w14:paraId="153F8134">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名      称</w:t>
            </w:r>
          </w:p>
        </w:tc>
        <w:tc>
          <w:tcPr>
            <w:tcW w:w="2013" w:type="pct"/>
            <w:noWrap w:val="0"/>
            <w:vAlign w:val="center"/>
          </w:tcPr>
          <w:p w14:paraId="418AAFA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b/>
                <w:snapToGrid w:val="0"/>
                <w:color w:val="auto"/>
                <w:sz w:val="24"/>
                <w:szCs w:val="24"/>
                <w:highlight w:val="none"/>
              </w:rPr>
            </w:pPr>
            <w:r>
              <w:rPr>
                <w:rFonts w:hint="eastAsia" w:ascii="宋体" w:hAnsi="宋体" w:eastAsia="宋体" w:cs="宋体"/>
                <w:b/>
                <w:snapToGrid w:val="0"/>
                <w:color w:val="auto"/>
                <w:sz w:val="24"/>
                <w:szCs w:val="24"/>
                <w:highlight w:val="none"/>
              </w:rPr>
              <w:t>数量</w:t>
            </w:r>
          </w:p>
        </w:tc>
      </w:tr>
      <w:tr w14:paraId="64B71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37" w:type="pct"/>
            <w:noWrap w:val="0"/>
            <w:vAlign w:val="center"/>
          </w:tcPr>
          <w:p w14:paraId="42C2588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w:t>
            </w:r>
          </w:p>
        </w:tc>
        <w:tc>
          <w:tcPr>
            <w:tcW w:w="2448" w:type="pct"/>
            <w:noWrap w:val="0"/>
            <w:vAlign w:val="center"/>
          </w:tcPr>
          <w:p w14:paraId="38A1B3C8">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测力扳手（M20以上）</w:t>
            </w:r>
          </w:p>
        </w:tc>
        <w:tc>
          <w:tcPr>
            <w:tcW w:w="2013" w:type="pct"/>
            <w:noWrap w:val="0"/>
            <w:vAlign w:val="center"/>
          </w:tcPr>
          <w:p w14:paraId="7593AC10">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每种规格各1套</w:t>
            </w:r>
          </w:p>
        </w:tc>
      </w:tr>
      <w:tr w14:paraId="23CCD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37" w:type="pct"/>
            <w:noWrap w:val="0"/>
            <w:vAlign w:val="center"/>
          </w:tcPr>
          <w:p w14:paraId="20FA9E9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2</w:t>
            </w:r>
          </w:p>
        </w:tc>
        <w:tc>
          <w:tcPr>
            <w:tcW w:w="2448" w:type="pct"/>
            <w:noWrap w:val="0"/>
            <w:vAlign w:val="center"/>
          </w:tcPr>
          <w:p w14:paraId="36B7AB77">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双头呆扳手</w:t>
            </w:r>
          </w:p>
        </w:tc>
        <w:tc>
          <w:tcPr>
            <w:tcW w:w="2013" w:type="pct"/>
            <w:noWrap w:val="0"/>
            <w:vAlign w:val="center"/>
          </w:tcPr>
          <w:p w14:paraId="4D71E769">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每种规格各1套</w:t>
            </w:r>
          </w:p>
        </w:tc>
      </w:tr>
      <w:tr w14:paraId="60D13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37" w:type="pct"/>
            <w:noWrap w:val="0"/>
            <w:vAlign w:val="center"/>
          </w:tcPr>
          <w:p w14:paraId="2835DA2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p>
        </w:tc>
        <w:tc>
          <w:tcPr>
            <w:tcW w:w="2448" w:type="pct"/>
            <w:noWrap w:val="0"/>
            <w:vAlign w:val="center"/>
          </w:tcPr>
          <w:p w14:paraId="067B15B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梅花扳手</w:t>
            </w:r>
          </w:p>
        </w:tc>
        <w:tc>
          <w:tcPr>
            <w:tcW w:w="2013" w:type="pct"/>
            <w:noWrap w:val="0"/>
            <w:vAlign w:val="center"/>
          </w:tcPr>
          <w:p w14:paraId="6555CEED">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每种规格各1套</w:t>
            </w:r>
          </w:p>
        </w:tc>
      </w:tr>
      <w:tr w14:paraId="6D6B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37" w:type="pct"/>
            <w:noWrap w:val="0"/>
            <w:vAlign w:val="center"/>
          </w:tcPr>
          <w:p w14:paraId="7AF027AA">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4</w:t>
            </w:r>
          </w:p>
        </w:tc>
        <w:tc>
          <w:tcPr>
            <w:tcW w:w="2448" w:type="pct"/>
            <w:noWrap w:val="0"/>
            <w:vAlign w:val="center"/>
          </w:tcPr>
          <w:p w14:paraId="6C8C19C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黄油枪</w:t>
            </w:r>
          </w:p>
        </w:tc>
        <w:tc>
          <w:tcPr>
            <w:tcW w:w="2013" w:type="pct"/>
            <w:noWrap w:val="0"/>
            <w:vAlign w:val="center"/>
          </w:tcPr>
          <w:p w14:paraId="4565361C">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r w14:paraId="49D6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37" w:type="pct"/>
            <w:noWrap w:val="0"/>
            <w:vAlign w:val="center"/>
          </w:tcPr>
          <w:p w14:paraId="438A6E7A">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5</w:t>
            </w:r>
          </w:p>
        </w:tc>
        <w:tc>
          <w:tcPr>
            <w:tcW w:w="2448" w:type="pct"/>
            <w:noWrap w:val="0"/>
            <w:vAlign w:val="center"/>
          </w:tcPr>
          <w:p w14:paraId="049B0561">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钳工工具包</w:t>
            </w:r>
          </w:p>
        </w:tc>
        <w:tc>
          <w:tcPr>
            <w:tcW w:w="2013" w:type="pct"/>
            <w:noWrap w:val="0"/>
            <w:vAlign w:val="center"/>
          </w:tcPr>
          <w:p w14:paraId="24FE5886">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r w14:paraId="60264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37" w:type="pct"/>
            <w:noWrap w:val="0"/>
            <w:vAlign w:val="center"/>
          </w:tcPr>
          <w:p w14:paraId="5CA0702B">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6</w:t>
            </w:r>
          </w:p>
        </w:tc>
        <w:tc>
          <w:tcPr>
            <w:tcW w:w="2448" w:type="pct"/>
            <w:noWrap w:val="0"/>
            <w:vAlign w:val="center"/>
          </w:tcPr>
          <w:p w14:paraId="6F98368A">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电工工具包</w:t>
            </w:r>
          </w:p>
        </w:tc>
        <w:tc>
          <w:tcPr>
            <w:tcW w:w="2013" w:type="pct"/>
            <w:noWrap w:val="0"/>
            <w:vAlign w:val="center"/>
          </w:tcPr>
          <w:p w14:paraId="3D55BEF2">
            <w:pPr>
              <w:keepNext w:val="0"/>
              <w:keepLines w:val="0"/>
              <w:pageBreakBefore w:val="0"/>
              <w:widowControl/>
              <w:kinsoku/>
              <w:wordWrap/>
              <w:overflowPunct/>
              <w:topLinePunct/>
              <w:bidi w:val="0"/>
              <w:adjustRightInd w:val="0"/>
              <w:snapToGrid w:val="0"/>
              <w:spacing w:line="360" w:lineRule="auto"/>
              <w:ind w:firstLine="0" w:firstLineChars="0"/>
              <w:jc w:val="center"/>
              <w:textAlignment w:val="baseline"/>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1套</w:t>
            </w:r>
          </w:p>
        </w:tc>
      </w:tr>
    </w:tbl>
    <w:p w14:paraId="50BBA65F">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2.7 工厂试验</w:t>
      </w:r>
    </w:p>
    <w:p w14:paraId="561B10A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2.7.1 起重机出厂前，承包人应按照有关标准规范及图纸要求，对产品的质量逐项进行检验，并提交工厂检验报告及合格证。</w:t>
      </w:r>
    </w:p>
    <w:p w14:paraId="29978EB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2.7.2 起重机出厂前，承包人应至少提前30天通知发包人见证下述出厂试验：</w:t>
      </w:r>
    </w:p>
    <w:p w14:paraId="3D8E6FE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1）运行机构及小车总体预装，检验零部件的完整性和几何尺寸的正确性。</w:t>
      </w:r>
    </w:p>
    <w:p w14:paraId="3569836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2）运行机构空运转试验，各机构应做正、反向运转，试验的累计时间各15min以上，各机构应运转正常。</w:t>
      </w:r>
    </w:p>
    <w:p w14:paraId="18B163F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3）提升机构动作试验；</w:t>
      </w:r>
    </w:p>
    <w:p w14:paraId="7C6221C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4）规范规定的其他试验项目。</w:t>
      </w:r>
    </w:p>
    <w:p w14:paraId="187D627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2.7.3 厂内试验结束后，承包人应负责编写各项试验报告，并在相应的试验报告上签字认可。试验报告内容应包括试验项目、试验人员名单、试验设备主要技术参数、试验方法程序、试验原始 记录或复印件、全部测量结果汇总、最终成果的修正和调整、试验成果分析、误差说明等。</w:t>
      </w:r>
    </w:p>
    <w:p w14:paraId="330DEFF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2.7.4 在试验结束后的 30天 内，承包人应以试验报告及试验合格证书的形式提供证明产品合格的试验结果。</w:t>
      </w:r>
    </w:p>
    <w:p w14:paraId="23B98065">
      <w:pPr>
        <w:keepNext w:val="0"/>
        <w:keepLines w:val="0"/>
        <w:pageBreakBefore w:val="0"/>
        <w:widowControl w:val="0"/>
        <w:kinsoku/>
        <w:wordWrap/>
        <w:overflowPunct/>
        <w:topLinePunct/>
        <w:autoSpaceDE/>
        <w:autoSpaceDN/>
        <w:bidi w:val="0"/>
        <w:adjustRightInd w:val="0"/>
        <w:snapToGrid w:val="0"/>
        <w:spacing w:before="0" w:after="0" w:line="360" w:lineRule="auto"/>
        <w:ind w:firstLine="0" w:firstLineChars="0"/>
        <w:jc w:val="both"/>
        <w:textAlignment w:val="baseline"/>
        <w:outlineLvl w:val="9"/>
        <w:rPr>
          <w:rFonts w:hint="eastAsia" w:ascii="宋体" w:hAnsi="宋体" w:eastAsia="宋体" w:cs="宋体"/>
          <w:bCs w:val="0"/>
          <w:snapToGrid/>
          <w:color w:val="auto"/>
          <w:kern w:val="2"/>
          <w:sz w:val="24"/>
          <w:szCs w:val="24"/>
          <w:highlight w:val="none"/>
        </w:rPr>
      </w:pPr>
      <w:r>
        <w:rPr>
          <w:rFonts w:hint="eastAsia" w:ascii="宋体" w:hAnsi="宋体" w:eastAsia="宋体" w:cs="宋体"/>
          <w:bCs w:val="0"/>
          <w:snapToGrid/>
          <w:color w:val="auto"/>
          <w:kern w:val="2"/>
          <w:sz w:val="24"/>
          <w:szCs w:val="24"/>
          <w:highlight w:val="none"/>
        </w:rPr>
        <w:t>2.8 现场试验</w:t>
      </w:r>
    </w:p>
    <w:p w14:paraId="2B45973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lang w:val="en-GB"/>
        </w:rPr>
      </w:pPr>
      <w:r>
        <w:rPr>
          <w:rFonts w:hint="eastAsia" w:ascii="宋体" w:hAnsi="宋体" w:eastAsia="宋体" w:cs="宋体"/>
          <w:snapToGrid/>
          <w:color w:val="auto"/>
          <w:kern w:val="2"/>
          <w:sz w:val="24"/>
          <w:szCs w:val="24"/>
          <w:highlight w:val="none"/>
          <w:lang w:val="en-GB"/>
        </w:rPr>
        <w:t>2.8.1 概述</w:t>
      </w:r>
    </w:p>
    <w:p w14:paraId="726607F7">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承包人应派遣经验丰富的技术人员，对起重机的现场安装、试验等进行技术指导。</w:t>
      </w:r>
    </w:p>
    <w:p w14:paraId="1EBCEEC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现场试验开始前 20天，承包人应配合安装单位提交 1 份完整的试验大纲。试验大纲主要包括试验项目、试验准备、试验方法、试验程序、每项试验需要的设备和仪表清单、使用的试验表格和观察记录表等。</w:t>
      </w:r>
    </w:p>
    <w:p w14:paraId="341303A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lang w:val="en-GB"/>
        </w:rPr>
      </w:pPr>
      <w:r>
        <w:rPr>
          <w:rFonts w:hint="eastAsia" w:ascii="宋体" w:hAnsi="宋体" w:eastAsia="宋体" w:cs="宋体"/>
          <w:snapToGrid/>
          <w:color w:val="auto"/>
          <w:kern w:val="2"/>
          <w:sz w:val="24"/>
          <w:szCs w:val="24"/>
          <w:highlight w:val="none"/>
          <w:lang w:val="en-GB"/>
        </w:rPr>
        <w:t>2.8.2 现场试验内容</w:t>
      </w:r>
    </w:p>
    <w:p w14:paraId="4E7E11B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桥机现场试验包括，但不局限于以下内容：</w:t>
      </w:r>
    </w:p>
    <w:p w14:paraId="55781CF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2.8.2.1 初步检查</w:t>
      </w:r>
    </w:p>
    <w:p w14:paraId="308F75D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承包人应配合安装单位对桥机设备运输过程中是否损坏、现场装配质量进行检查，特别是检查雨水和潮湿对电动机和控制盘柜的损坏程度、不充分的油漆、污垢和垃圾的积聚以及漏油等。</w:t>
      </w:r>
    </w:p>
    <w:p w14:paraId="568A51B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2.8.2.2 空载静态试验</w:t>
      </w:r>
    </w:p>
    <w:p w14:paraId="226F7C4E">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 检查齿轮、轴承、联轴器及旋转部件的油位或润滑是否正常；</w:t>
      </w:r>
    </w:p>
    <w:p w14:paraId="3C949C5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检查控制每一运动的控制器，以确保吊钩及运行方向与标注的方向一致；</w:t>
      </w:r>
    </w:p>
    <w:p w14:paraId="24F92AA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检查所有灯是否满意运行，检查灯座是否便于安装和更换；</w:t>
      </w:r>
    </w:p>
    <w:p w14:paraId="66FD5E6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 对所有吊钩进行编号，并测量和记录所有吊钩颈部开口。</w:t>
      </w:r>
    </w:p>
    <w:p w14:paraId="643E027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2.7.2.3  空载操作试验</w:t>
      </w:r>
    </w:p>
    <w:p w14:paraId="4A76C92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1) 每一吊钩应能在整个起吊高度内提升或降低，直至限位开关动作终止运行。检查起吊装置，确定每一吊钩是否在给定的速度运行。 每一吊钩至少进行两次完整的提升、降落过程。检查电机、轴承、齿轮传动等是否出现过热等任何明显的趋势。 </w:t>
      </w:r>
    </w:p>
    <w:p w14:paraId="7C51423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在小车运行的每个方向至少完成4个完整的运行周期，揭示小车运行是否有产生噪音、轴承、齿轮或电机出现不同心等趋势，确定小车是否按所要求的速度运行。一旦设定控制器在“关”的位置，检查刹车是否正确停止运行中的小车。</w:t>
      </w:r>
    </w:p>
    <w:p w14:paraId="3EA444EA">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2.7.2.4 负载试验</w:t>
      </w:r>
    </w:p>
    <w:p w14:paraId="191DCE9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1）静载试验</w:t>
      </w:r>
    </w:p>
    <w:p w14:paraId="0823D5BD">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桥机应按照额定载荷的1.0倍和1.25 倍进行静载试验， 并对下述项目进行检查、记录： </w:t>
      </w:r>
    </w:p>
    <w:p w14:paraId="1100E0F5">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（1）检查提升机构是否能够升起、降低或控制过载在给定速度下运行而无漂移。</w:t>
      </w:r>
    </w:p>
    <w:p w14:paraId="30AB704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（2）在任一起吊位置，检查每一吊钩承载后是否会降低。</w:t>
      </w:r>
    </w:p>
    <w:p w14:paraId="53D370A2">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 过载试验后，再次测量并记录所有吊钩颈部开口，并与以前测量的数值相比较，检查吊钩是否变形。</w:t>
      </w:r>
    </w:p>
    <w:p w14:paraId="46BD0FF1">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（4） 当小车在吊车跨距中心、试验载荷为额定承载能力的100%和125%时，分别检查大梁的挠度和永久变形值是否满足本合同和其它有关规范的要求。</w:t>
      </w:r>
    </w:p>
    <w:p w14:paraId="005DCDF0">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 动负荷试验</w:t>
      </w:r>
    </w:p>
    <w:p w14:paraId="2D6448B9">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桥机应按额定容量的 1.1 倍进行动负荷试验，以检查桥机起升机构、运行机构、制动等是否满足本合同和其它有关规范要求。动负荷试验主要包括以下几项：</w:t>
      </w:r>
    </w:p>
    <w:p w14:paraId="42301844">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（1）起吊试验</w:t>
      </w:r>
    </w:p>
    <w:p w14:paraId="09BADDA3">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每一吊钩加载试验负荷时，重复进行上节描述的试验。仔细检查电动制动装置的运行情况，检查控制系统是否正确运行。在试验负载下进行一次完整的提升、降低动作，检查提升装置是否过热。</w:t>
      </w:r>
    </w:p>
    <w:p w14:paraId="12EB04BB">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检查加载的提升装置，以确定提升装置控制以及电磁刹车是否能够控制所处理的负载，要求提升装置具有提升、降低以及维持额定负载在任一位置。</w:t>
      </w:r>
    </w:p>
    <w:p w14:paraId="626B6FD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w:t>
      </w:r>
      <w:r>
        <w:rPr>
          <w:rFonts w:hint="eastAsia" w:ascii="宋体" w:hAnsi="宋体" w:eastAsia="宋体" w:cs="宋体"/>
          <w:snapToGrid/>
          <w:color w:val="auto"/>
          <w:kern w:val="2"/>
          <w:sz w:val="24"/>
          <w:szCs w:val="24"/>
          <w:highlight w:val="none"/>
        </w:rPr>
        <w:fldChar w:fldCharType="begin"/>
      </w:r>
      <w:r>
        <w:rPr>
          <w:rFonts w:hint="eastAsia" w:ascii="宋体" w:hAnsi="宋体" w:eastAsia="宋体" w:cs="宋体"/>
          <w:snapToGrid/>
          <w:color w:val="auto"/>
          <w:kern w:val="2"/>
          <w:sz w:val="24"/>
          <w:szCs w:val="24"/>
          <w:highlight w:val="none"/>
        </w:rPr>
        <w:instrText xml:space="preserve">seq level3 \h \r0 </w:instrTex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小车运行试验</w:t>
      </w:r>
    </w:p>
    <w:p w14:paraId="586B00A6">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进行小车带试验负荷运行试验。</w:t>
      </w:r>
    </w:p>
    <w:p w14:paraId="7363C118">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（3）大车运行试验</w:t>
      </w:r>
    </w:p>
    <w:p w14:paraId="129E015C">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在主钩带试验负荷时，进行大车运行试验。</w:t>
      </w:r>
    </w:p>
    <w:p w14:paraId="553E5A38">
      <w:pPr>
        <w:keepNext w:val="0"/>
        <w:keepLines w:val="0"/>
        <w:pageBreakBefore w:val="0"/>
        <w:widowControl w:val="0"/>
        <w:tabs>
          <w:tab w:val="left" w:pos="3025"/>
        </w:tabs>
        <w:kinsoku/>
        <w:wordWrap/>
        <w:overflowPunct/>
        <w:topLinePunct/>
        <w:autoSpaceDE/>
        <w:autoSpaceDN/>
        <w:bidi w:val="0"/>
        <w:adjustRightInd w:val="0"/>
        <w:snapToGrid w:val="0"/>
        <w:spacing w:line="360" w:lineRule="auto"/>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2.7.2.5  现场试验报告</w:t>
      </w:r>
    </w:p>
    <w:p w14:paraId="7E6E5FFF">
      <w:pPr>
        <w:keepNext w:val="0"/>
        <w:keepLines w:val="0"/>
        <w:pageBreakBefore w:val="0"/>
        <w:widowControl w:val="0"/>
        <w:tabs>
          <w:tab w:val="left" w:pos="3025"/>
        </w:tabs>
        <w:kinsoku/>
        <w:wordWrap/>
        <w:overflowPunct/>
        <w:topLinePunct/>
        <w:autoSpaceDE/>
        <w:autoSpaceDN/>
        <w:bidi w:val="0"/>
        <w:adjustRightInd w:val="0"/>
        <w:snapToGrid w:val="0"/>
        <w:spacing w:line="360" w:lineRule="auto"/>
        <w:ind w:firstLine="480" w:firstLineChars="200"/>
        <w:jc w:val="both"/>
        <w:textAlignment w:val="baseline"/>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在现场试验完成后，各项试验报告由安装单位或试验单位编写。</w:t>
      </w:r>
    </w:p>
    <w:p w14:paraId="5BC14DC6">
      <w:pPr>
        <w:pStyle w:val="41"/>
        <w:numPr>
          <w:ilvl w:val="0"/>
          <w:numId w:val="0"/>
        </w:numPr>
        <w:kinsoku/>
        <w:topLinePunct/>
        <w:spacing w:line="360" w:lineRule="auto"/>
        <w:jc w:val="left"/>
        <w:outlineLvl w:val="1"/>
        <w:rPr>
          <w:rFonts w:hint="default" w:ascii="宋体" w:hAnsi="宋体" w:eastAsia="宋体" w:cs="宋体"/>
          <w:b/>
          <w:bCs/>
          <w:snapToGrid/>
          <w:color w:val="auto"/>
          <w:spacing w:val="0"/>
          <w:sz w:val="24"/>
          <w:szCs w:val="24"/>
          <w:highlight w:val="none"/>
          <w:lang w:val="en-US" w:eastAsia="zh-CN" w:bidi="en-US"/>
        </w:rPr>
      </w:pPr>
      <w:bookmarkStart w:id="1205" w:name="_Toc911"/>
      <w:bookmarkStart w:id="1206" w:name="_Toc3580"/>
      <w:bookmarkStart w:id="1207" w:name="_Toc9233"/>
      <w:bookmarkStart w:id="1208" w:name="_Toc2733"/>
      <w:bookmarkStart w:id="1209" w:name="_Toc4872"/>
      <w:bookmarkStart w:id="1210" w:name="_Toc26455"/>
      <w:bookmarkStart w:id="1211" w:name="_Toc17708"/>
      <w:r>
        <w:rPr>
          <w:rFonts w:hint="eastAsia" w:ascii="宋体" w:hAnsi="宋体" w:eastAsia="宋体" w:cs="宋体"/>
          <w:b/>
          <w:bCs/>
          <w:snapToGrid/>
          <w:color w:val="auto"/>
          <w:spacing w:val="0"/>
          <w:sz w:val="24"/>
          <w:szCs w:val="24"/>
          <w:highlight w:val="none"/>
          <w:lang w:val="en-US" w:eastAsia="zh-CN" w:bidi="en-US"/>
        </w:rPr>
        <w:t>十四、</w:t>
      </w:r>
      <w:bookmarkEnd w:id="1205"/>
      <w:r>
        <w:rPr>
          <w:rFonts w:hint="eastAsia" w:ascii="宋体" w:hAnsi="宋体" w:eastAsia="宋体" w:cs="宋体"/>
          <w:b/>
          <w:bCs/>
          <w:snapToGrid/>
          <w:color w:val="auto"/>
          <w:spacing w:val="0"/>
          <w:sz w:val="24"/>
          <w:szCs w:val="24"/>
          <w:highlight w:val="none"/>
          <w:lang w:val="en-US" w:eastAsia="zh-CN" w:bidi="en-US"/>
        </w:rPr>
        <w:t>流量调节阀状态监测系统硬件</w:t>
      </w:r>
      <w:bookmarkEnd w:id="1206"/>
      <w:bookmarkEnd w:id="1207"/>
      <w:bookmarkEnd w:id="1208"/>
      <w:bookmarkEnd w:id="1209"/>
      <w:bookmarkEnd w:id="1210"/>
      <w:bookmarkEnd w:id="1211"/>
    </w:p>
    <w:p w14:paraId="6E3DB5C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在线监测系统</w:t>
      </w:r>
      <w:r>
        <w:rPr>
          <w:rFonts w:hint="eastAsia" w:ascii="宋体" w:hAnsi="宋体" w:eastAsia="宋体" w:cs="宋体"/>
          <w:b/>
          <w:color w:val="auto"/>
          <w:sz w:val="24"/>
          <w:szCs w:val="24"/>
          <w:highlight w:val="none"/>
          <w:lang w:val="en-US" w:eastAsia="zh-CN"/>
        </w:rPr>
        <w:t>硬件</w:t>
      </w:r>
      <w:r>
        <w:rPr>
          <w:rFonts w:hint="eastAsia" w:ascii="宋体" w:hAnsi="宋体" w:eastAsia="宋体" w:cs="宋体"/>
          <w:b/>
          <w:color w:val="auto"/>
          <w:sz w:val="24"/>
          <w:szCs w:val="24"/>
          <w:highlight w:val="none"/>
          <w:lang w:eastAsia="zh-CN"/>
        </w:rPr>
        <w:t>总要求</w:t>
      </w:r>
    </w:p>
    <w:p w14:paraId="50E8736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default" w:ascii="宋体" w:hAnsi="宋体" w:eastAsia="宋体"/>
          <w:b/>
          <w:color w:val="auto"/>
          <w:sz w:val="24"/>
          <w:szCs w:val="24"/>
          <w:highlight w:val="none"/>
          <w:lang w:val="en-US" w:eastAsia="zh-CN"/>
        </w:rPr>
      </w:pPr>
      <w:r>
        <w:rPr>
          <w:rFonts w:hint="eastAsia" w:ascii="宋体" w:hAnsi="宋体"/>
          <w:color w:val="auto"/>
          <w:sz w:val="24"/>
          <w:szCs w:val="24"/>
          <w:highlight w:val="none"/>
        </w:rPr>
        <w:t>1</w:t>
      </w:r>
      <w:r>
        <w:rPr>
          <w:rFonts w:ascii="宋体" w:hAnsi="宋体"/>
          <w:color w:val="auto"/>
          <w:sz w:val="24"/>
          <w:szCs w:val="24"/>
          <w:highlight w:val="none"/>
        </w:rPr>
        <w:t>.1本工程泵阀状态在线状态监测系统</w:t>
      </w:r>
      <w:r>
        <w:rPr>
          <w:rFonts w:hint="eastAsia" w:ascii="宋体" w:hAnsi="宋体"/>
          <w:color w:val="auto"/>
          <w:sz w:val="24"/>
          <w:szCs w:val="24"/>
          <w:highlight w:val="none"/>
        </w:rPr>
        <w:t>包含实时监测、故障诊断、健康评价等核心功能。需对活塞阀的各类故障已进行在线自行诊断，不接受任何形式的人工诊断。</w:t>
      </w:r>
      <w:r>
        <w:rPr>
          <w:rFonts w:hint="eastAsia" w:ascii="宋体" w:hAnsi="宋体" w:eastAsia="宋体"/>
          <w:color w:val="auto"/>
          <w:sz w:val="24"/>
          <w:szCs w:val="24"/>
          <w:highlight w:val="none"/>
          <w:lang w:val="en-US" w:eastAsia="zh-CN"/>
        </w:rPr>
        <w:t>本标段卖方只负责提供实现上述功能的所有硬件，软件由买方另行采购。</w:t>
      </w:r>
    </w:p>
    <w:p w14:paraId="6755AB70">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color w:val="auto"/>
          <w:sz w:val="24"/>
          <w:szCs w:val="24"/>
          <w:highlight w:val="none"/>
        </w:rPr>
      </w:pPr>
      <w:r>
        <w:rPr>
          <w:rFonts w:ascii="宋体" w:hAnsi="宋体"/>
          <w:color w:val="auto"/>
          <w:sz w:val="24"/>
          <w:szCs w:val="24"/>
          <w:highlight w:val="none"/>
        </w:rPr>
        <w:t>1.2</w:t>
      </w:r>
      <w:r>
        <w:rPr>
          <w:rFonts w:hint="eastAsia" w:ascii="宋体" w:hAnsi="宋体"/>
          <w:color w:val="auto"/>
          <w:sz w:val="24"/>
          <w:szCs w:val="24"/>
          <w:highlight w:val="none"/>
        </w:rPr>
        <w:t>本系统的数据采集器采用可扩展插槽式数据采集器，不低于德国申克VC-8000、美国Bently3500、瑞士Vibro-meter VM600</w:t>
      </w:r>
      <w:r>
        <w:rPr>
          <w:rFonts w:hint="eastAsia" w:ascii="宋体" w:hAnsi="宋体" w:eastAsia="宋体"/>
          <w:color w:val="auto"/>
          <w:sz w:val="24"/>
          <w:szCs w:val="24"/>
          <w:highlight w:val="none"/>
          <w:lang w:eastAsia="zh-CN"/>
        </w:rPr>
        <w:t>、</w:t>
      </w:r>
      <w:r>
        <w:rPr>
          <w:rFonts w:hint="eastAsia" w:ascii="宋体" w:hAnsi="宋体" w:eastAsia="宋体" w:cs="宋体"/>
          <w:snapToGrid/>
          <w:color w:val="auto"/>
          <w:kern w:val="2"/>
          <w:sz w:val="24"/>
          <w:szCs w:val="24"/>
          <w:highlight w:val="none"/>
        </w:rPr>
        <w:t>爱默生ams6500</w:t>
      </w:r>
      <w:r>
        <w:rPr>
          <w:rFonts w:hint="eastAsia" w:ascii="宋体" w:hAnsi="宋体" w:eastAsia="宋体" w:cs="宋体"/>
          <w:snapToGrid/>
          <w:color w:val="auto"/>
          <w:kern w:val="2"/>
          <w:sz w:val="24"/>
          <w:szCs w:val="24"/>
          <w:highlight w:val="none"/>
          <w:lang w:eastAsia="zh-CN"/>
        </w:rPr>
        <w:t>、西门子dps6500</w:t>
      </w:r>
      <w:r>
        <w:rPr>
          <w:rFonts w:hint="eastAsia" w:ascii="宋体" w:hAnsi="宋体"/>
          <w:color w:val="auto"/>
          <w:sz w:val="24"/>
          <w:szCs w:val="24"/>
          <w:highlight w:val="none"/>
        </w:rPr>
        <w:t>。投标时应提供由原产地制造厂出具的原厂授权，</w:t>
      </w:r>
      <w:r>
        <w:rPr>
          <w:rFonts w:hint="eastAsia" w:ascii="宋体" w:hAnsi="宋体" w:eastAsia="宋体"/>
          <w:color w:val="auto"/>
          <w:sz w:val="24"/>
          <w:szCs w:val="24"/>
          <w:highlight w:val="none"/>
          <w:lang w:val="en-US" w:eastAsia="zh-CN"/>
        </w:rPr>
        <w:t>发货时</w:t>
      </w:r>
      <w:r>
        <w:rPr>
          <w:rFonts w:hint="eastAsia" w:ascii="宋体" w:hAnsi="宋体"/>
          <w:color w:val="auto"/>
          <w:sz w:val="24"/>
          <w:szCs w:val="24"/>
          <w:highlight w:val="none"/>
        </w:rPr>
        <w:t>提供原产地证明及报关单等。</w:t>
      </w:r>
    </w:p>
    <w:p w14:paraId="1CEF8E62">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lang w:val="en-US" w:eastAsia="zh-CN"/>
        </w:rPr>
      </w:pPr>
      <w:r>
        <w:rPr>
          <w:rFonts w:hint="eastAsia" w:ascii="宋体" w:hAnsi="宋体" w:eastAsia="宋体"/>
          <w:color w:val="auto"/>
          <w:sz w:val="24"/>
          <w:szCs w:val="24"/>
          <w:highlight w:val="none"/>
          <w:lang w:val="en-US" w:eastAsia="zh-CN"/>
        </w:rPr>
        <w:t>1</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lang w:val="en-US" w:eastAsia="zh-CN"/>
        </w:rPr>
        <w:t>3</w:t>
      </w:r>
      <w:r>
        <w:rPr>
          <w:rFonts w:hint="eastAsia" w:ascii="宋体" w:hAnsi="宋体" w:eastAsia="宋体" w:cs="宋体"/>
          <w:snapToGrid/>
          <w:color w:val="auto"/>
          <w:kern w:val="2"/>
          <w:sz w:val="24"/>
          <w:szCs w:val="24"/>
          <w:highlight w:val="none"/>
        </w:rPr>
        <w:t xml:space="preserve"> 在线监测系统</w:t>
      </w:r>
      <w:r>
        <w:rPr>
          <w:rFonts w:hint="eastAsia" w:ascii="宋体" w:hAnsi="宋体" w:eastAsia="宋体" w:cs="宋体"/>
          <w:snapToGrid/>
          <w:color w:val="auto"/>
          <w:kern w:val="2"/>
          <w:sz w:val="24"/>
          <w:szCs w:val="24"/>
          <w:highlight w:val="none"/>
          <w:lang w:val="en-US" w:eastAsia="zh-CN"/>
        </w:rPr>
        <w:t>所有硬件</w:t>
      </w:r>
      <w:r>
        <w:rPr>
          <w:rFonts w:hint="eastAsia" w:ascii="宋体" w:hAnsi="宋体" w:eastAsia="宋体" w:cs="宋体"/>
          <w:snapToGrid/>
          <w:color w:val="auto"/>
          <w:kern w:val="2"/>
          <w:sz w:val="24"/>
          <w:szCs w:val="24"/>
          <w:highlight w:val="none"/>
        </w:rPr>
        <w:t>由</w:t>
      </w:r>
      <w:r>
        <w:rPr>
          <w:rFonts w:hint="eastAsia" w:ascii="宋体" w:hAnsi="宋体" w:eastAsia="宋体" w:cs="宋体"/>
          <w:snapToGrid/>
          <w:color w:val="auto"/>
          <w:kern w:val="2"/>
          <w:sz w:val="24"/>
          <w:szCs w:val="24"/>
          <w:highlight w:val="none"/>
          <w:lang w:val="en-US" w:eastAsia="zh-CN"/>
        </w:rPr>
        <w:t>在线监测</w:t>
      </w:r>
      <w:r>
        <w:rPr>
          <w:rFonts w:hint="eastAsia" w:ascii="宋体" w:hAnsi="宋体" w:eastAsia="宋体" w:cs="宋体"/>
          <w:snapToGrid/>
          <w:color w:val="auto"/>
          <w:kern w:val="2"/>
          <w:sz w:val="24"/>
          <w:szCs w:val="24"/>
          <w:highlight w:val="none"/>
        </w:rPr>
        <w:t>供货单位一并提供</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lang w:val="en-US" w:eastAsia="zh-CN"/>
        </w:rPr>
        <w:t>本标段不需要提供在线监测系统所需的软件，软件由买方另行采购，本标段卖方</w:t>
      </w:r>
      <w:r>
        <w:rPr>
          <w:rFonts w:hint="eastAsia" w:ascii="宋体" w:hAnsi="宋体" w:eastAsia="宋体" w:cs="宋体"/>
          <w:snapToGrid/>
          <w:color w:val="auto"/>
          <w:kern w:val="2"/>
          <w:sz w:val="24"/>
          <w:szCs w:val="24"/>
          <w:highlight w:val="none"/>
          <w:lang w:eastAsia="zh-CN"/>
        </w:rPr>
        <w:t>应配合后期系统软件承包商的相关工作，卖方应确保硬件、软件运行良好，相关</w:t>
      </w:r>
      <w:r>
        <w:rPr>
          <w:rFonts w:hint="eastAsia" w:ascii="宋体" w:hAnsi="宋体" w:eastAsia="宋体" w:cs="宋体"/>
          <w:snapToGrid/>
          <w:color w:val="auto"/>
          <w:kern w:val="2"/>
          <w:sz w:val="24"/>
          <w:szCs w:val="24"/>
          <w:highlight w:val="none"/>
          <w:lang w:val="en-US" w:eastAsia="zh-CN"/>
        </w:rPr>
        <w:t>配合</w:t>
      </w:r>
      <w:r>
        <w:rPr>
          <w:rFonts w:hint="eastAsia" w:ascii="宋体" w:hAnsi="宋体" w:eastAsia="宋体" w:cs="宋体"/>
          <w:snapToGrid/>
          <w:color w:val="auto"/>
          <w:kern w:val="2"/>
          <w:sz w:val="24"/>
          <w:szCs w:val="24"/>
          <w:highlight w:val="none"/>
          <w:lang w:eastAsia="zh-CN"/>
        </w:rPr>
        <w:t>费用（不含软件）包含在本标段相应项目报价中</w:t>
      </w:r>
      <w:r>
        <w:rPr>
          <w:rFonts w:hint="eastAsia" w:ascii="宋体" w:hAnsi="宋体" w:eastAsia="宋体" w:cs="宋体"/>
          <w:snapToGrid/>
          <w:color w:val="auto"/>
          <w:kern w:val="2"/>
          <w:sz w:val="24"/>
          <w:szCs w:val="24"/>
          <w:highlight w:val="none"/>
        </w:rPr>
        <w:t>。</w:t>
      </w:r>
      <w:r>
        <w:rPr>
          <w:rFonts w:hint="eastAsia" w:ascii="宋体" w:hAnsi="宋体" w:eastAsia="宋体" w:cs="宋体"/>
          <w:snapToGrid/>
          <w:color w:val="auto"/>
          <w:kern w:val="2"/>
          <w:sz w:val="24"/>
          <w:szCs w:val="24"/>
          <w:highlight w:val="none"/>
          <w:lang w:val="en-US" w:eastAsia="zh-CN"/>
        </w:rPr>
        <w:t>在线监测供货商应与流量调节阀厂家配合确定传感器安装位置。</w:t>
      </w:r>
    </w:p>
    <w:p w14:paraId="09CF3D0E">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default" w:ascii="宋体" w:hAnsi="宋体" w:eastAsia="宋体" w:cs="宋体"/>
          <w:snapToGrid/>
          <w:color w:val="auto"/>
          <w:kern w:val="2"/>
          <w:sz w:val="24"/>
          <w:szCs w:val="24"/>
          <w:highlight w:val="none"/>
          <w:lang w:val="en-US" w:eastAsia="zh-CN"/>
        </w:rPr>
      </w:pPr>
      <w:r>
        <w:rPr>
          <w:rFonts w:hint="eastAsia" w:ascii="宋体" w:hAnsi="宋体" w:eastAsia="宋体" w:cs="宋体"/>
          <w:snapToGrid/>
          <w:color w:val="auto"/>
          <w:kern w:val="2"/>
          <w:sz w:val="24"/>
          <w:szCs w:val="24"/>
          <w:highlight w:val="none"/>
          <w:lang w:val="en-US" w:eastAsia="zh-CN"/>
        </w:rPr>
        <w:t>1.4 系统承包单位需要全程参与该系统的调试和优化工作以及指导施工单位进行系统的硬件的安装。</w:t>
      </w:r>
    </w:p>
    <w:p w14:paraId="796CE7FA">
      <w:pPr>
        <w:pStyle w:val="41"/>
        <w:keepNext w:val="0"/>
        <w:keepLines w:val="0"/>
        <w:pageBreakBefore w:val="0"/>
        <w:numPr>
          <w:ilvl w:val="0"/>
          <w:numId w:val="0"/>
        </w:numPr>
        <w:kinsoku/>
        <w:wordWrap/>
        <w:overflowPunct/>
        <w:topLinePunct/>
        <w:bidi w:val="0"/>
        <w:adjustRightInd w:val="0"/>
        <w:snapToGrid w:val="0"/>
        <w:spacing w:line="360" w:lineRule="auto"/>
        <w:ind w:firstLine="0" w:firstLineChars="0"/>
        <w:jc w:val="left"/>
        <w:textAlignment w:val="baseline"/>
        <w:rPr>
          <w:rFonts w:hint="eastAsia" w:ascii="宋体" w:hAnsi="宋体" w:eastAsia="宋体"/>
          <w:b/>
          <w:color w:val="auto"/>
          <w:sz w:val="24"/>
          <w:szCs w:val="24"/>
          <w:highlight w:val="none"/>
        </w:rPr>
      </w:pPr>
      <w:r>
        <w:rPr>
          <w:rFonts w:hint="eastAsia" w:ascii="宋体" w:hAnsi="宋体" w:eastAsia="宋体"/>
          <w:b/>
          <w:color w:val="auto"/>
          <w:sz w:val="24"/>
          <w:szCs w:val="24"/>
          <w:highlight w:val="none"/>
          <w:lang w:val="en-US" w:eastAsia="zh-CN"/>
        </w:rPr>
        <w:t>（二）</w:t>
      </w:r>
      <w:r>
        <w:rPr>
          <w:rFonts w:hint="eastAsia" w:ascii="宋体" w:hAnsi="宋体" w:eastAsia="宋体"/>
          <w:b/>
          <w:color w:val="auto"/>
          <w:sz w:val="24"/>
          <w:szCs w:val="24"/>
          <w:highlight w:val="none"/>
        </w:rPr>
        <w:t>在线监测系统</w:t>
      </w:r>
      <w:r>
        <w:rPr>
          <w:rFonts w:hint="eastAsia" w:ascii="宋体" w:hAnsi="宋体" w:eastAsia="宋体"/>
          <w:b/>
          <w:color w:val="auto"/>
          <w:sz w:val="24"/>
          <w:szCs w:val="24"/>
          <w:highlight w:val="none"/>
          <w:lang w:val="en-US" w:eastAsia="zh-CN"/>
        </w:rPr>
        <w:t>硬件</w:t>
      </w:r>
      <w:r>
        <w:rPr>
          <w:rFonts w:hint="eastAsia" w:ascii="宋体" w:hAnsi="宋体" w:eastAsia="宋体"/>
          <w:b/>
          <w:color w:val="auto"/>
          <w:sz w:val="24"/>
          <w:szCs w:val="24"/>
          <w:highlight w:val="none"/>
        </w:rPr>
        <w:t>供货范围及备品备件</w:t>
      </w:r>
    </w:p>
    <w:p w14:paraId="527DB0C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2.1本系统供货范围</w:t>
      </w:r>
      <w:r>
        <w:rPr>
          <w:rFonts w:hint="eastAsia" w:ascii="宋体" w:hAnsi="宋体" w:eastAsia="宋体"/>
          <w:color w:val="auto"/>
          <w:sz w:val="24"/>
          <w:szCs w:val="24"/>
          <w:highlight w:val="none"/>
          <w:lang w:val="en-US" w:eastAsia="zh-CN"/>
        </w:rPr>
        <w:t>为除软件外的所有硬件，</w:t>
      </w:r>
      <w:r>
        <w:rPr>
          <w:rFonts w:hint="eastAsia" w:ascii="宋体" w:hAnsi="宋体"/>
          <w:color w:val="auto"/>
          <w:sz w:val="24"/>
          <w:szCs w:val="24"/>
          <w:highlight w:val="none"/>
        </w:rPr>
        <w:t>包括：在线监测系统包含的各测点传感器、现地柜、服务器、显示器。其中现地柜内包含：数据采集器、交换机、电源、液晶触摸屏等设备。在线监测系统需提供连接传感器、现地柜、服务器之间的电缆，或无线网络传输所需要的网络设备。在</w:t>
      </w:r>
      <w:r>
        <w:rPr>
          <w:rFonts w:hint="eastAsia" w:ascii="宋体" w:hAnsi="宋体" w:eastAsia="宋体"/>
          <w:color w:val="auto"/>
          <w:sz w:val="24"/>
          <w:szCs w:val="24"/>
          <w:highlight w:val="none"/>
          <w:lang w:val="en-US" w:eastAsia="zh-CN"/>
        </w:rPr>
        <w:t>线</w:t>
      </w:r>
      <w:r>
        <w:rPr>
          <w:rFonts w:hint="eastAsia" w:ascii="宋体" w:hAnsi="宋体"/>
          <w:color w:val="auto"/>
          <w:sz w:val="24"/>
          <w:szCs w:val="24"/>
          <w:highlight w:val="none"/>
        </w:rPr>
        <w:t>监测系统需提供所有传感器安装所需的支架。</w:t>
      </w:r>
      <w:r>
        <w:rPr>
          <w:rFonts w:hint="eastAsia" w:ascii="宋体" w:hAnsi="宋体" w:eastAsia="宋体"/>
          <w:color w:val="auto"/>
          <w:sz w:val="24"/>
          <w:szCs w:val="24"/>
          <w:highlight w:val="none"/>
          <w:lang w:val="en-US" w:eastAsia="zh-CN"/>
        </w:rPr>
        <w:t>服务器、显示器安装场所在中标后的设计联络会上确定。</w:t>
      </w:r>
    </w:p>
    <w:p w14:paraId="40973B1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2.2 每个建筑物内包含一个在线监测现地柜。</w:t>
      </w:r>
    </w:p>
    <w:p w14:paraId="4C1E6E7C">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 xml:space="preserve"> 在线监测系统测点分布见下表：</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1"/>
        <w:gridCol w:w="652"/>
        <w:gridCol w:w="700"/>
        <w:gridCol w:w="878"/>
        <w:gridCol w:w="954"/>
        <w:gridCol w:w="941"/>
        <w:gridCol w:w="887"/>
        <w:gridCol w:w="1345"/>
        <w:gridCol w:w="1067"/>
      </w:tblGrid>
      <w:tr w14:paraId="5277E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pct"/>
            <w:vMerge w:val="restart"/>
            <w:noWrap w:val="0"/>
            <w:vAlign w:val="center"/>
          </w:tcPr>
          <w:p w14:paraId="2F92004C">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监测</w:t>
            </w:r>
            <w:r>
              <w:rPr>
                <w:rFonts w:ascii="宋体" w:hAnsi="宋体"/>
                <w:color w:val="auto"/>
                <w:szCs w:val="21"/>
                <w:highlight w:val="none"/>
              </w:rPr>
              <w:t>对象</w:t>
            </w:r>
          </w:p>
        </w:tc>
        <w:tc>
          <w:tcPr>
            <w:tcW w:w="359" w:type="pct"/>
            <w:vMerge w:val="restart"/>
            <w:noWrap w:val="0"/>
            <w:vAlign w:val="center"/>
          </w:tcPr>
          <w:p w14:paraId="4975F60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安装位置</w:t>
            </w:r>
          </w:p>
        </w:tc>
        <w:tc>
          <w:tcPr>
            <w:tcW w:w="385" w:type="pct"/>
            <w:vMerge w:val="restart"/>
            <w:noWrap w:val="0"/>
            <w:vAlign w:val="center"/>
          </w:tcPr>
          <w:p w14:paraId="6343E8E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数量</w:t>
            </w:r>
          </w:p>
        </w:tc>
        <w:tc>
          <w:tcPr>
            <w:tcW w:w="3341" w:type="pct"/>
            <w:gridSpan w:val="6"/>
            <w:noWrap w:val="0"/>
            <w:vAlign w:val="center"/>
          </w:tcPr>
          <w:p w14:paraId="02BBC39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每台设备包含的测点数量</w:t>
            </w:r>
          </w:p>
        </w:tc>
      </w:tr>
      <w:tr w14:paraId="76664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pct"/>
            <w:vMerge w:val="continue"/>
            <w:noWrap w:val="0"/>
            <w:vAlign w:val="center"/>
          </w:tcPr>
          <w:p w14:paraId="5141A65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p>
        </w:tc>
        <w:tc>
          <w:tcPr>
            <w:tcW w:w="359" w:type="pct"/>
            <w:vMerge w:val="continue"/>
            <w:noWrap w:val="0"/>
            <w:vAlign w:val="center"/>
          </w:tcPr>
          <w:p w14:paraId="521F18D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p>
        </w:tc>
        <w:tc>
          <w:tcPr>
            <w:tcW w:w="385" w:type="pct"/>
            <w:vMerge w:val="continue"/>
            <w:noWrap w:val="0"/>
            <w:vAlign w:val="center"/>
          </w:tcPr>
          <w:p w14:paraId="76FD6635">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p>
        </w:tc>
        <w:tc>
          <w:tcPr>
            <w:tcW w:w="483" w:type="pct"/>
            <w:noWrap w:val="0"/>
            <w:vAlign w:val="center"/>
          </w:tcPr>
          <w:p w14:paraId="62C0345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振动测点数量</w:t>
            </w:r>
          </w:p>
        </w:tc>
        <w:tc>
          <w:tcPr>
            <w:tcW w:w="525" w:type="pct"/>
            <w:noWrap w:val="0"/>
            <w:vAlign w:val="center"/>
          </w:tcPr>
          <w:p w14:paraId="5659379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摆度测点数量</w:t>
            </w:r>
          </w:p>
        </w:tc>
        <w:tc>
          <w:tcPr>
            <w:tcW w:w="518" w:type="pct"/>
            <w:noWrap w:val="0"/>
            <w:vAlign w:val="center"/>
          </w:tcPr>
          <w:p w14:paraId="471AADB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噪音测点数量</w:t>
            </w:r>
          </w:p>
        </w:tc>
        <w:tc>
          <w:tcPr>
            <w:tcW w:w="488" w:type="pct"/>
            <w:noWrap w:val="0"/>
            <w:vAlign w:val="center"/>
          </w:tcPr>
          <w:p w14:paraId="393D08F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轴位移</w:t>
            </w:r>
          </w:p>
        </w:tc>
        <w:tc>
          <w:tcPr>
            <w:tcW w:w="740" w:type="pct"/>
            <w:noWrap w:val="0"/>
            <w:vAlign w:val="center"/>
          </w:tcPr>
          <w:p w14:paraId="5351E31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压力脉动测点数量</w:t>
            </w:r>
          </w:p>
        </w:tc>
        <w:tc>
          <w:tcPr>
            <w:tcW w:w="584" w:type="pct"/>
            <w:noWrap w:val="0"/>
            <w:vAlign w:val="center"/>
          </w:tcPr>
          <w:p w14:paraId="5909621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压力测点数量</w:t>
            </w:r>
          </w:p>
        </w:tc>
      </w:tr>
      <w:tr w14:paraId="7149E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pct"/>
            <w:noWrap w:val="0"/>
            <w:vAlign w:val="center"/>
          </w:tcPr>
          <w:p w14:paraId="3337617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DN1300固定锥阀</w:t>
            </w:r>
          </w:p>
        </w:tc>
        <w:tc>
          <w:tcPr>
            <w:tcW w:w="359" w:type="pct"/>
            <w:noWrap w:val="0"/>
            <w:vAlign w:val="center"/>
          </w:tcPr>
          <w:p w14:paraId="415E5CDB">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汤浦</w:t>
            </w:r>
          </w:p>
        </w:tc>
        <w:tc>
          <w:tcPr>
            <w:tcW w:w="385" w:type="pct"/>
            <w:noWrap w:val="0"/>
            <w:vAlign w:val="center"/>
          </w:tcPr>
          <w:p w14:paraId="5CE742C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1</w:t>
            </w:r>
          </w:p>
        </w:tc>
        <w:tc>
          <w:tcPr>
            <w:tcW w:w="483" w:type="pct"/>
            <w:noWrap w:val="0"/>
            <w:vAlign w:val="center"/>
          </w:tcPr>
          <w:p w14:paraId="463BF2E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2</w:t>
            </w:r>
          </w:p>
        </w:tc>
        <w:tc>
          <w:tcPr>
            <w:tcW w:w="525" w:type="pct"/>
            <w:noWrap w:val="0"/>
            <w:vAlign w:val="center"/>
          </w:tcPr>
          <w:p w14:paraId="3D8860C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518" w:type="pct"/>
            <w:noWrap w:val="0"/>
            <w:vAlign w:val="center"/>
          </w:tcPr>
          <w:p w14:paraId="5686B67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1</w:t>
            </w:r>
          </w:p>
        </w:tc>
        <w:tc>
          <w:tcPr>
            <w:tcW w:w="488" w:type="pct"/>
            <w:noWrap w:val="0"/>
            <w:vAlign w:val="center"/>
          </w:tcPr>
          <w:p w14:paraId="7F26D12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740" w:type="pct"/>
            <w:noWrap w:val="0"/>
            <w:vAlign w:val="center"/>
          </w:tcPr>
          <w:p w14:paraId="2C7A8621">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584" w:type="pct"/>
            <w:noWrap w:val="0"/>
            <w:vAlign w:val="center"/>
          </w:tcPr>
          <w:p w14:paraId="6A4A334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2</w:t>
            </w:r>
          </w:p>
        </w:tc>
      </w:tr>
      <w:tr w14:paraId="2B276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pct"/>
            <w:noWrap w:val="0"/>
            <w:vAlign w:val="center"/>
          </w:tcPr>
          <w:p w14:paraId="2F97ACE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DN1000活塞阀</w:t>
            </w:r>
          </w:p>
        </w:tc>
        <w:tc>
          <w:tcPr>
            <w:tcW w:w="359" w:type="pct"/>
            <w:noWrap w:val="0"/>
            <w:vAlign w:val="center"/>
          </w:tcPr>
          <w:p w14:paraId="2CDF37F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嵊州</w:t>
            </w:r>
          </w:p>
        </w:tc>
        <w:tc>
          <w:tcPr>
            <w:tcW w:w="385" w:type="pct"/>
            <w:noWrap w:val="0"/>
            <w:vAlign w:val="center"/>
          </w:tcPr>
          <w:p w14:paraId="5916894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1</w:t>
            </w:r>
          </w:p>
        </w:tc>
        <w:tc>
          <w:tcPr>
            <w:tcW w:w="483" w:type="pct"/>
            <w:noWrap w:val="0"/>
            <w:vAlign w:val="center"/>
          </w:tcPr>
          <w:p w14:paraId="2B0695CD">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2</w:t>
            </w:r>
          </w:p>
        </w:tc>
        <w:tc>
          <w:tcPr>
            <w:tcW w:w="525" w:type="pct"/>
            <w:noWrap w:val="0"/>
            <w:vAlign w:val="center"/>
          </w:tcPr>
          <w:p w14:paraId="7C4D78E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518" w:type="pct"/>
            <w:noWrap w:val="0"/>
            <w:vAlign w:val="center"/>
          </w:tcPr>
          <w:p w14:paraId="3F92227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1</w:t>
            </w:r>
          </w:p>
        </w:tc>
        <w:tc>
          <w:tcPr>
            <w:tcW w:w="488" w:type="pct"/>
            <w:noWrap w:val="0"/>
            <w:vAlign w:val="center"/>
          </w:tcPr>
          <w:p w14:paraId="47FD07F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740" w:type="pct"/>
            <w:noWrap w:val="0"/>
            <w:vAlign w:val="center"/>
          </w:tcPr>
          <w:p w14:paraId="2F17838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584" w:type="pct"/>
            <w:noWrap w:val="0"/>
            <w:vAlign w:val="center"/>
          </w:tcPr>
          <w:p w14:paraId="064F137F">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2</w:t>
            </w:r>
          </w:p>
        </w:tc>
      </w:tr>
      <w:tr w14:paraId="36C6C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4" w:type="pct"/>
            <w:noWrap w:val="0"/>
            <w:vAlign w:val="center"/>
          </w:tcPr>
          <w:p w14:paraId="410B502B">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DN400活塞阀</w:t>
            </w:r>
          </w:p>
        </w:tc>
        <w:tc>
          <w:tcPr>
            <w:tcW w:w="359" w:type="pct"/>
            <w:noWrap w:val="0"/>
            <w:vAlign w:val="center"/>
          </w:tcPr>
          <w:p w14:paraId="60CE5380">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嵊州</w:t>
            </w:r>
          </w:p>
        </w:tc>
        <w:tc>
          <w:tcPr>
            <w:tcW w:w="385" w:type="pct"/>
            <w:noWrap w:val="0"/>
            <w:vAlign w:val="center"/>
          </w:tcPr>
          <w:p w14:paraId="6DD85AD8">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1</w:t>
            </w:r>
          </w:p>
        </w:tc>
        <w:tc>
          <w:tcPr>
            <w:tcW w:w="483" w:type="pct"/>
            <w:noWrap w:val="0"/>
            <w:vAlign w:val="center"/>
          </w:tcPr>
          <w:p w14:paraId="0CF94006">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2</w:t>
            </w:r>
          </w:p>
        </w:tc>
        <w:tc>
          <w:tcPr>
            <w:tcW w:w="525" w:type="pct"/>
            <w:noWrap w:val="0"/>
            <w:vAlign w:val="center"/>
          </w:tcPr>
          <w:p w14:paraId="32AD361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518" w:type="pct"/>
            <w:noWrap w:val="0"/>
            <w:vAlign w:val="center"/>
          </w:tcPr>
          <w:p w14:paraId="3698D55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1</w:t>
            </w:r>
          </w:p>
        </w:tc>
        <w:tc>
          <w:tcPr>
            <w:tcW w:w="488" w:type="pct"/>
            <w:noWrap w:val="0"/>
            <w:vAlign w:val="center"/>
          </w:tcPr>
          <w:p w14:paraId="7DC7875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740" w:type="pct"/>
            <w:noWrap w:val="0"/>
            <w:vAlign w:val="center"/>
          </w:tcPr>
          <w:p w14:paraId="7B0A1E9E">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0</w:t>
            </w:r>
          </w:p>
        </w:tc>
        <w:tc>
          <w:tcPr>
            <w:tcW w:w="584" w:type="pct"/>
            <w:noWrap w:val="0"/>
            <w:vAlign w:val="center"/>
          </w:tcPr>
          <w:p w14:paraId="2BBB61F9">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Cs w:val="21"/>
                <w:highlight w:val="none"/>
              </w:rPr>
            </w:pPr>
            <w:r>
              <w:rPr>
                <w:rFonts w:hint="eastAsia" w:ascii="宋体" w:hAnsi="宋体"/>
                <w:color w:val="auto"/>
                <w:szCs w:val="21"/>
                <w:highlight w:val="none"/>
              </w:rPr>
              <w:t>2</w:t>
            </w:r>
          </w:p>
        </w:tc>
      </w:tr>
    </w:tbl>
    <w:p w14:paraId="5551505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
          <w:color w:val="auto"/>
          <w:szCs w:val="21"/>
          <w:highlight w:val="none"/>
        </w:rPr>
      </w:pPr>
      <w:r>
        <w:rPr>
          <w:rFonts w:hint="eastAsia" w:ascii="宋体" w:hAnsi="宋体" w:eastAsia="宋体"/>
          <w:b/>
          <w:color w:val="auto"/>
          <w:szCs w:val="21"/>
          <w:highlight w:val="none"/>
          <w:lang w:eastAsia="zh-CN"/>
        </w:rPr>
        <w:t>（</w:t>
      </w:r>
      <w:r>
        <w:rPr>
          <w:rFonts w:hint="eastAsia" w:ascii="宋体" w:hAnsi="宋体" w:eastAsia="宋体"/>
          <w:b/>
          <w:color w:val="auto"/>
          <w:szCs w:val="21"/>
          <w:highlight w:val="none"/>
          <w:lang w:val="en-US" w:eastAsia="zh-CN"/>
        </w:rPr>
        <w:t>三</w:t>
      </w:r>
      <w:r>
        <w:rPr>
          <w:rFonts w:hint="eastAsia" w:ascii="宋体" w:hAnsi="宋体" w:eastAsia="宋体"/>
          <w:b/>
          <w:color w:val="auto"/>
          <w:szCs w:val="21"/>
          <w:highlight w:val="none"/>
          <w:lang w:eastAsia="zh-CN"/>
        </w:rPr>
        <w:t>）</w:t>
      </w:r>
      <w:r>
        <w:rPr>
          <w:rFonts w:hint="eastAsia" w:ascii="宋体" w:hAnsi="宋体"/>
          <w:b/>
          <w:color w:val="auto"/>
          <w:szCs w:val="21"/>
          <w:highlight w:val="none"/>
        </w:rPr>
        <w:t>技术要求</w:t>
      </w:r>
    </w:p>
    <w:p w14:paraId="6A5A32F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w:t>
      </w:r>
      <w:r>
        <w:rPr>
          <w:rFonts w:hint="eastAsia" w:ascii="宋体" w:hAnsi="宋体"/>
          <w:bCs/>
          <w:color w:val="auto"/>
          <w:sz w:val="24"/>
          <w:szCs w:val="24"/>
          <w:highlight w:val="none"/>
        </w:rPr>
        <w:t>.1本系统由传感器、电缆、数据采集单元、服务器及相关网络设备、中控室用电脑等组成。</w:t>
      </w:r>
    </w:p>
    <w:p w14:paraId="4503152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w:t>
      </w:r>
      <w:r>
        <w:rPr>
          <w:rFonts w:ascii="宋体" w:hAnsi="宋体"/>
          <w:bCs/>
          <w:color w:val="auto"/>
          <w:sz w:val="24"/>
          <w:szCs w:val="24"/>
          <w:highlight w:val="none"/>
        </w:rPr>
        <w:t>.2</w:t>
      </w:r>
      <w:r>
        <w:rPr>
          <w:rFonts w:hint="eastAsia" w:ascii="宋体" w:hAnsi="宋体"/>
          <w:bCs/>
          <w:color w:val="auto"/>
          <w:sz w:val="24"/>
          <w:szCs w:val="24"/>
          <w:highlight w:val="none"/>
        </w:rPr>
        <w:t>系统采用分层分布式结构，由上位机层和现地工作层组成。其中上位机层包括状态数据服务器、网络设备等。现地层设备包括机组现地在线监测数据采集单元、各种传感器、通讯接口、附件等，该层的所有设备均安装于现地数据采集站内。各种传感器与数据采集单元连接的电缆由本系统集成商提供。</w:t>
      </w:r>
    </w:p>
    <w:p w14:paraId="0B778FA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w:t>
      </w:r>
      <w:r>
        <w:rPr>
          <w:rFonts w:ascii="宋体" w:hAnsi="宋体"/>
          <w:bCs/>
          <w:color w:val="auto"/>
          <w:sz w:val="24"/>
          <w:szCs w:val="24"/>
          <w:highlight w:val="none"/>
        </w:rPr>
        <w:t>.3</w:t>
      </w:r>
      <w:r>
        <w:rPr>
          <w:rFonts w:hint="eastAsia" w:ascii="宋体" w:hAnsi="宋体"/>
          <w:bCs/>
          <w:color w:val="auto"/>
          <w:sz w:val="24"/>
          <w:szCs w:val="24"/>
          <w:highlight w:val="none"/>
        </w:rPr>
        <w:t>阀室现地层设一个独立的数据采集站，数据采集站设备集中组屏在1面</w:t>
      </w:r>
      <w:r>
        <w:rPr>
          <w:rFonts w:ascii="宋体" w:hAnsi="宋体"/>
          <w:color w:val="auto"/>
          <w:sz w:val="24"/>
          <w:szCs w:val="24"/>
          <w:highlight w:val="none"/>
        </w:rPr>
        <w:t>800</w:t>
      </w:r>
      <w:r>
        <w:rPr>
          <w:rFonts w:hint="eastAsia" w:ascii="宋体" w:hAnsi="宋体"/>
          <w:color w:val="auto"/>
          <w:sz w:val="24"/>
          <w:szCs w:val="24"/>
          <w:highlight w:val="none"/>
        </w:rPr>
        <w:t>×</w:t>
      </w:r>
      <w:r>
        <w:rPr>
          <w:rFonts w:ascii="宋体" w:hAnsi="宋体"/>
          <w:color w:val="auto"/>
          <w:sz w:val="24"/>
          <w:szCs w:val="24"/>
          <w:highlight w:val="none"/>
        </w:rPr>
        <w:t>600</w:t>
      </w:r>
      <w:r>
        <w:rPr>
          <w:rFonts w:hint="eastAsia" w:ascii="宋体" w:hAnsi="宋体"/>
          <w:color w:val="auto"/>
          <w:sz w:val="24"/>
          <w:szCs w:val="24"/>
          <w:highlight w:val="none"/>
        </w:rPr>
        <w:t>×</w:t>
      </w:r>
      <w:r>
        <w:rPr>
          <w:rFonts w:ascii="宋体" w:hAnsi="宋体"/>
          <w:color w:val="auto"/>
          <w:sz w:val="24"/>
          <w:szCs w:val="24"/>
          <w:highlight w:val="none"/>
        </w:rPr>
        <w:t>3</w:t>
      </w:r>
      <w:r>
        <w:rPr>
          <w:rFonts w:hint="eastAsia" w:ascii="宋体" w:hAnsi="宋体"/>
          <w:color w:val="auto"/>
          <w:sz w:val="24"/>
          <w:szCs w:val="24"/>
          <w:highlight w:val="none"/>
        </w:rPr>
        <w:t>00</w:t>
      </w:r>
      <w:r>
        <w:rPr>
          <w:rFonts w:ascii="宋体" w:hAnsi="宋体"/>
          <w:color w:val="auto"/>
          <w:sz w:val="24"/>
          <w:szCs w:val="24"/>
          <w:highlight w:val="none"/>
        </w:rPr>
        <w:t>mm</w:t>
      </w:r>
      <w:r>
        <w:rPr>
          <w:rFonts w:hint="eastAsia" w:ascii="宋体" w:hAnsi="宋体"/>
          <w:bCs/>
          <w:color w:val="auto"/>
          <w:sz w:val="24"/>
          <w:szCs w:val="24"/>
          <w:highlight w:val="none"/>
        </w:rPr>
        <w:t>标准机柜内，机柜位于每个设备旁。</w:t>
      </w:r>
      <w:r>
        <w:rPr>
          <w:rFonts w:hint="eastAsia" w:ascii="宋体" w:hAnsi="宋体"/>
          <w:color w:val="auto"/>
          <w:sz w:val="24"/>
          <w:szCs w:val="24"/>
          <w:highlight w:val="none"/>
        </w:rPr>
        <w:t>机柜防护等级IP56，柜体采用不锈钢304焊接，柜门采用双门结构。柜体为壁挂式结构，柜底开孔出线，配防水密封接头。机柜内安装防潮加热器和散热风扇，可控制温度湿度，确保空气循环流畅，过热时不会损害设备。</w:t>
      </w:r>
    </w:p>
    <w:p w14:paraId="4081B702">
      <w:pPr>
        <w:keepNext w:val="0"/>
        <w:keepLines w:val="0"/>
        <w:pageBreakBefore w:val="0"/>
        <w:widowControl/>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w:t>
      </w:r>
      <w:r>
        <w:rPr>
          <w:rFonts w:ascii="宋体" w:hAnsi="宋体"/>
          <w:bCs/>
          <w:color w:val="auto"/>
          <w:sz w:val="24"/>
          <w:szCs w:val="24"/>
          <w:highlight w:val="none"/>
        </w:rPr>
        <w:t>.4</w:t>
      </w:r>
      <w:r>
        <w:rPr>
          <w:rFonts w:hint="eastAsia" w:ascii="宋体" w:hAnsi="宋体"/>
          <w:bCs/>
          <w:color w:val="auto"/>
          <w:sz w:val="24"/>
          <w:szCs w:val="24"/>
          <w:highlight w:val="none"/>
        </w:rPr>
        <w:t>服务器用于存储、分析、管理从各数据采集箱和其他监测系统传送过来的阀门实时状态数据、历史状态数据及各种特征数据，进行数据分析及故障诊断。服务器还具有与中控计算机监控系统进行通讯的软件及硬件接口，实现与计算机监控系统和其他系统的数据交换。</w:t>
      </w:r>
    </w:p>
    <w:p w14:paraId="7219287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3.5</w:t>
      </w:r>
      <w:r>
        <w:rPr>
          <w:rFonts w:ascii="宋体" w:hAnsi="宋体"/>
          <w:bCs/>
          <w:color w:val="auto"/>
          <w:sz w:val="24"/>
          <w:szCs w:val="24"/>
          <w:highlight w:val="none"/>
        </w:rPr>
        <w:t>本系统配置的所有传感器必须为原装进口产品，其中振动传感器选择的频率应符合阀门水力振动特性，选择相应频率段的传感器</w:t>
      </w:r>
      <w:r>
        <w:rPr>
          <w:rFonts w:hint="eastAsia" w:ascii="宋体" w:hAnsi="宋体"/>
          <w:bCs/>
          <w:color w:val="auto"/>
          <w:sz w:val="24"/>
          <w:szCs w:val="24"/>
          <w:highlight w:val="none"/>
        </w:rPr>
        <w:t>。噪音传感器的测量量程应从25～130dBA。</w:t>
      </w:r>
    </w:p>
    <w:p w14:paraId="2183D0E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3.6</w:t>
      </w:r>
      <w:r>
        <w:rPr>
          <w:rFonts w:ascii="宋体" w:hAnsi="宋体"/>
          <w:bCs/>
          <w:color w:val="auto"/>
          <w:sz w:val="24"/>
          <w:szCs w:val="24"/>
          <w:highlight w:val="none"/>
        </w:rPr>
        <w:t>本系统提供一套工控电脑系统，含不小于</w:t>
      </w:r>
      <w:r>
        <w:rPr>
          <w:rFonts w:hint="eastAsia" w:ascii="宋体" w:hAnsi="宋体"/>
          <w:bCs/>
          <w:color w:val="auto"/>
          <w:sz w:val="24"/>
          <w:szCs w:val="24"/>
          <w:highlight w:val="none"/>
        </w:rPr>
        <w:t>22寸的</w:t>
      </w:r>
      <w:r>
        <w:rPr>
          <w:rFonts w:ascii="宋体" w:hAnsi="宋体"/>
          <w:bCs/>
          <w:color w:val="auto"/>
          <w:sz w:val="24"/>
          <w:szCs w:val="24"/>
          <w:highlight w:val="none"/>
        </w:rPr>
        <w:t>大屏幕液晶显示器。该系统布置于工程的中控室内</w:t>
      </w:r>
      <w:r>
        <w:rPr>
          <w:rFonts w:hint="eastAsia" w:ascii="宋体" w:hAnsi="宋体"/>
          <w:bCs/>
          <w:color w:val="auto"/>
          <w:sz w:val="24"/>
          <w:szCs w:val="24"/>
          <w:highlight w:val="none"/>
        </w:rPr>
        <w:t>。</w:t>
      </w:r>
    </w:p>
    <w:p w14:paraId="043A6BA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3.7</w:t>
      </w:r>
      <w:r>
        <w:rPr>
          <w:rFonts w:ascii="宋体" w:hAnsi="宋体"/>
          <w:bCs/>
          <w:color w:val="auto"/>
          <w:sz w:val="24"/>
          <w:szCs w:val="24"/>
          <w:highlight w:val="none"/>
        </w:rPr>
        <w:t>状态数据服务器的配置要求：</w:t>
      </w:r>
      <w:r>
        <w:rPr>
          <w:rFonts w:hint="eastAsia" w:ascii="宋体" w:hAnsi="宋体"/>
          <w:bCs/>
          <w:color w:val="auto"/>
          <w:sz w:val="24"/>
          <w:szCs w:val="24"/>
          <w:highlight w:val="none"/>
        </w:rPr>
        <w:t>必须配置四核及以上规格的处理器，硬盘大于等于20T，内存大于等于32G。</w:t>
      </w:r>
    </w:p>
    <w:p w14:paraId="1C5C461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3.8</w:t>
      </w:r>
      <w:r>
        <w:rPr>
          <w:rFonts w:hint="eastAsia" w:ascii="宋体" w:hAnsi="宋体"/>
          <w:bCs/>
          <w:color w:val="auto"/>
          <w:sz w:val="24"/>
          <w:szCs w:val="24"/>
          <w:highlight w:val="none"/>
        </w:rPr>
        <w:t>本系统</w:t>
      </w:r>
      <w:r>
        <w:rPr>
          <w:rFonts w:hint="eastAsia" w:ascii="宋体" w:hAnsi="宋体" w:eastAsia="宋体"/>
          <w:bCs/>
          <w:color w:val="auto"/>
          <w:sz w:val="24"/>
          <w:szCs w:val="24"/>
          <w:highlight w:val="none"/>
          <w:lang w:val="en-US" w:eastAsia="zh-CN"/>
        </w:rPr>
        <w:t>硬件</w:t>
      </w:r>
      <w:r>
        <w:rPr>
          <w:rFonts w:hint="eastAsia" w:ascii="宋体" w:hAnsi="宋体"/>
          <w:bCs/>
          <w:color w:val="auto"/>
          <w:sz w:val="24"/>
          <w:szCs w:val="24"/>
          <w:highlight w:val="none"/>
        </w:rPr>
        <w:t>由机电安装单位负责安装，</w:t>
      </w:r>
      <w:r>
        <w:rPr>
          <w:rFonts w:hint="eastAsia" w:ascii="宋体" w:hAnsi="宋体" w:eastAsia="宋体"/>
          <w:bCs/>
          <w:color w:val="auto"/>
          <w:sz w:val="24"/>
          <w:szCs w:val="24"/>
          <w:highlight w:val="none"/>
          <w:lang w:val="en-US" w:eastAsia="zh-CN"/>
        </w:rPr>
        <w:t>本标段买方</w:t>
      </w:r>
      <w:r>
        <w:rPr>
          <w:rFonts w:hint="eastAsia" w:ascii="宋体" w:hAnsi="宋体"/>
          <w:bCs/>
          <w:color w:val="auto"/>
          <w:sz w:val="24"/>
          <w:szCs w:val="24"/>
          <w:highlight w:val="none"/>
        </w:rPr>
        <w:t>负责指导安装和调试。</w:t>
      </w:r>
    </w:p>
    <w:p w14:paraId="3FC6A18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3.9</w:t>
      </w:r>
      <w:r>
        <w:rPr>
          <w:rFonts w:hint="eastAsia" w:ascii="宋体" w:hAnsi="宋体"/>
          <w:bCs/>
          <w:color w:val="auto"/>
          <w:sz w:val="24"/>
          <w:szCs w:val="24"/>
          <w:highlight w:val="none"/>
        </w:rPr>
        <w:t>投标人应对可靠性及保修承诺，经投标人指导并参与的安装调试完成后，在质保期内本系统若出现由于供方设计制造引起的质量故障，承包商应在24小时内赶到现场，无偿进行维修，并且所有的费用供方自理。</w:t>
      </w:r>
    </w:p>
    <w:p w14:paraId="0F4B929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Cs/>
          <w:color w:val="auto"/>
          <w:sz w:val="24"/>
          <w:szCs w:val="24"/>
          <w:highlight w:val="none"/>
        </w:rPr>
      </w:pPr>
      <w:r>
        <w:rPr>
          <w:rFonts w:hint="eastAsia" w:ascii="宋体" w:hAnsi="宋体" w:eastAsia="宋体"/>
          <w:bCs/>
          <w:color w:val="auto"/>
          <w:sz w:val="24"/>
          <w:szCs w:val="24"/>
          <w:highlight w:val="none"/>
          <w:lang w:val="en-US" w:eastAsia="zh-CN"/>
        </w:rPr>
        <w:t>3.10</w:t>
      </w:r>
      <w:r>
        <w:rPr>
          <w:rFonts w:hint="eastAsia" w:ascii="宋体" w:hAnsi="宋体"/>
          <w:color w:val="auto"/>
          <w:sz w:val="24"/>
          <w:szCs w:val="24"/>
          <w:highlight w:val="none"/>
        </w:rPr>
        <w:t>供货时，投标人必须提供以下资料：</w:t>
      </w:r>
      <w:r>
        <w:rPr>
          <w:rFonts w:hint="eastAsia" w:ascii="宋体" w:hAnsi="宋体"/>
          <w:bCs/>
          <w:color w:val="auto"/>
          <w:sz w:val="24"/>
          <w:szCs w:val="24"/>
          <w:highlight w:val="none"/>
        </w:rPr>
        <w:t>出厂检验报告，合格证，说明书以及齐全的附件。</w:t>
      </w:r>
    </w:p>
    <w:p w14:paraId="02819B9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b/>
          <w:color w:val="auto"/>
          <w:sz w:val="24"/>
          <w:szCs w:val="24"/>
          <w:highlight w:val="none"/>
        </w:rPr>
      </w:pPr>
      <w:r>
        <w:rPr>
          <w:rFonts w:hint="eastAsia" w:ascii="宋体" w:hAnsi="宋体" w:eastAsia="宋体"/>
          <w:bCs/>
          <w:color w:val="auto"/>
          <w:sz w:val="24"/>
          <w:szCs w:val="24"/>
          <w:highlight w:val="none"/>
          <w:lang w:val="en-US" w:eastAsia="zh-CN"/>
        </w:rPr>
        <w:t>3.11</w:t>
      </w:r>
      <w:r>
        <w:rPr>
          <w:rFonts w:hint="eastAsia" w:ascii="宋体" w:hAnsi="宋体"/>
          <w:bCs/>
          <w:color w:val="auto"/>
          <w:sz w:val="24"/>
          <w:szCs w:val="24"/>
          <w:highlight w:val="none"/>
        </w:rPr>
        <w:t>质保期为通过试运行后的24个月。</w:t>
      </w:r>
    </w:p>
    <w:p w14:paraId="348BE295">
      <w:pPr>
        <w:pStyle w:val="41"/>
        <w:numPr>
          <w:ilvl w:val="0"/>
          <w:numId w:val="0"/>
        </w:numPr>
        <w:kinsoku/>
        <w:topLinePunct/>
        <w:spacing w:line="360" w:lineRule="auto"/>
        <w:jc w:val="left"/>
        <w:outlineLvl w:val="1"/>
        <w:rPr>
          <w:rFonts w:hint="default" w:ascii="宋体" w:hAnsi="宋体" w:eastAsia="宋体" w:cs="宋体"/>
          <w:b/>
          <w:bCs/>
          <w:snapToGrid/>
          <w:color w:val="auto"/>
          <w:spacing w:val="0"/>
          <w:sz w:val="24"/>
          <w:szCs w:val="24"/>
          <w:highlight w:val="none"/>
          <w:lang w:val="en-US" w:eastAsia="zh-CN" w:bidi="en-US"/>
        </w:rPr>
      </w:pPr>
      <w:bookmarkStart w:id="1212" w:name="_Toc8966"/>
      <w:bookmarkStart w:id="1213" w:name="_Toc29292"/>
      <w:bookmarkStart w:id="1214" w:name="_Toc16310"/>
      <w:bookmarkStart w:id="1215" w:name="_Toc19167"/>
      <w:bookmarkStart w:id="1216" w:name="_Toc30293"/>
      <w:bookmarkStart w:id="1217" w:name="_Toc15708"/>
      <w:bookmarkStart w:id="1218" w:name="_Toc11946"/>
      <w:r>
        <w:rPr>
          <w:rFonts w:hint="eastAsia" w:ascii="宋体" w:hAnsi="宋体" w:eastAsia="宋体" w:cs="宋体"/>
          <w:b/>
          <w:bCs/>
          <w:snapToGrid/>
          <w:color w:val="auto"/>
          <w:spacing w:val="0"/>
          <w:sz w:val="24"/>
          <w:szCs w:val="24"/>
          <w:highlight w:val="none"/>
          <w:lang w:val="en-US" w:eastAsia="zh-CN" w:bidi="en-US"/>
        </w:rPr>
        <w:t>十五、水锤仿真系统</w:t>
      </w:r>
      <w:bookmarkEnd w:id="1212"/>
      <w:r>
        <w:rPr>
          <w:rFonts w:hint="eastAsia" w:ascii="宋体" w:hAnsi="宋体" w:eastAsia="宋体" w:cs="宋体"/>
          <w:b/>
          <w:bCs/>
          <w:snapToGrid/>
          <w:color w:val="auto"/>
          <w:spacing w:val="0"/>
          <w:sz w:val="24"/>
          <w:szCs w:val="24"/>
          <w:highlight w:val="none"/>
          <w:lang w:val="en-US" w:eastAsia="zh-CN" w:bidi="en-US"/>
        </w:rPr>
        <w:t>硬件</w:t>
      </w:r>
      <w:bookmarkEnd w:id="1213"/>
      <w:bookmarkEnd w:id="1214"/>
      <w:bookmarkEnd w:id="1215"/>
      <w:bookmarkEnd w:id="1216"/>
      <w:bookmarkEnd w:id="1217"/>
      <w:bookmarkEnd w:id="1218"/>
    </w:p>
    <w:p w14:paraId="1F24544C">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lang w:eastAsia="zh-CN"/>
        </w:rPr>
        <w:t>水锤仿真系统实现的功能</w:t>
      </w:r>
    </w:p>
    <w:p w14:paraId="30AD6D1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ascii="宋体" w:hAnsi="宋体"/>
          <w:color w:val="auto"/>
          <w:sz w:val="24"/>
          <w:szCs w:val="24"/>
          <w:highlight w:val="none"/>
        </w:rPr>
        <w:t>1）具有实时监测功能，通过在引水系统上设置压力传感器和流量计，对引水系统进行实时监测，采集不同位置的压力值、流量值以及机组的发电量、导叶开度、阀门开度等物理量。并根据实时监测的数据，自动计算引水系统真实的糙率，并生成真实的设备运行曲线。</w:t>
      </w:r>
    </w:p>
    <w:p w14:paraId="22999C3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ascii="宋体" w:hAnsi="宋体"/>
          <w:color w:val="auto"/>
          <w:sz w:val="24"/>
          <w:szCs w:val="24"/>
          <w:highlight w:val="none"/>
        </w:rPr>
        <w:t>2）具有自动优化数学物理模型的能力，将测定的真实的管道糙率和设备运行曲线自动导入水锤计算软件中，对水锤模型进行优化，使其与实际情况相吻合。</w:t>
      </w:r>
    </w:p>
    <w:p w14:paraId="625C431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ascii="宋体" w:hAnsi="宋体"/>
          <w:color w:val="auto"/>
          <w:sz w:val="24"/>
          <w:szCs w:val="24"/>
          <w:highlight w:val="none"/>
        </w:rPr>
        <w:t>3）具有人机交互能力，运行人员可以输入拟执行的调度流量或机组发电量。系统也可以输出计算结果或者调度建议。</w:t>
      </w:r>
    </w:p>
    <w:p w14:paraId="6F282AF0">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ascii="宋体" w:hAnsi="宋体"/>
          <w:color w:val="auto"/>
          <w:sz w:val="24"/>
          <w:szCs w:val="24"/>
          <w:highlight w:val="none"/>
        </w:rPr>
        <w:t>4）具有大波动调节保证计算能力，通过对人工输入的调度要求开展大波动调节保证计算，判断该调度发生后，可能会产生的最大水锤压力和位置。</w:t>
      </w:r>
    </w:p>
    <w:p w14:paraId="6C5EC64C">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ascii="宋体" w:hAnsi="宋体"/>
          <w:color w:val="auto"/>
          <w:sz w:val="24"/>
          <w:szCs w:val="24"/>
          <w:highlight w:val="none"/>
        </w:rPr>
        <w:t>5）具有小波动调节保证计算能力，通过对拟执行的调度工况开展小波动计算，判断该调度执行后，是否会因小波动无法收敛，导致机组负荷不能稳定，或者稳定的时间过长。</w:t>
      </w:r>
    </w:p>
    <w:p w14:paraId="0A61749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ascii="宋体" w:hAnsi="宋体"/>
          <w:color w:val="auto"/>
          <w:sz w:val="24"/>
          <w:szCs w:val="24"/>
          <w:highlight w:val="none"/>
        </w:rPr>
        <w:t>6）对不同工况下，本工程分水口的固定锥阀的开、关阀速率进行计算，避免因阀门开关速率不合适导致对水轮机组造成影响。</w:t>
      </w:r>
      <w:r>
        <w:rPr>
          <w:rFonts w:hint="eastAsia" w:ascii="宋体" w:hAnsi="宋体"/>
          <w:color w:val="auto"/>
          <w:sz w:val="24"/>
          <w:szCs w:val="24"/>
          <w:highlight w:val="none"/>
        </w:rPr>
        <w:t xml:space="preserve"> </w:t>
      </w:r>
    </w:p>
    <w:p w14:paraId="3D77C90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（二）本标段</w:t>
      </w:r>
      <w:r>
        <w:rPr>
          <w:rFonts w:hint="eastAsia" w:ascii="宋体" w:hAnsi="宋体" w:eastAsia="宋体" w:cs="宋体"/>
          <w:b/>
          <w:color w:val="auto"/>
          <w:sz w:val="24"/>
          <w:szCs w:val="24"/>
          <w:highlight w:val="none"/>
          <w:lang w:eastAsia="zh-CN"/>
        </w:rPr>
        <w:t>水锤仿真系统</w:t>
      </w:r>
      <w:r>
        <w:rPr>
          <w:rFonts w:hint="eastAsia" w:ascii="宋体" w:hAnsi="宋体" w:eastAsia="宋体" w:cs="宋体"/>
          <w:b/>
          <w:color w:val="auto"/>
          <w:sz w:val="24"/>
          <w:szCs w:val="24"/>
          <w:highlight w:val="none"/>
          <w:lang w:val="en-US" w:eastAsia="zh-CN"/>
        </w:rPr>
        <w:t>硬件</w:t>
      </w:r>
      <w:r>
        <w:rPr>
          <w:rFonts w:hint="eastAsia" w:ascii="宋体" w:hAnsi="宋体" w:eastAsia="宋体" w:cs="宋体"/>
          <w:b/>
          <w:color w:val="auto"/>
          <w:sz w:val="24"/>
          <w:szCs w:val="24"/>
          <w:highlight w:val="none"/>
          <w:lang w:eastAsia="zh-CN"/>
        </w:rPr>
        <w:t>供货范围</w:t>
      </w:r>
    </w:p>
    <w:p w14:paraId="67B7F8D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2.1 水锤仿真系统为本工程输水工程的精准调度及安全调度保障决策系统，系统的供货范围需要包含：沿线高频压力传感器、RTU信号传输单元、太阳能蓄能装置、服务器、主机以及实现</w:t>
      </w:r>
      <w:r>
        <w:rPr>
          <w:rFonts w:hint="eastAsia" w:ascii="宋体" w:hAnsi="宋体" w:eastAsia="宋体"/>
          <w:color w:val="auto"/>
          <w:sz w:val="24"/>
          <w:szCs w:val="24"/>
          <w:highlight w:val="none"/>
          <w:lang w:val="en-US" w:eastAsia="zh-CN"/>
        </w:rPr>
        <w:t>上述</w:t>
      </w:r>
      <w:r>
        <w:rPr>
          <w:rFonts w:hint="eastAsia" w:ascii="宋体" w:hAnsi="宋体"/>
          <w:color w:val="auto"/>
          <w:sz w:val="24"/>
          <w:szCs w:val="24"/>
          <w:highlight w:val="none"/>
        </w:rPr>
        <w:t>功能所需要的</w:t>
      </w:r>
      <w:r>
        <w:rPr>
          <w:rFonts w:hint="eastAsia" w:ascii="宋体" w:hAnsi="宋体" w:eastAsia="宋体"/>
          <w:color w:val="auto"/>
          <w:sz w:val="24"/>
          <w:szCs w:val="24"/>
          <w:highlight w:val="none"/>
          <w:lang w:val="en-US" w:eastAsia="zh-CN"/>
        </w:rPr>
        <w:t>所有</w:t>
      </w:r>
      <w:r>
        <w:rPr>
          <w:rFonts w:hint="eastAsia" w:ascii="宋体" w:hAnsi="宋体"/>
          <w:color w:val="auto"/>
          <w:sz w:val="24"/>
          <w:szCs w:val="24"/>
          <w:highlight w:val="none"/>
        </w:rPr>
        <w:t>硬件。</w:t>
      </w:r>
      <w:r>
        <w:rPr>
          <w:rFonts w:hint="eastAsia" w:ascii="宋体" w:hAnsi="宋体" w:eastAsia="宋体"/>
          <w:color w:val="auto"/>
          <w:sz w:val="24"/>
          <w:szCs w:val="24"/>
          <w:highlight w:val="none"/>
          <w:lang w:val="en-US" w:eastAsia="zh-CN"/>
        </w:rPr>
        <w:t>本标段卖方只负责提供实现上述功能的所有硬件，软件由买方另行采购。服务器安装场在中标后的设计联络会上确定。</w:t>
      </w:r>
    </w:p>
    <w:p w14:paraId="5FA77A38">
      <w:pPr>
        <w:keepNext w:val="0"/>
        <w:keepLines w:val="0"/>
        <w:pageBreakBefore w:val="0"/>
        <w:widowControl w:val="0"/>
        <w:kinsoku/>
        <w:wordWrap/>
        <w:overflowPunct/>
        <w:topLinePunct/>
        <w:autoSpaceDE/>
        <w:autoSpaceDN/>
        <w:bidi w:val="0"/>
        <w:adjustRightInd w:val="0"/>
        <w:snapToGrid w:val="0"/>
        <w:spacing w:line="360" w:lineRule="auto"/>
        <w:ind w:firstLine="0" w:firstLineChars="0"/>
        <w:jc w:val="both"/>
        <w:textAlignment w:val="baseline"/>
        <w:rPr>
          <w:rFonts w:hint="eastAsia" w:ascii="宋体" w:hAnsi="宋体" w:eastAsia="宋体" w:cs="宋体"/>
          <w:snapToGrid/>
          <w:color w:val="auto"/>
          <w:kern w:val="2"/>
          <w:sz w:val="24"/>
          <w:szCs w:val="24"/>
          <w:highlight w:val="none"/>
          <w:lang w:val="en-US" w:eastAsia="zh-CN"/>
        </w:rPr>
      </w:pPr>
      <w:r>
        <w:rPr>
          <w:rFonts w:hint="eastAsia" w:ascii="宋体" w:hAnsi="宋体" w:eastAsia="宋体"/>
          <w:color w:val="auto"/>
          <w:sz w:val="24"/>
          <w:szCs w:val="24"/>
          <w:highlight w:val="none"/>
          <w:lang w:val="en-US" w:eastAsia="zh-CN"/>
        </w:rPr>
        <w:t>2.2</w:t>
      </w:r>
      <w:r>
        <w:rPr>
          <w:rFonts w:hint="eastAsia" w:ascii="宋体" w:hAnsi="宋体" w:eastAsia="宋体" w:cs="宋体"/>
          <w:snapToGrid/>
          <w:color w:val="auto"/>
          <w:kern w:val="2"/>
          <w:sz w:val="24"/>
          <w:szCs w:val="24"/>
          <w:highlight w:val="none"/>
        </w:rPr>
        <w:t xml:space="preserve"> 水锤仿真系统</w:t>
      </w:r>
      <w:r>
        <w:rPr>
          <w:rFonts w:hint="eastAsia" w:ascii="宋体" w:hAnsi="宋体" w:eastAsia="宋体" w:cs="宋体"/>
          <w:snapToGrid/>
          <w:color w:val="auto"/>
          <w:kern w:val="2"/>
          <w:sz w:val="24"/>
          <w:szCs w:val="24"/>
          <w:highlight w:val="none"/>
          <w:lang w:val="en-US" w:eastAsia="zh-CN"/>
        </w:rPr>
        <w:t>所有硬件</w:t>
      </w:r>
      <w:r>
        <w:rPr>
          <w:rFonts w:hint="eastAsia" w:ascii="宋体" w:hAnsi="宋体" w:eastAsia="宋体" w:cs="宋体"/>
          <w:snapToGrid/>
          <w:color w:val="auto"/>
          <w:kern w:val="2"/>
          <w:sz w:val="24"/>
          <w:szCs w:val="24"/>
          <w:highlight w:val="none"/>
        </w:rPr>
        <w:t>由</w:t>
      </w:r>
      <w:r>
        <w:rPr>
          <w:rFonts w:hint="eastAsia" w:ascii="宋体" w:hAnsi="宋体" w:eastAsia="宋体" w:cs="宋体"/>
          <w:snapToGrid/>
          <w:color w:val="auto"/>
          <w:kern w:val="2"/>
          <w:sz w:val="24"/>
          <w:szCs w:val="24"/>
          <w:highlight w:val="none"/>
          <w:lang w:val="en-US" w:eastAsia="zh-CN"/>
        </w:rPr>
        <w:t>本标段卖方</w:t>
      </w:r>
      <w:r>
        <w:rPr>
          <w:rFonts w:hint="eastAsia" w:ascii="宋体" w:hAnsi="宋体" w:eastAsia="宋体" w:cs="宋体"/>
          <w:snapToGrid/>
          <w:color w:val="auto"/>
          <w:kern w:val="2"/>
          <w:sz w:val="24"/>
          <w:szCs w:val="24"/>
          <w:highlight w:val="none"/>
        </w:rPr>
        <w:t>提供</w:t>
      </w:r>
      <w:r>
        <w:rPr>
          <w:rFonts w:hint="eastAsia" w:ascii="宋体" w:hAnsi="宋体" w:eastAsia="宋体" w:cs="宋体"/>
          <w:snapToGrid/>
          <w:color w:val="auto"/>
          <w:kern w:val="2"/>
          <w:sz w:val="24"/>
          <w:szCs w:val="24"/>
          <w:highlight w:val="none"/>
          <w:lang w:eastAsia="zh-CN"/>
        </w:rPr>
        <w:t>，</w:t>
      </w:r>
      <w:r>
        <w:rPr>
          <w:rFonts w:hint="eastAsia" w:ascii="宋体" w:hAnsi="宋体" w:eastAsia="宋体" w:cs="宋体"/>
          <w:snapToGrid/>
          <w:color w:val="auto"/>
          <w:kern w:val="2"/>
          <w:sz w:val="24"/>
          <w:szCs w:val="24"/>
          <w:highlight w:val="none"/>
          <w:lang w:val="en-US" w:eastAsia="zh-CN"/>
        </w:rPr>
        <w:t>本标段不需要提供水锤仿真系统所需的软件，软件由买方另行采购，本标段卖方</w:t>
      </w:r>
      <w:r>
        <w:rPr>
          <w:rFonts w:hint="eastAsia" w:ascii="宋体" w:hAnsi="宋体" w:eastAsia="宋体" w:cs="宋体"/>
          <w:snapToGrid/>
          <w:color w:val="auto"/>
          <w:kern w:val="2"/>
          <w:sz w:val="24"/>
          <w:szCs w:val="24"/>
          <w:highlight w:val="none"/>
          <w:lang w:eastAsia="zh-CN"/>
        </w:rPr>
        <w:t>应配合后期系统软件承包商的相关工作，卖方应确保硬件、软件运行良好，相关</w:t>
      </w:r>
      <w:r>
        <w:rPr>
          <w:rFonts w:hint="eastAsia" w:ascii="宋体" w:hAnsi="宋体" w:eastAsia="宋体" w:cs="宋体"/>
          <w:snapToGrid/>
          <w:color w:val="auto"/>
          <w:kern w:val="2"/>
          <w:sz w:val="24"/>
          <w:szCs w:val="24"/>
          <w:highlight w:val="none"/>
          <w:lang w:val="en-US" w:eastAsia="zh-CN"/>
        </w:rPr>
        <w:t>配合</w:t>
      </w:r>
      <w:r>
        <w:rPr>
          <w:rFonts w:hint="eastAsia" w:ascii="宋体" w:hAnsi="宋体" w:eastAsia="宋体" w:cs="宋体"/>
          <w:snapToGrid/>
          <w:color w:val="auto"/>
          <w:kern w:val="2"/>
          <w:sz w:val="24"/>
          <w:szCs w:val="24"/>
          <w:highlight w:val="none"/>
          <w:lang w:eastAsia="zh-CN"/>
        </w:rPr>
        <w:t>费用（不含软件）包含在本标段相应项目报价中</w:t>
      </w:r>
      <w:r>
        <w:rPr>
          <w:rFonts w:hint="eastAsia" w:ascii="宋体" w:hAnsi="宋体" w:eastAsia="宋体" w:cs="宋体"/>
          <w:snapToGrid/>
          <w:color w:val="auto"/>
          <w:kern w:val="2"/>
          <w:sz w:val="24"/>
          <w:szCs w:val="24"/>
          <w:highlight w:val="none"/>
        </w:rPr>
        <w:t>。</w:t>
      </w:r>
    </w:p>
    <w:p w14:paraId="0F1F3DF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 xml:space="preserve"> 系统承包单位需要全程</w:t>
      </w:r>
      <w:r>
        <w:rPr>
          <w:rFonts w:hint="eastAsia" w:ascii="宋体" w:hAnsi="宋体" w:eastAsia="宋体"/>
          <w:color w:val="auto"/>
          <w:sz w:val="24"/>
          <w:szCs w:val="24"/>
          <w:highlight w:val="none"/>
          <w:lang w:val="en-US" w:eastAsia="zh-CN"/>
        </w:rPr>
        <w:t>参与</w:t>
      </w:r>
      <w:r>
        <w:rPr>
          <w:rFonts w:hint="eastAsia" w:ascii="宋体" w:hAnsi="宋体"/>
          <w:color w:val="auto"/>
          <w:sz w:val="24"/>
          <w:szCs w:val="24"/>
          <w:highlight w:val="none"/>
        </w:rPr>
        <w:t>该系统的调试和优化工作以及指导施工单位进行系统的硬件的安装。</w:t>
      </w:r>
    </w:p>
    <w:p w14:paraId="2A65941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val="en-US" w:eastAsia="zh-CN"/>
        </w:rPr>
        <w:t>4</w:t>
      </w:r>
      <w:r>
        <w:rPr>
          <w:rFonts w:hint="eastAsia" w:ascii="宋体" w:hAnsi="宋体"/>
          <w:color w:val="auto"/>
          <w:sz w:val="24"/>
          <w:szCs w:val="24"/>
          <w:highlight w:val="none"/>
        </w:rPr>
        <w:t xml:space="preserve"> 本系统硬件</w:t>
      </w:r>
      <w:r>
        <w:rPr>
          <w:rFonts w:hint="eastAsia" w:ascii="宋体" w:hAnsi="宋体" w:eastAsia="宋体"/>
          <w:color w:val="auto"/>
          <w:sz w:val="24"/>
          <w:szCs w:val="24"/>
          <w:highlight w:val="none"/>
          <w:lang w:val="en-US" w:eastAsia="zh-CN"/>
        </w:rPr>
        <w:t>主要设备</w:t>
      </w:r>
      <w:r>
        <w:rPr>
          <w:rFonts w:hint="eastAsia" w:ascii="宋体" w:hAnsi="宋体"/>
          <w:color w:val="auto"/>
          <w:sz w:val="24"/>
          <w:szCs w:val="24"/>
          <w:highlight w:val="none"/>
        </w:rPr>
        <w:t>供货清单如下表所示，本表中未包含但是组成本系统必须的其他硬件也需包含在本系统中</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如RTU、服务器、电缆、网线等包含在本标段供货范围内</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，且投标价格不做调整。</w:t>
      </w:r>
    </w:p>
    <w:tbl>
      <w:tblPr>
        <w:tblStyle w:val="2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57" w:type="dxa"/>
          <w:bottom w:w="0" w:type="dxa"/>
          <w:right w:w="57" w:type="dxa"/>
        </w:tblCellMar>
      </w:tblPr>
      <w:tblGrid>
        <w:gridCol w:w="748"/>
        <w:gridCol w:w="2603"/>
        <w:gridCol w:w="4025"/>
        <w:gridCol w:w="802"/>
        <w:gridCol w:w="805"/>
      </w:tblGrid>
      <w:tr w14:paraId="1BA56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7" w:hRule="atLeast"/>
          <w:jc w:val="center"/>
        </w:trPr>
        <w:tc>
          <w:tcPr>
            <w:tcW w:w="416" w:type="pct"/>
            <w:noWrap w:val="0"/>
            <w:vAlign w:val="center"/>
          </w:tcPr>
          <w:p w14:paraId="25F1F00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序号</w:t>
            </w:r>
          </w:p>
        </w:tc>
        <w:tc>
          <w:tcPr>
            <w:tcW w:w="1448" w:type="pct"/>
            <w:noWrap w:val="0"/>
            <w:vAlign w:val="center"/>
          </w:tcPr>
          <w:p w14:paraId="29E4655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名称</w:t>
            </w:r>
          </w:p>
        </w:tc>
        <w:tc>
          <w:tcPr>
            <w:tcW w:w="2239" w:type="pct"/>
            <w:noWrap w:val="0"/>
            <w:vAlign w:val="center"/>
          </w:tcPr>
          <w:p w14:paraId="640539F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规格</w:t>
            </w:r>
          </w:p>
        </w:tc>
        <w:tc>
          <w:tcPr>
            <w:tcW w:w="446" w:type="pct"/>
            <w:noWrap w:val="0"/>
            <w:vAlign w:val="center"/>
          </w:tcPr>
          <w:p w14:paraId="78081107">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 w:val="21"/>
                <w:szCs w:val="21"/>
                <w:highlight w:val="none"/>
              </w:rPr>
            </w:pPr>
            <w:r>
              <w:rPr>
                <w:rFonts w:ascii="宋体" w:hAnsi="宋体"/>
                <w:color w:val="auto"/>
                <w:sz w:val="21"/>
                <w:szCs w:val="21"/>
                <w:highlight w:val="none"/>
              </w:rPr>
              <w:t>单位</w:t>
            </w:r>
          </w:p>
        </w:tc>
        <w:tc>
          <w:tcPr>
            <w:tcW w:w="448" w:type="pct"/>
            <w:noWrap w:val="0"/>
            <w:vAlign w:val="center"/>
          </w:tcPr>
          <w:p w14:paraId="7BA9E99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数量</w:t>
            </w:r>
          </w:p>
        </w:tc>
      </w:tr>
      <w:tr w14:paraId="5584D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7" w:hRule="atLeast"/>
          <w:jc w:val="center"/>
        </w:trPr>
        <w:tc>
          <w:tcPr>
            <w:tcW w:w="416" w:type="pct"/>
            <w:noWrap w:val="0"/>
            <w:vAlign w:val="center"/>
          </w:tcPr>
          <w:p w14:paraId="508E357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1</w:t>
            </w:r>
          </w:p>
        </w:tc>
        <w:tc>
          <w:tcPr>
            <w:tcW w:w="1448" w:type="pct"/>
            <w:noWrap w:val="0"/>
            <w:vAlign w:val="center"/>
          </w:tcPr>
          <w:p w14:paraId="2A4E7F3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高频压力传感器</w:t>
            </w:r>
          </w:p>
        </w:tc>
        <w:tc>
          <w:tcPr>
            <w:tcW w:w="2239" w:type="pct"/>
            <w:noWrap w:val="0"/>
            <w:vAlign w:val="center"/>
          </w:tcPr>
          <w:p w14:paraId="68AD516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每秒采样不低于256次，1.6MPa</w:t>
            </w:r>
          </w:p>
        </w:tc>
        <w:tc>
          <w:tcPr>
            <w:tcW w:w="446" w:type="pct"/>
            <w:noWrap w:val="0"/>
            <w:vAlign w:val="center"/>
          </w:tcPr>
          <w:p w14:paraId="6DE89723">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 w:val="21"/>
                <w:szCs w:val="21"/>
                <w:highlight w:val="none"/>
              </w:rPr>
            </w:pPr>
            <w:r>
              <w:rPr>
                <w:rFonts w:ascii="宋体" w:hAnsi="宋体"/>
                <w:color w:val="auto"/>
                <w:sz w:val="21"/>
                <w:szCs w:val="21"/>
                <w:highlight w:val="none"/>
              </w:rPr>
              <w:t>只</w:t>
            </w:r>
          </w:p>
        </w:tc>
        <w:tc>
          <w:tcPr>
            <w:tcW w:w="448" w:type="pct"/>
            <w:noWrap w:val="0"/>
            <w:vAlign w:val="center"/>
          </w:tcPr>
          <w:p w14:paraId="6F3FC2F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36</w:t>
            </w:r>
          </w:p>
        </w:tc>
      </w:tr>
      <w:tr w14:paraId="45ACF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7" w:hRule="atLeast"/>
          <w:jc w:val="center"/>
        </w:trPr>
        <w:tc>
          <w:tcPr>
            <w:tcW w:w="416" w:type="pct"/>
            <w:noWrap w:val="0"/>
            <w:vAlign w:val="center"/>
          </w:tcPr>
          <w:p w14:paraId="7205771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2</w:t>
            </w:r>
          </w:p>
        </w:tc>
        <w:tc>
          <w:tcPr>
            <w:tcW w:w="1448" w:type="pct"/>
            <w:noWrap w:val="0"/>
            <w:vAlign w:val="center"/>
          </w:tcPr>
          <w:p w14:paraId="73CCB204">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太阳能蓄能装置</w:t>
            </w:r>
          </w:p>
        </w:tc>
        <w:tc>
          <w:tcPr>
            <w:tcW w:w="2239" w:type="pct"/>
            <w:noWrap w:val="0"/>
            <w:vAlign w:val="center"/>
          </w:tcPr>
          <w:p w14:paraId="318570F4">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满足压力传感器及RTU的日常用电需求</w:t>
            </w:r>
          </w:p>
        </w:tc>
        <w:tc>
          <w:tcPr>
            <w:tcW w:w="446" w:type="pct"/>
            <w:noWrap w:val="0"/>
            <w:vAlign w:val="center"/>
          </w:tcPr>
          <w:p w14:paraId="1129A1C4">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 w:val="21"/>
                <w:szCs w:val="21"/>
                <w:highlight w:val="none"/>
              </w:rPr>
            </w:pPr>
            <w:r>
              <w:rPr>
                <w:rFonts w:ascii="宋体" w:hAnsi="宋体"/>
                <w:color w:val="auto"/>
                <w:sz w:val="21"/>
                <w:szCs w:val="21"/>
                <w:highlight w:val="none"/>
              </w:rPr>
              <w:t>套</w:t>
            </w:r>
          </w:p>
        </w:tc>
        <w:tc>
          <w:tcPr>
            <w:tcW w:w="448" w:type="pct"/>
            <w:noWrap w:val="0"/>
            <w:vAlign w:val="center"/>
          </w:tcPr>
          <w:p w14:paraId="6B30189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5</w:t>
            </w:r>
          </w:p>
        </w:tc>
      </w:tr>
      <w:tr w14:paraId="0C21C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7" w:hRule="atLeast"/>
          <w:jc w:val="center"/>
        </w:trPr>
        <w:tc>
          <w:tcPr>
            <w:tcW w:w="416" w:type="pct"/>
            <w:noWrap w:val="0"/>
            <w:vAlign w:val="center"/>
          </w:tcPr>
          <w:p w14:paraId="768B436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hint="eastAsia" w:ascii="宋体" w:hAnsi="宋体"/>
                <w:color w:val="auto"/>
                <w:sz w:val="21"/>
                <w:szCs w:val="21"/>
                <w:highlight w:val="none"/>
              </w:rPr>
              <w:t>3</w:t>
            </w:r>
          </w:p>
        </w:tc>
        <w:tc>
          <w:tcPr>
            <w:tcW w:w="1448" w:type="pct"/>
            <w:noWrap w:val="0"/>
            <w:vAlign w:val="center"/>
          </w:tcPr>
          <w:p w14:paraId="6CCE464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hint="eastAsia" w:ascii="宋体" w:hAnsi="宋体"/>
                <w:color w:val="auto"/>
                <w:sz w:val="21"/>
                <w:szCs w:val="21"/>
                <w:highlight w:val="none"/>
              </w:rPr>
              <w:t>水位计</w:t>
            </w:r>
          </w:p>
        </w:tc>
        <w:tc>
          <w:tcPr>
            <w:tcW w:w="2239" w:type="pct"/>
            <w:noWrap w:val="0"/>
            <w:vAlign w:val="center"/>
          </w:tcPr>
          <w:p w14:paraId="45DB777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hint="eastAsia" w:ascii="宋体" w:hAnsi="宋体"/>
                <w:color w:val="auto"/>
                <w:sz w:val="21"/>
                <w:szCs w:val="21"/>
                <w:highlight w:val="none"/>
              </w:rPr>
              <w:t>调压井、支洞水位监测</w:t>
            </w:r>
          </w:p>
        </w:tc>
        <w:tc>
          <w:tcPr>
            <w:tcW w:w="446" w:type="pct"/>
            <w:noWrap w:val="0"/>
            <w:vAlign w:val="center"/>
          </w:tcPr>
          <w:p w14:paraId="2C1076B2">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 w:val="21"/>
                <w:szCs w:val="21"/>
                <w:highlight w:val="none"/>
              </w:rPr>
            </w:pPr>
            <w:r>
              <w:rPr>
                <w:rFonts w:hint="eastAsia" w:ascii="宋体" w:hAnsi="宋体"/>
                <w:color w:val="auto"/>
                <w:sz w:val="21"/>
                <w:szCs w:val="21"/>
                <w:highlight w:val="none"/>
              </w:rPr>
              <w:t>只</w:t>
            </w:r>
          </w:p>
        </w:tc>
        <w:tc>
          <w:tcPr>
            <w:tcW w:w="448" w:type="pct"/>
            <w:noWrap w:val="0"/>
            <w:vAlign w:val="center"/>
          </w:tcPr>
          <w:p w14:paraId="4901BF4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hint="eastAsia" w:ascii="宋体" w:hAnsi="宋体"/>
                <w:color w:val="auto"/>
                <w:sz w:val="21"/>
                <w:szCs w:val="21"/>
                <w:highlight w:val="none"/>
              </w:rPr>
              <w:t>4</w:t>
            </w:r>
          </w:p>
        </w:tc>
      </w:tr>
      <w:tr w14:paraId="7B18D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27" w:hRule="atLeast"/>
          <w:jc w:val="center"/>
        </w:trPr>
        <w:tc>
          <w:tcPr>
            <w:tcW w:w="416" w:type="pct"/>
            <w:noWrap w:val="0"/>
            <w:vAlign w:val="center"/>
          </w:tcPr>
          <w:p w14:paraId="65190D0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hint="eastAsia" w:ascii="宋体" w:hAnsi="宋体"/>
                <w:color w:val="auto"/>
                <w:sz w:val="21"/>
                <w:szCs w:val="21"/>
                <w:highlight w:val="none"/>
              </w:rPr>
              <w:t>4</w:t>
            </w:r>
          </w:p>
        </w:tc>
        <w:tc>
          <w:tcPr>
            <w:tcW w:w="1448" w:type="pct"/>
            <w:noWrap w:val="0"/>
            <w:vAlign w:val="center"/>
          </w:tcPr>
          <w:p w14:paraId="2F0F80F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远程数据传输单元</w:t>
            </w:r>
          </w:p>
        </w:tc>
        <w:tc>
          <w:tcPr>
            <w:tcW w:w="2239" w:type="pct"/>
            <w:noWrap w:val="0"/>
            <w:vAlign w:val="center"/>
          </w:tcPr>
          <w:p w14:paraId="7321E5A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p>
        </w:tc>
        <w:tc>
          <w:tcPr>
            <w:tcW w:w="446" w:type="pct"/>
            <w:noWrap w:val="0"/>
            <w:vAlign w:val="center"/>
          </w:tcPr>
          <w:p w14:paraId="18F9943A">
            <w:pPr>
              <w:keepNext w:val="0"/>
              <w:keepLines w:val="0"/>
              <w:pageBreakBefore w:val="0"/>
              <w:kinsoku/>
              <w:wordWrap/>
              <w:overflowPunct/>
              <w:topLinePunct/>
              <w:bidi w:val="0"/>
              <w:adjustRightInd w:val="0"/>
              <w:snapToGrid w:val="0"/>
              <w:spacing w:line="360" w:lineRule="auto"/>
              <w:ind w:firstLine="0" w:firstLineChars="0"/>
              <w:jc w:val="center"/>
              <w:textAlignment w:val="baseline"/>
              <w:rPr>
                <w:rFonts w:hint="eastAsia" w:ascii="宋体" w:hAnsi="宋体"/>
                <w:color w:val="auto"/>
                <w:sz w:val="21"/>
                <w:szCs w:val="21"/>
                <w:highlight w:val="none"/>
              </w:rPr>
            </w:pPr>
            <w:r>
              <w:rPr>
                <w:rFonts w:ascii="宋体" w:hAnsi="宋体"/>
                <w:color w:val="auto"/>
                <w:sz w:val="21"/>
                <w:szCs w:val="21"/>
                <w:highlight w:val="none"/>
              </w:rPr>
              <w:t>套</w:t>
            </w:r>
          </w:p>
        </w:tc>
        <w:tc>
          <w:tcPr>
            <w:tcW w:w="448" w:type="pct"/>
            <w:noWrap w:val="0"/>
            <w:vAlign w:val="center"/>
          </w:tcPr>
          <w:p w14:paraId="0B6A08B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1"/>
                <w:szCs w:val="21"/>
                <w:highlight w:val="none"/>
              </w:rPr>
            </w:pPr>
            <w:r>
              <w:rPr>
                <w:rFonts w:ascii="宋体" w:hAnsi="宋体"/>
                <w:color w:val="auto"/>
                <w:sz w:val="21"/>
                <w:szCs w:val="21"/>
                <w:highlight w:val="none"/>
              </w:rPr>
              <w:t>12</w:t>
            </w:r>
          </w:p>
        </w:tc>
      </w:tr>
    </w:tbl>
    <w:p w14:paraId="442784D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lang w:eastAsia="zh-CN"/>
        </w:rPr>
        <w:t>硬件参数</w:t>
      </w:r>
    </w:p>
    <w:p w14:paraId="08D9792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.1 高频压力传感器</w:t>
      </w:r>
    </w:p>
    <w:p w14:paraId="24B9709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工作温度：-30℃～70℃；</w:t>
      </w:r>
    </w:p>
    <w:p w14:paraId="6BAC693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压力监测采集频率≥300Hz，以满足分析需求；</w:t>
      </w:r>
    </w:p>
    <w:p w14:paraId="0257CC5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量程：-0.1-1.6Mpa（以实际节点压力为准），同时需满足-2m的监测要求；</w:t>
      </w:r>
    </w:p>
    <w:p w14:paraId="13F4378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精度：0.2%FS；</w:t>
      </w:r>
    </w:p>
    <w:p w14:paraId="1AD8615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响应时间：≤2ms；</w:t>
      </w:r>
    </w:p>
    <w:p w14:paraId="650E603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6</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输出信号：4～20mA；</w:t>
      </w:r>
    </w:p>
    <w:p w14:paraId="6144FDD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形式：接触测量，整体式结构；</w:t>
      </w:r>
    </w:p>
    <w:p w14:paraId="5BAAC17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8</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稳定性；十二个月 0.1%；</w:t>
      </w:r>
    </w:p>
    <w:p w14:paraId="2F7D690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9</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防护等级：IP68，包括传感器电缆接头</w:t>
      </w:r>
    </w:p>
    <w:p w14:paraId="1030748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10</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供电电压：24V DC（9</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36V DC）。</w:t>
      </w:r>
    </w:p>
    <w:p w14:paraId="3155952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.2 太阳能蓄能装置</w:t>
      </w:r>
    </w:p>
    <w:p w14:paraId="147264D8">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（1）太阳能技术参数：</w:t>
      </w:r>
    </w:p>
    <w:p w14:paraId="656E6E7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电池片类型尺寸：单晶硅；</w:t>
      </w:r>
    </w:p>
    <w:p w14:paraId="643538A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额定输出功率：80w*2；</w:t>
      </w:r>
    </w:p>
    <w:p w14:paraId="093981E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理想工作环境：-30℃~85℃；</w:t>
      </w:r>
    </w:p>
    <w:p w14:paraId="48173D0A">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表面最大荷载：5400Pa；</w:t>
      </w:r>
    </w:p>
    <w:p w14:paraId="59A1193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寿命：25年以上；</w:t>
      </w:r>
    </w:p>
    <w:p w14:paraId="170246A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6</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材料：抗衰老EVA+TPT+阳极氧化铝合金框架。</w:t>
      </w:r>
    </w:p>
    <w:p w14:paraId="40BCEB9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（2）蓄电池技术参数：</w:t>
      </w:r>
    </w:p>
    <w:p w14:paraId="64B75A5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类型：锂电池/铅酸电池；</w:t>
      </w:r>
    </w:p>
    <w:p w14:paraId="5AC02550">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容量：100AH；</w:t>
      </w:r>
    </w:p>
    <w:p w14:paraId="7D7D53F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工作电压：24VDC；</w:t>
      </w:r>
    </w:p>
    <w:p w14:paraId="58C36667">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工作温度范围：-20℃~60℃。</w:t>
      </w:r>
    </w:p>
    <w:p w14:paraId="27CF5BDC">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w:t>
      </w: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）立杆技术参数：</w:t>
      </w:r>
    </w:p>
    <w:p w14:paraId="28F2364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材料</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镀锌钢管，喷塑；</w:t>
      </w:r>
    </w:p>
    <w:p w14:paraId="09C6122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表面处理：热镀+热喷塑；</w:t>
      </w:r>
    </w:p>
    <w:p w14:paraId="144BBC7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高度：4m；</w:t>
      </w:r>
    </w:p>
    <w:p w14:paraId="0C06B23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厚度：3mm；</w:t>
      </w:r>
    </w:p>
    <w:p w14:paraId="1A2DEE1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焊接：符合GB/t13912-92标准，没有裂纹，漏焊，咬边，焊接光滑平整，没有凹凸的波动或任何焊接缺陷，设计寿命30年以上。</w:t>
      </w:r>
    </w:p>
    <w:p w14:paraId="7FD986D6">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.3 远程数据传输装置</w:t>
      </w:r>
    </w:p>
    <w:p w14:paraId="345DF87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1</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工作电压：12/24V DC，支持市电接入；</w:t>
      </w:r>
    </w:p>
    <w:p w14:paraId="48EA8E2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2</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通讯网络：4G，具有RS485、RS232等通讯接口，支持TCP/IP协议采集数据上传；</w:t>
      </w:r>
    </w:p>
    <w:p w14:paraId="44D5F62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3</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变频数据通道，采样频率：50</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500Hz；</w:t>
      </w:r>
    </w:p>
    <w:p w14:paraId="3319D5C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4</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工作温度：-30℃-70℃；</w:t>
      </w:r>
    </w:p>
    <w:p w14:paraId="585CB95E">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5</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时钟精度：≤2ms；</w:t>
      </w:r>
    </w:p>
    <w:p w14:paraId="35F119F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6</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数据上传时间可调整，支持断点续传，自动连接中控上传；</w:t>
      </w:r>
    </w:p>
    <w:p w14:paraId="49EFE5B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7</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大容量数据存储空间，16G内存；</w:t>
      </w:r>
    </w:p>
    <w:p w14:paraId="2F113DA5">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8)4模拟量信号、4开关量信号、2PWM脉冲信号输入，支持3数字量信号输出。</w:t>
      </w:r>
    </w:p>
    <w:p w14:paraId="68E7E0EF">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3</w:t>
      </w:r>
      <w:r>
        <w:rPr>
          <w:rFonts w:hint="eastAsia" w:ascii="宋体" w:hAnsi="宋体"/>
          <w:color w:val="auto"/>
          <w:sz w:val="24"/>
          <w:szCs w:val="24"/>
          <w:highlight w:val="none"/>
        </w:rPr>
        <w:t>.4 数据服务器</w:t>
      </w:r>
    </w:p>
    <w:p w14:paraId="3A535832">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CPU:10核2.4GHz及以上；</w:t>
      </w:r>
    </w:p>
    <w:p w14:paraId="18FF65ED">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内存容量：≥32GB</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可扩展；</w:t>
      </w:r>
    </w:p>
    <w:p w14:paraId="2A29DC7B">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硬盘容量：≥4×2TB以上，采用磁盘阵列管理；</w:t>
      </w:r>
    </w:p>
    <w:p w14:paraId="1A94B4C9">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网络：至少2个以太网端口，按照组网方式配置；</w:t>
      </w:r>
    </w:p>
    <w:p w14:paraId="08E6C5A1">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接口：至少1个串口、1个USB端口和1个时钟同步接口；</w:t>
      </w:r>
    </w:p>
    <w:p w14:paraId="075B0523">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操作系统：采用加固后的国产安全操作系统</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Linux内核</w:t>
      </w:r>
      <w:r>
        <w:rPr>
          <w:rFonts w:hint="eastAsia" w:ascii="宋体" w:hAnsi="宋体" w:eastAsia="宋体"/>
          <w:color w:val="auto"/>
          <w:sz w:val="24"/>
          <w:szCs w:val="24"/>
          <w:highlight w:val="none"/>
          <w:lang w:eastAsia="zh-CN"/>
        </w:rPr>
        <w:t>）</w:t>
      </w:r>
      <w:r>
        <w:rPr>
          <w:rFonts w:hint="eastAsia" w:ascii="宋体" w:hAnsi="宋体"/>
          <w:color w:val="auto"/>
          <w:sz w:val="24"/>
          <w:szCs w:val="24"/>
          <w:highlight w:val="none"/>
        </w:rPr>
        <w:t>;</w:t>
      </w:r>
    </w:p>
    <w:p w14:paraId="12560E5C">
      <w:pPr>
        <w:keepNext w:val="0"/>
        <w:keepLines w:val="0"/>
        <w:pageBreakBefore w:val="0"/>
        <w:kinsoku/>
        <w:wordWrap/>
        <w:overflowPunct/>
        <w:topLinePunct/>
        <w:bidi w:val="0"/>
        <w:adjustRightInd w:val="0"/>
        <w:snapToGrid w:val="0"/>
        <w:spacing w:line="360" w:lineRule="auto"/>
        <w:ind w:firstLine="0" w:firstLineChars="0"/>
        <w:jc w:val="left"/>
        <w:textAlignment w:val="baseline"/>
        <w:rPr>
          <w:rFonts w:hint="eastAsia" w:ascii="宋体" w:hAnsi="宋体"/>
          <w:color w:val="auto"/>
          <w:sz w:val="24"/>
          <w:szCs w:val="24"/>
          <w:highlight w:val="none"/>
        </w:rPr>
      </w:pPr>
      <w:r>
        <w:rPr>
          <w:rFonts w:hint="eastAsia" w:ascii="宋体" w:hAnsi="宋体"/>
          <w:color w:val="auto"/>
          <w:sz w:val="24"/>
          <w:szCs w:val="24"/>
          <w:highlight w:val="none"/>
        </w:rPr>
        <w:t>电源：硬件支持掉电保护，承受电压扰动和电源恢复后的自动重新启动；液晶显示：17寸及以上，具有抗电磁干扰能力。</w:t>
      </w:r>
    </w:p>
    <w:p w14:paraId="0195BCAD">
      <w:pPr>
        <w:keepNext w:val="0"/>
        <w:keepLines w:val="0"/>
        <w:pageBreakBefore w:val="0"/>
        <w:widowControl/>
        <w:kinsoku/>
        <w:wordWrap/>
        <w:overflowPunct/>
        <w:topLinePunct/>
        <w:autoSpaceDE/>
        <w:autoSpaceDN/>
        <w:bidi w:val="0"/>
        <w:adjustRightInd/>
        <w:snapToGrid/>
        <w:spacing w:after="0" w:afterLines="120" w:line="360" w:lineRule="auto"/>
        <w:jc w:val="both"/>
        <w:textAlignment w:val="auto"/>
        <w:outlineLvl w:val="9"/>
        <w:rPr>
          <w:rFonts w:hint="eastAsia" w:ascii="宋体" w:hAnsi="宋体" w:eastAsia="宋体" w:cs="宋体"/>
          <w:snapToGrid/>
          <w:color w:val="auto"/>
          <w:kern w:val="2"/>
          <w:sz w:val="24"/>
          <w:szCs w:val="24"/>
          <w:highlight w:val="none"/>
        </w:rPr>
      </w:pPr>
    </w:p>
    <w:p w14:paraId="247D5467">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hint="eastAsia" w:ascii="宋体" w:hAnsi="宋体" w:eastAsia="宋体" w:cs="宋体"/>
          <w:b/>
          <w:bCs/>
          <w:color w:val="auto"/>
          <w:sz w:val="36"/>
          <w:szCs w:val="36"/>
          <w:highlight w:val="none"/>
        </w:rPr>
        <w:sectPr>
          <w:pgSz w:w="11907" w:h="16840"/>
          <w:pgMar w:top="1418" w:right="1559" w:bottom="1418" w:left="1474" w:header="0" w:footer="723" w:gutter="0"/>
          <w:pgNumType w:fmt="decimal"/>
          <w:cols w:space="720" w:num="1"/>
        </w:sectPr>
      </w:pPr>
      <w:bookmarkStart w:id="1219" w:name="_Toc14374"/>
      <w:bookmarkStart w:id="1220" w:name="_Toc10623"/>
      <w:bookmarkStart w:id="1221" w:name="_Toc5415"/>
      <w:bookmarkStart w:id="1222" w:name="_Toc12515"/>
      <w:bookmarkStart w:id="1223" w:name="_Toc8793"/>
      <w:bookmarkStart w:id="1224" w:name="_Toc9347"/>
      <w:bookmarkStart w:id="1225" w:name="_Toc2915"/>
      <w:bookmarkStart w:id="1226" w:name="_Toc18887"/>
      <w:bookmarkStart w:id="1227" w:name="_Toc12251"/>
      <w:bookmarkStart w:id="1228" w:name="_Toc1941"/>
      <w:bookmarkStart w:id="1229" w:name="_Toc7707"/>
      <w:bookmarkStart w:id="1230" w:name="_Toc9167"/>
      <w:bookmarkStart w:id="1231" w:name="_Toc4733"/>
      <w:bookmarkStart w:id="1232" w:name="_Toc9745"/>
      <w:bookmarkStart w:id="1233" w:name="_Toc20147"/>
      <w:bookmarkStart w:id="1234" w:name="_Toc8228"/>
      <w:bookmarkStart w:id="1235" w:name="_Toc17875"/>
    </w:p>
    <w:p w14:paraId="1D3DE4EB">
      <w:pPr>
        <w:keepNext w:val="0"/>
        <w:keepLines w:val="0"/>
        <w:pageBreakBefore w:val="0"/>
        <w:widowControl/>
        <w:kinsoku/>
        <w:wordWrap/>
        <w:overflowPunct/>
        <w:topLinePunct/>
        <w:autoSpaceDE w:val="0"/>
        <w:autoSpaceDN w:val="0"/>
        <w:bidi w:val="0"/>
        <w:adjustRightInd w:val="0"/>
        <w:snapToGrid w:val="0"/>
        <w:spacing w:after="0" w:afterLines="120" w:line="240" w:lineRule="auto"/>
        <w:ind w:left="0"/>
        <w:jc w:val="center"/>
        <w:textAlignment w:val="baseline"/>
        <w:outlineLvl w:val="0"/>
        <w:rPr>
          <w:rFonts w:hint="eastAsia" w:ascii="宋体" w:hAnsi="宋体" w:eastAsia="宋体" w:cs="宋体"/>
          <w:b/>
          <w:bCs/>
          <w:color w:val="auto"/>
          <w:sz w:val="36"/>
          <w:szCs w:val="36"/>
          <w:highlight w:val="none"/>
        </w:rPr>
      </w:pPr>
      <w:bookmarkStart w:id="1236" w:name="_Toc28102"/>
      <w:bookmarkStart w:id="1237" w:name="_Toc694"/>
      <w:bookmarkStart w:id="1238" w:name="_Toc13987"/>
      <w:bookmarkStart w:id="1239" w:name="_Toc25242"/>
      <w:bookmarkStart w:id="1240" w:name="_Toc6702"/>
      <w:bookmarkStart w:id="1241" w:name="_Toc11246"/>
      <w:r>
        <w:rPr>
          <w:rFonts w:hint="eastAsia" w:ascii="宋体" w:hAnsi="宋体" w:eastAsia="宋体" w:cs="宋体"/>
          <w:b/>
          <w:bCs/>
          <w:color w:val="auto"/>
          <w:sz w:val="36"/>
          <w:szCs w:val="36"/>
          <w:highlight w:val="none"/>
        </w:rPr>
        <w:t>第</w:t>
      </w:r>
      <w:r>
        <w:rPr>
          <w:rFonts w:hint="eastAsia" w:ascii="宋体" w:hAnsi="宋体" w:eastAsia="宋体" w:cs="宋体"/>
          <w:b/>
          <w:bCs/>
          <w:color w:val="auto"/>
          <w:sz w:val="36"/>
          <w:szCs w:val="36"/>
          <w:highlight w:val="none"/>
          <w:lang w:val="en-US" w:eastAsia="zh-CN"/>
        </w:rPr>
        <w:t>七</w:t>
      </w:r>
      <w:r>
        <w:rPr>
          <w:rFonts w:hint="eastAsia" w:ascii="宋体" w:hAnsi="宋体" w:eastAsia="宋体" w:cs="宋体"/>
          <w:b/>
          <w:bCs/>
          <w:color w:val="auto"/>
          <w:sz w:val="36"/>
          <w:szCs w:val="36"/>
          <w:highlight w:val="none"/>
        </w:rPr>
        <w:t>章</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 投标文件格式</w:t>
      </w:r>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p>
    <w:p w14:paraId="31C53A51">
      <w:pPr>
        <w:keepNext w:val="0"/>
        <w:keepLines w:val="0"/>
        <w:pageBreakBefore w:val="0"/>
        <w:widowControl/>
        <w:kinsoku/>
        <w:wordWrap/>
        <w:overflowPunct/>
        <w:topLinePunct/>
        <w:autoSpaceDE w:val="0"/>
        <w:autoSpaceDN w:val="0"/>
        <w:bidi w:val="0"/>
        <w:adjustRightInd w:val="0"/>
        <w:snapToGrid w:val="0"/>
        <w:spacing w:line="360" w:lineRule="auto"/>
        <w:ind w:left="0"/>
        <w:jc w:val="center"/>
        <w:textAlignment w:val="baseline"/>
        <w:outlineLvl w:val="9"/>
        <w:rPr>
          <w:rFonts w:hint="eastAsia" w:ascii="宋体" w:hAnsi="宋体" w:eastAsia="宋体" w:cs="宋体"/>
          <w:color w:val="auto"/>
          <w:sz w:val="28"/>
          <w:szCs w:val="28"/>
          <w:highlight w:val="none"/>
        </w:rPr>
      </w:pPr>
      <w:bookmarkStart w:id="1242" w:name="_Toc10697"/>
      <w:bookmarkStart w:id="1243" w:name="_Toc18307"/>
      <w:bookmarkStart w:id="1244" w:name="_Toc21175"/>
      <w:bookmarkStart w:id="1245" w:name="_Toc2246"/>
      <w:bookmarkStart w:id="1246" w:name="_Toc12438"/>
      <w:bookmarkStart w:id="1247" w:name="_Toc25099"/>
      <w:bookmarkStart w:id="1248" w:name="_Toc16180"/>
      <w:bookmarkStart w:id="1249" w:name="_Toc28901"/>
      <w:bookmarkStart w:id="1250" w:name="_Toc5496"/>
      <w:bookmarkStart w:id="1251" w:name="_Toc14562"/>
      <w:bookmarkStart w:id="1252" w:name="_Toc13863"/>
      <w:bookmarkStart w:id="1253" w:name="_Toc13994"/>
      <w:bookmarkStart w:id="1254" w:name="_Toc31354"/>
      <w:bookmarkStart w:id="1255" w:name="_Toc23127"/>
      <w:bookmarkStart w:id="1256" w:name="_Toc27256"/>
      <w:bookmarkStart w:id="1257" w:name="_Toc20633"/>
      <w:bookmarkStart w:id="1258" w:name="_Toc21215"/>
      <w:r>
        <w:rPr>
          <w:rFonts w:hint="eastAsia" w:ascii="宋体" w:hAnsi="宋体" w:eastAsia="宋体" w:cs="宋体"/>
          <w:color w:val="auto"/>
          <w:sz w:val="28"/>
          <w:szCs w:val="28"/>
          <w:highlight w:val="none"/>
        </w:rPr>
        <w:t>目  录</w:t>
      </w:r>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p>
    <w:p w14:paraId="30CC4FF2">
      <w:pPr>
        <w:kinsoku/>
        <w:topLinePunct/>
        <w:spacing w:line="360" w:lineRule="auto"/>
        <w:ind w:left="-2" w:leftChars="-1" w:firstLine="283" w:firstLineChars="11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格式一</w:t>
      </w:r>
      <w:r>
        <w:rPr>
          <w:rFonts w:hint="eastAsia" w:ascii="宋体" w:hAnsi="宋体" w:eastAsia="宋体" w:cs="宋体"/>
          <w:color w:val="auto"/>
          <w:sz w:val="24"/>
          <w:szCs w:val="24"/>
          <w:highlight w:val="none"/>
          <w:lang w:eastAsia="zh-CN"/>
        </w:rPr>
        <w:t>）</w:t>
      </w:r>
    </w:p>
    <w:p w14:paraId="7F25A263">
      <w:pPr>
        <w:kinsoku/>
        <w:topLinePunct/>
        <w:spacing w:line="360" w:lineRule="auto"/>
        <w:ind w:left="-2" w:leftChars="-1" w:firstLine="283" w:firstLineChars="11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格式二</w:t>
      </w:r>
      <w:r>
        <w:rPr>
          <w:rFonts w:hint="eastAsia" w:ascii="宋体" w:hAnsi="宋体" w:eastAsia="宋体" w:cs="宋体"/>
          <w:color w:val="auto"/>
          <w:sz w:val="24"/>
          <w:szCs w:val="24"/>
          <w:highlight w:val="none"/>
          <w:lang w:eastAsia="zh-CN"/>
        </w:rPr>
        <w:t>）</w:t>
      </w:r>
    </w:p>
    <w:p w14:paraId="1446933D">
      <w:pPr>
        <w:kinsoku/>
        <w:topLinePunct/>
        <w:spacing w:line="360" w:lineRule="auto"/>
        <w:ind w:left="-2" w:leftChars="-1" w:firstLine="283" w:firstLineChars="11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格式三</w:t>
      </w:r>
      <w:r>
        <w:rPr>
          <w:rFonts w:hint="eastAsia" w:ascii="宋体" w:hAnsi="宋体" w:eastAsia="宋体" w:cs="宋体"/>
          <w:color w:val="auto"/>
          <w:sz w:val="24"/>
          <w:szCs w:val="24"/>
          <w:highlight w:val="none"/>
          <w:lang w:eastAsia="zh-CN"/>
        </w:rPr>
        <w:t>）</w:t>
      </w:r>
    </w:p>
    <w:p w14:paraId="754C8F1F">
      <w:pPr>
        <w:kinsoku/>
        <w:topLinePunct/>
        <w:spacing w:line="360" w:lineRule="auto"/>
        <w:ind w:left="-2" w:leftChars="-1" w:firstLine="283" w:firstLineChars="11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四、投标报价表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格式四</w:t>
      </w:r>
      <w:r>
        <w:rPr>
          <w:rFonts w:hint="eastAsia" w:ascii="宋体" w:hAnsi="宋体" w:eastAsia="宋体" w:cs="宋体"/>
          <w:color w:val="auto"/>
          <w:sz w:val="24"/>
          <w:szCs w:val="24"/>
          <w:highlight w:val="none"/>
          <w:lang w:eastAsia="zh-CN"/>
        </w:rPr>
        <w:t>）</w:t>
      </w:r>
    </w:p>
    <w:p w14:paraId="0CCB6AD4">
      <w:pPr>
        <w:kinsoku/>
        <w:topLinePunct/>
        <w:spacing w:line="360" w:lineRule="auto"/>
        <w:ind w:left="-2" w:leftChars="-1" w:firstLine="283" w:firstLineChars="11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五</w:t>
      </w:r>
      <w:r>
        <w:rPr>
          <w:rFonts w:hint="eastAsia" w:ascii="宋体" w:hAnsi="宋体" w:eastAsia="宋体" w:cs="宋体"/>
          <w:color w:val="auto"/>
          <w:sz w:val="24"/>
          <w:szCs w:val="24"/>
          <w:highlight w:val="none"/>
        </w:rPr>
        <w:t>、实质性响应招标文件及评审打分的资料及格式</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见格式五、格式六</w:t>
      </w:r>
      <w:r>
        <w:rPr>
          <w:rFonts w:hint="eastAsia" w:ascii="宋体" w:hAnsi="宋体" w:eastAsia="宋体" w:cs="宋体"/>
          <w:color w:val="auto"/>
          <w:sz w:val="24"/>
          <w:szCs w:val="24"/>
          <w:highlight w:val="none"/>
          <w:lang w:eastAsia="zh-CN"/>
        </w:rPr>
        <w:t>）</w:t>
      </w:r>
    </w:p>
    <w:p w14:paraId="064AFE04">
      <w:pPr>
        <w:kinsoku/>
        <w:topLinePunct/>
        <w:spacing w:line="360" w:lineRule="auto"/>
        <w:ind w:left="-2" w:leftChars="-1" w:firstLine="283" w:firstLineChars="11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六、技术方案（见格式七）</w:t>
      </w:r>
    </w:p>
    <w:p w14:paraId="3A0F5545">
      <w:pPr>
        <w:kinsoku/>
        <w:topLinePunct/>
        <w:spacing w:line="360" w:lineRule="auto"/>
        <w:ind w:left="-2" w:leftChars="-1" w:firstLine="283" w:firstLineChars="118"/>
        <w:jc w:val="both"/>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、投标人基本情况表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见格式</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lang w:eastAsia="zh-CN"/>
        </w:rPr>
        <w:t>）</w:t>
      </w:r>
    </w:p>
    <w:p w14:paraId="33641FD6">
      <w:pPr>
        <w:kinsoku/>
        <w:topLinePunct/>
        <w:spacing w:line="360" w:lineRule="auto"/>
        <w:ind w:left="-2" w:leftChars="-1" w:firstLine="283" w:firstLineChars="11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八、投入本项目的设备清单一览表（</w:t>
      </w:r>
      <w:r>
        <w:rPr>
          <w:rFonts w:hint="eastAsia" w:ascii="宋体" w:hAnsi="宋体" w:eastAsia="宋体" w:cs="宋体"/>
          <w:color w:val="auto"/>
          <w:sz w:val="24"/>
          <w:szCs w:val="24"/>
          <w:highlight w:val="none"/>
        </w:rPr>
        <w:t>见格式</w:t>
      </w:r>
      <w:r>
        <w:rPr>
          <w:rFonts w:hint="eastAsia" w:ascii="宋体" w:hAnsi="宋体" w:eastAsia="宋体" w:cs="宋体"/>
          <w:color w:val="auto"/>
          <w:sz w:val="24"/>
          <w:szCs w:val="24"/>
          <w:highlight w:val="none"/>
          <w:lang w:val="en-US" w:eastAsia="zh-CN"/>
        </w:rPr>
        <w:t>九）</w:t>
      </w:r>
    </w:p>
    <w:p w14:paraId="1491F0D9">
      <w:pPr>
        <w:kinsoku/>
        <w:topLinePunct/>
        <w:spacing w:line="360" w:lineRule="auto"/>
        <w:ind w:left="-2" w:leftChars="-1" w:firstLine="283" w:firstLineChars="11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九、</w:t>
      </w:r>
      <w:r>
        <w:rPr>
          <w:rFonts w:hint="eastAsia" w:ascii="宋体" w:hAnsi="宋体" w:eastAsia="宋体" w:cs="宋体"/>
          <w:color w:val="auto"/>
          <w:sz w:val="24"/>
          <w:szCs w:val="24"/>
          <w:highlight w:val="none"/>
          <w:lang w:val="en-US" w:eastAsia="zh-CN"/>
        </w:rPr>
        <w:t>近年类似业绩情况表（</w:t>
      </w:r>
      <w:r>
        <w:rPr>
          <w:rFonts w:hint="eastAsia" w:ascii="宋体" w:hAnsi="宋体" w:eastAsia="宋体" w:cs="宋体"/>
          <w:color w:val="auto"/>
          <w:sz w:val="24"/>
          <w:szCs w:val="24"/>
          <w:highlight w:val="none"/>
        </w:rPr>
        <w:t>见格式</w:t>
      </w:r>
      <w:r>
        <w:rPr>
          <w:rFonts w:hint="eastAsia" w:ascii="宋体" w:hAnsi="宋体" w:eastAsia="宋体" w:cs="宋体"/>
          <w:color w:val="auto"/>
          <w:sz w:val="24"/>
          <w:szCs w:val="24"/>
          <w:highlight w:val="none"/>
          <w:lang w:val="en-US" w:eastAsia="zh-CN"/>
        </w:rPr>
        <w:t>十）</w:t>
      </w:r>
    </w:p>
    <w:p w14:paraId="07BC26D5">
      <w:pPr>
        <w:kinsoku/>
        <w:topLinePunct/>
        <w:spacing w:line="360" w:lineRule="auto"/>
        <w:ind w:left="-2" w:leftChars="-1" w:firstLine="283" w:firstLineChars="118"/>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十、本项目主要设备及品牌选用一览表（见格式十一）</w:t>
      </w:r>
    </w:p>
    <w:p w14:paraId="4E42C04E">
      <w:pPr>
        <w:kinsoku/>
        <w:topLinePunct/>
        <w:spacing w:line="360" w:lineRule="auto"/>
        <w:ind w:left="-2" w:leftChars="-1" w:firstLine="283" w:firstLineChars="118"/>
        <w:jc w:val="both"/>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十一、制造商授权书（见格式十二）</w:t>
      </w:r>
    </w:p>
    <w:p w14:paraId="6146A937">
      <w:pPr>
        <w:kinsoku/>
        <w:topLinePunct/>
        <w:spacing w:line="360" w:lineRule="auto"/>
        <w:ind w:left="-2" w:leftChars="-1" w:firstLine="283" w:firstLineChars="118"/>
        <w:jc w:val="both"/>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val="en-US" w:eastAsia="zh-CN"/>
        </w:rPr>
        <w:t>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其他需要递交的资料（见格式十三）</w:t>
      </w:r>
    </w:p>
    <w:p w14:paraId="616D341F">
      <w:pPr>
        <w:kinsoku/>
        <w:topLinePunct/>
        <w:spacing w:line="360" w:lineRule="auto"/>
        <w:jc w:val="both"/>
        <w:rPr>
          <w:rFonts w:hint="eastAsia" w:ascii="宋体" w:hAnsi="宋体" w:eastAsia="宋体" w:cs="宋体"/>
          <w:color w:val="auto"/>
          <w:sz w:val="24"/>
          <w:szCs w:val="24"/>
          <w:highlight w:val="none"/>
        </w:rPr>
        <w:sectPr>
          <w:pgSz w:w="11907" w:h="16840"/>
          <w:pgMar w:top="1418" w:right="1559" w:bottom="1418" w:left="1474" w:header="0" w:footer="723" w:gutter="0"/>
          <w:pgNumType w:fmt="decimal"/>
          <w:cols w:space="720" w:num="1"/>
        </w:sectPr>
      </w:pPr>
    </w:p>
    <w:p w14:paraId="5FA7A0B3">
      <w:pPr>
        <w:spacing w:line="360" w:lineRule="auto"/>
        <w:outlineLvl w:val="1"/>
        <w:rPr>
          <w:rFonts w:hint="eastAsia" w:ascii="宋体" w:hAnsi="宋体" w:eastAsia="宋体" w:cs="宋体"/>
          <w:color w:val="auto"/>
          <w:sz w:val="24"/>
          <w:szCs w:val="24"/>
          <w:highlight w:val="none"/>
        </w:rPr>
      </w:pPr>
      <w:bookmarkStart w:id="1259" w:name="_bookmark15"/>
      <w:bookmarkEnd w:id="1259"/>
      <w:bookmarkStart w:id="1260" w:name="_Toc28379"/>
      <w:bookmarkStart w:id="1261" w:name="_Toc31159"/>
      <w:bookmarkStart w:id="1262" w:name="_Toc23509"/>
      <w:bookmarkStart w:id="1263" w:name="_Toc32065"/>
      <w:bookmarkStart w:id="1264" w:name="_Toc22558"/>
      <w:bookmarkStart w:id="1265" w:name="_Toc2475"/>
      <w:bookmarkStart w:id="1266" w:name="_Toc25123"/>
      <w:bookmarkStart w:id="1267" w:name="_Toc14187"/>
      <w:bookmarkStart w:id="1268" w:name="_Toc2695"/>
      <w:bookmarkStart w:id="1269" w:name="_Toc30828"/>
      <w:bookmarkStart w:id="1270" w:name="_Toc7321"/>
      <w:bookmarkStart w:id="1271" w:name="_Toc9312"/>
      <w:bookmarkStart w:id="1272" w:name="_Toc31752"/>
      <w:bookmarkStart w:id="1273" w:name="_Toc27393"/>
      <w:bookmarkStart w:id="1274" w:name="_Toc8030"/>
      <w:bookmarkStart w:id="1275" w:name="_Toc1569"/>
      <w:bookmarkStart w:id="1276" w:name="_Toc22988"/>
      <w:bookmarkStart w:id="1277" w:name="_Toc6807"/>
      <w:bookmarkStart w:id="1278" w:name="_Toc31723"/>
      <w:bookmarkStart w:id="1279" w:name="_Toc26645"/>
      <w:bookmarkStart w:id="1280" w:name="_Toc32477"/>
      <w:bookmarkStart w:id="1281" w:name="_Toc23564"/>
      <w:bookmarkStart w:id="1282" w:name="_Toc20316"/>
      <w:r>
        <w:rPr>
          <w:rFonts w:hint="eastAsia" w:ascii="宋体" w:hAnsi="宋体" w:eastAsia="宋体" w:cs="宋体"/>
          <w:color w:val="auto"/>
          <w:sz w:val="24"/>
          <w:szCs w:val="24"/>
          <w:highlight w:val="none"/>
        </w:rPr>
        <w:t>格式一：投标函</w:t>
      </w:r>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p>
    <w:p w14:paraId="340F35F9">
      <w:pPr>
        <w:tabs>
          <w:tab w:val="left" w:pos="3955"/>
        </w:tabs>
        <w:kinsoku/>
        <w:topLinePunct/>
        <w:spacing w:before="298" w:line="360" w:lineRule="auto"/>
        <w:ind w:left="237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建设项目货物投标函</w:t>
      </w:r>
    </w:p>
    <w:p w14:paraId="711FFDD2">
      <w:pPr>
        <w:kinsoku/>
        <w:topLinePunct/>
        <w:spacing w:line="360" w:lineRule="auto"/>
        <w:jc w:val="both"/>
        <w:rPr>
          <w:rFonts w:hint="eastAsia" w:ascii="宋体" w:hAnsi="宋体" w:eastAsia="宋体" w:cs="宋体"/>
          <w:color w:val="auto"/>
          <w:sz w:val="24"/>
          <w:szCs w:val="24"/>
          <w:highlight w:val="none"/>
        </w:rPr>
      </w:pPr>
    </w:p>
    <w:p w14:paraId="2674D062">
      <w:pPr>
        <w:tabs>
          <w:tab w:val="left" w:pos="2775"/>
        </w:tabs>
        <w:kinsoku/>
        <w:topLinePunct/>
        <w:spacing w:before="74" w:line="360" w:lineRule="auto"/>
        <w:ind w:left="23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招标人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7D441427">
      <w:pPr>
        <w:kinsoku/>
        <w:topLinePunct/>
        <w:spacing w:before="185" w:line="360" w:lineRule="auto"/>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全面阅读和研究了建设项目招标文件和招标补充文件，并经过对施工现场的踏勘，澄清疑问，已充分理解并掌握了本项目招标的全部有关情况。同意接受招标文件的全部内容和条件，并按此确定本项目投标的要约内容，以本投标函向你方发包的建设项目全部内容进行投标。最终报价为人民币</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元，品牌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详见投标报价表 </w:t>
      </w:r>
      <w:r>
        <w:rPr>
          <w:rFonts w:hint="eastAsia" w:ascii="宋体" w:hAnsi="宋体" w:eastAsia="宋体" w:cs="宋体"/>
          <w:color w:val="auto"/>
          <w:sz w:val="24"/>
          <w:szCs w:val="24"/>
          <w:highlight w:val="none"/>
        </w:rPr>
        <w:t>，产地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详见投标报价表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，交货期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日历</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天/月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，质量标准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，税率：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CD3F09">
      <w:pPr>
        <w:kinsoku/>
        <w:topLinePunct/>
        <w:spacing w:before="3" w:line="360" w:lineRule="auto"/>
        <w:ind w:right="63"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天内递交委托合同价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的履约保证金，并按中标通知书、招标文件和本投标函的约定与你方签订委托合同，履行规定的一切责任和义务。</w:t>
      </w:r>
    </w:p>
    <w:p w14:paraId="7E512D9E">
      <w:pPr>
        <w:kinsoku/>
        <w:topLinePunct/>
        <w:spacing w:before="1" w:line="360" w:lineRule="auto"/>
        <w:ind w:left="5" w:right="63" w:firstLine="54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我们同意从投标之日起在</w:t>
      </w:r>
      <w:r>
        <w:rPr>
          <w:rFonts w:hint="eastAsia" w:ascii="宋体" w:hAnsi="宋体" w:eastAsia="宋体" w:cs="宋体"/>
          <w:color w:val="auto"/>
          <w:sz w:val="24"/>
          <w:szCs w:val="24"/>
          <w:highlight w:val="none"/>
          <w:lang w:val="en-US" w:eastAsia="zh-CN"/>
        </w:rPr>
        <w:t>90</w:t>
      </w:r>
      <w:r>
        <w:rPr>
          <w:rFonts w:hint="eastAsia" w:ascii="宋体" w:hAnsi="宋体" w:eastAsia="宋体" w:cs="宋体"/>
          <w:color w:val="auto"/>
          <w:sz w:val="24"/>
          <w:szCs w:val="24"/>
          <w:highlight w:val="none"/>
        </w:rPr>
        <w:t>天的有效期内恪守本招标文件，在此期限期满之前的任何时间，本投标函全部条款内容对我方具有约束力。</w:t>
      </w:r>
    </w:p>
    <w:p w14:paraId="2B887B9B">
      <w:pPr>
        <w:kinsoku/>
        <w:topLinePunct/>
        <w:spacing w:before="2" w:line="360" w:lineRule="auto"/>
        <w:ind w:left="1" w:right="63" w:firstLine="54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在合同协议书正式签署生效之前，本投标函连同你方的中标通知书将构成我们双方之间共同遵守的文件，对双方具有约束力。</w:t>
      </w:r>
    </w:p>
    <w:p w14:paraId="3117BFC3">
      <w:pPr>
        <w:keepNext w:val="0"/>
        <w:keepLines w:val="0"/>
        <w:pageBreakBefore w:val="0"/>
        <w:widowControl/>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45EE72BA">
      <w:pPr>
        <w:keepNext w:val="0"/>
        <w:keepLines w:val="0"/>
        <w:pageBreakBefore w:val="0"/>
        <w:widowControl/>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法定代表或委托代理人：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42FFC8F4">
      <w:pPr>
        <w:keepNext w:val="0"/>
        <w:keepLines w:val="0"/>
        <w:pageBreakBefore w:val="0"/>
        <w:widowControl/>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p>
    <w:p w14:paraId="2D9886E8">
      <w:pPr>
        <w:keepNext w:val="0"/>
        <w:keepLines w:val="0"/>
        <w:pageBreakBefore w:val="0"/>
        <w:widowControl/>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eastAsia="宋体" w:cs="宋体"/>
          <w:color w:val="auto"/>
          <w:sz w:val="24"/>
          <w:szCs w:val="24"/>
          <w:highlight w:val="none"/>
          <w:u w:val="single"/>
        </w:rPr>
        <w:t xml:space="preserve">              </w:t>
      </w:r>
    </w:p>
    <w:p w14:paraId="3BFD2C43">
      <w:pPr>
        <w:keepNext w:val="0"/>
        <w:keepLines w:val="0"/>
        <w:pageBreakBefore w:val="0"/>
        <w:widowControl/>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u w:val="single"/>
        </w:rPr>
        <w:t xml:space="preserve">               </w:t>
      </w:r>
    </w:p>
    <w:p w14:paraId="6BF1A969">
      <w:pPr>
        <w:keepNext w:val="0"/>
        <w:keepLines w:val="0"/>
        <w:pageBreakBefore w:val="0"/>
        <w:widowControl/>
        <w:tabs>
          <w:tab w:val="left" w:pos="6005"/>
        </w:tabs>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14:paraId="4FC7F30D">
      <w:pPr>
        <w:keepNext w:val="0"/>
        <w:keepLines w:val="0"/>
        <w:pageBreakBefore w:val="0"/>
        <w:widowControl/>
        <w:tabs>
          <w:tab w:val="left" w:pos="6005"/>
        </w:tabs>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45260B92">
      <w:pPr>
        <w:keepNext w:val="0"/>
        <w:keepLines w:val="0"/>
        <w:pageBreakBefore w:val="0"/>
        <w:widowControl/>
        <w:kinsoku/>
        <w:wordWrap/>
        <w:overflowPunct/>
        <w:topLinePunct/>
        <w:autoSpaceDE w:val="0"/>
        <w:autoSpaceDN w:val="0"/>
        <w:bidi w:val="0"/>
        <w:adjustRightInd w:val="0"/>
        <w:snapToGrid w:val="0"/>
        <w:spacing w:line="360" w:lineRule="auto"/>
        <w:ind w:left="0" w:right="0" w:firstLine="2835" w:firstLineChars="0"/>
        <w:jc w:val="both"/>
        <w:textAlignment w:val="baseline"/>
        <w:rPr>
          <w:rFonts w:hint="eastAsia" w:ascii="宋体" w:hAnsi="宋体" w:eastAsia="宋体" w:cs="宋体"/>
          <w:color w:val="auto"/>
          <w:sz w:val="24"/>
          <w:szCs w:val="24"/>
          <w:highlight w:val="none"/>
        </w:rPr>
        <w:sectPr>
          <w:pgSz w:w="11907" w:h="16840"/>
          <w:pgMar w:top="1418" w:right="1559" w:bottom="1418" w:left="1474" w:header="0" w:footer="723" w:gutter="0"/>
          <w:pgNumType w:fmt="decimal"/>
          <w:cols w:space="720" w:num="1"/>
        </w:sectPr>
      </w:pPr>
    </w:p>
    <w:p w14:paraId="7A7DA5E6">
      <w:pPr>
        <w:spacing w:line="360" w:lineRule="auto"/>
        <w:outlineLvl w:val="1"/>
        <w:rPr>
          <w:rFonts w:hint="eastAsia" w:ascii="宋体" w:hAnsi="宋体" w:eastAsia="宋体" w:cs="宋体"/>
          <w:color w:val="auto"/>
          <w:sz w:val="24"/>
          <w:szCs w:val="24"/>
          <w:highlight w:val="none"/>
        </w:rPr>
      </w:pPr>
      <w:bookmarkStart w:id="1283" w:name="_bookmark16"/>
      <w:bookmarkEnd w:id="1283"/>
      <w:bookmarkStart w:id="1284" w:name="_Toc10594"/>
      <w:bookmarkStart w:id="1285" w:name="_Toc17797"/>
      <w:bookmarkStart w:id="1286" w:name="_Toc24953"/>
      <w:bookmarkStart w:id="1287" w:name="_Toc1369"/>
      <w:bookmarkStart w:id="1288" w:name="_Toc22349"/>
      <w:bookmarkStart w:id="1289" w:name="_Toc2354"/>
      <w:bookmarkStart w:id="1290" w:name="_Toc8086"/>
      <w:bookmarkStart w:id="1291" w:name="_Toc738"/>
      <w:bookmarkStart w:id="1292" w:name="_Toc12641"/>
      <w:bookmarkStart w:id="1293" w:name="_Toc9263"/>
      <w:bookmarkStart w:id="1294" w:name="_Toc8421"/>
      <w:bookmarkStart w:id="1295" w:name="_Toc10962"/>
      <w:bookmarkStart w:id="1296" w:name="_Toc9498"/>
      <w:bookmarkStart w:id="1297" w:name="_Toc17221"/>
      <w:bookmarkStart w:id="1298" w:name="_Toc25885"/>
      <w:bookmarkStart w:id="1299" w:name="_Toc22883"/>
      <w:bookmarkStart w:id="1300" w:name="_Toc1893"/>
      <w:bookmarkStart w:id="1301" w:name="_Toc21285"/>
      <w:bookmarkStart w:id="1302" w:name="_Toc12605"/>
      <w:bookmarkStart w:id="1303" w:name="_Toc7474"/>
      <w:bookmarkStart w:id="1304" w:name="_Toc17893"/>
      <w:bookmarkStart w:id="1305" w:name="_Toc6073"/>
      <w:bookmarkStart w:id="1306" w:name="_Toc12088"/>
      <w:r>
        <w:rPr>
          <w:rFonts w:hint="eastAsia" w:ascii="宋体" w:hAnsi="宋体" w:eastAsia="宋体" w:cs="宋体"/>
          <w:color w:val="auto"/>
          <w:sz w:val="24"/>
          <w:szCs w:val="24"/>
          <w:highlight w:val="none"/>
        </w:rPr>
        <w:t>格式二：法定代表人身份证明</w:t>
      </w:r>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p>
    <w:p w14:paraId="32BAF08A">
      <w:pPr>
        <w:kinsoku/>
        <w:topLinePunct/>
        <w:spacing w:line="360" w:lineRule="auto"/>
        <w:jc w:val="both"/>
        <w:rPr>
          <w:rFonts w:hint="eastAsia" w:ascii="宋体" w:hAnsi="宋体" w:eastAsia="宋体" w:cs="宋体"/>
          <w:color w:val="auto"/>
          <w:sz w:val="24"/>
          <w:szCs w:val="24"/>
          <w:highlight w:val="none"/>
        </w:rPr>
      </w:pPr>
    </w:p>
    <w:p w14:paraId="1DDE6AA6">
      <w:pPr>
        <w:kinsoku/>
        <w:topLinePunct/>
        <w:spacing w:before="75" w:line="360" w:lineRule="auto"/>
        <w:ind w:left="321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法定代表人身份证明</w:t>
      </w:r>
    </w:p>
    <w:p w14:paraId="646B6E94">
      <w:pPr>
        <w:kinsoku/>
        <w:topLinePunct/>
        <w:spacing w:line="360" w:lineRule="auto"/>
        <w:jc w:val="both"/>
        <w:rPr>
          <w:rFonts w:hint="eastAsia" w:ascii="宋体" w:hAnsi="宋体" w:eastAsia="宋体" w:cs="宋体"/>
          <w:color w:val="auto"/>
          <w:sz w:val="24"/>
          <w:szCs w:val="24"/>
          <w:highlight w:val="none"/>
        </w:rPr>
      </w:pPr>
    </w:p>
    <w:p w14:paraId="6F4A614E">
      <w:pPr>
        <w:kinsoku/>
        <w:topLinePunct/>
        <w:spacing w:line="360" w:lineRule="auto"/>
        <w:jc w:val="both"/>
        <w:rPr>
          <w:rFonts w:hint="eastAsia" w:ascii="宋体" w:hAnsi="宋体" w:eastAsia="宋体" w:cs="宋体"/>
          <w:color w:val="auto"/>
          <w:sz w:val="24"/>
          <w:szCs w:val="24"/>
          <w:highlight w:val="none"/>
        </w:rPr>
      </w:pPr>
    </w:p>
    <w:p w14:paraId="16F73996">
      <w:pPr>
        <w:kinsoku/>
        <w:topLinePunct/>
        <w:spacing w:line="360" w:lineRule="auto"/>
        <w:jc w:val="both"/>
        <w:rPr>
          <w:rFonts w:hint="eastAsia" w:ascii="宋体" w:hAnsi="宋体" w:eastAsia="宋体" w:cs="宋体"/>
          <w:color w:val="auto"/>
          <w:sz w:val="24"/>
          <w:szCs w:val="24"/>
          <w:highlight w:val="none"/>
        </w:rPr>
      </w:pPr>
    </w:p>
    <w:p w14:paraId="3DCE7C7D">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u w:val="single"/>
        </w:rPr>
        <w:t xml:space="preserve">                                         </w:t>
      </w:r>
    </w:p>
    <w:p w14:paraId="2C0F7917">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r>
        <w:rPr>
          <w:rFonts w:hint="eastAsia" w:ascii="宋体" w:hAnsi="宋体" w:eastAsia="宋体" w:cs="宋体"/>
          <w:color w:val="auto"/>
          <w:sz w:val="24"/>
          <w:szCs w:val="24"/>
          <w:highlight w:val="none"/>
          <w:u w:val="single"/>
        </w:rPr>
        <w:t xml:space="preserve">                                         </w:t>
      </w:r>
    </w:p>
    <w:p w14:paraId="03F54A5E">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p>
    <w:p w14:paraId="0DE0E47E">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A7D7F3B">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经营期限：</w:t>
      </w:r>
      <w:r>
        <w:rPr>
          <w:rFonts w:hint="eastAsia" w:ascii="宋体" w:hAnsi="宋体" w:eastAsia="宋体" w:cs="宋体"/>
          <w:color w:val="auto"/>
          <w:sz w:val="24"/>
          <w:szCs w:val="24"/>
          <w:highlight w:val="none"/>
          <w:u w:val="single"/>
        </w:rPr>
        <w:t xml:space="preserve">                                         </w:t>
      </w:r>
    </w:p>
    <w:p w14:paraId="6FDEA88B">
      <w:pPr>
        <w:kinsoku/>
        <w:topLinePunct/>
        <w:spacing w:line="360"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性别：</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职务：</w:t>
      </w:r>
      <w:r>
        <w:rPr>
          <w:rFonts w:hint="eastAsia" w:ascii="宋体" w:hAnsi="宋体" w:eastAsia="宋体" w:cs="宋体"/>
          <w:color w:val="auto"/>
          <w:sz w:val="24"/>
          <w:szCs w:val="24"/>
          <w:highlight w:val="none"/>
          <w:u w:val="single"/>
        </w:rPr>
        <w:t xml:space="preserve">   </w:t>
      </w:r>
    </w:p>
    <w:p w14:paraId="03AA5152">
      <w:pPr>
        <w:kinsoku/>
        <w:topLinePunct/>
        <w:spacing w:line="360" w:lineRule="auto"/>
        <w:ind w:left="105" w:left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的法定代表人。特此证明。</w:t>
      </w:r>
    </w:p>
    <w:p w14:paraId="5A043E2E">
      <w:pPr>
        <w:kinsoku/>
        <w:topLinePunct/>
        <w:spacing w:line="360" w:lineRule="auto"/>
        <w:jc w:val="both"/>
        <w:rPr>
          <w:rFonts w:hint="eastAsia" w:ascii="宋体" w:hAnsi="宋体" w:eastAsia="宋体" w:cs="宋体"/>
          <w:color w:val="auto"/>
          <w:sz w:val="24"/>
          <w:szCs w:val="24"/>
          <w:highlight w:val="none"/>
        </w:rPr>
      </w:pPr>
    </w:p>
    <w:p w14:paraId="3CDECE6B">
      <w:pPr>
        <w:kinsoku/>
        <w:topLinePunct/>
        <w:spacing w:line="360" w:lineRule="auto"/>
        <w:jc w:val="both"/>
        <w:rPr>
          <w:rFonts w:hint="eastAsia" w:ascii="宋体" w:hAnsi="宋体" w:eastAsia="宋体" w:cs="宋体"/>
          <w:color w:val="auto"/>
          <w:sz w:val="24"/>
          <w:szCs w:val="24"/>
          <w:highlight w:val="none"/>
        </w:rPr>
      </w:pPr>
    </w:p>
    <w:p w14:paraId="023BB7C7">
      <w:pPr>
        <w:kinsoku/>
        <w:topLinePunct/>
        <w:spacing w:line="360" w:lineRule="auto"/>
        <w:jc w:val="both"/>
        <w:rPr>
          <w:rFonts w:hint="eastAsia" w:ascii="宋体" w:hAnsi="宋体" w:eastAsia="宋体" w:cs="宋体"/>
          <w:color w:val="auto"/>
          <w:sz w:val="24"/>
          <w:szCs w:val="24"/>
          <w:highlight w:val="none"/>
        </w:rPr>
      </w:pPr>
    </w:p>
    <w:p w14:paraId="5C7827B6">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475E2D66">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6ACFCF39">
      <w:pPr>
        <w:tabs>
          <w:tab w:val="left" w:pos="6144"/>
        </w:tabs>
        <w:kinsoku/>
        <w:topLinePunct/>
        <w:spacing w:before="75" w:line="360" w:lineRule="auto"/>
        <w:ind w:left="5053" w:hanging="467"/>
        <w:jc w:val="both"/>
        <w:rPr>
          <w:rFonts w:hint="eastAsia" w:ascii="宋体" w:hAnsi="宋体" w:eastAsia="宋体" w:cs="宋体"/>
          <w:color w:val="auto"/>
          <w:sz w:val="24"/>
          <w:szCs w:val="24"/>
          <w:highlight w:val="none"/>
        </w:rPr>
      </w:pPr>
    </w:p>
    <w:tbl>
      <w:tblPr>
        <w:tblStyle w:val="37"/>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655B169C">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noWrap w:val="0"/>
            <w:vAlign w:val="top"/>
          </w:tcPr>
          <w:p w14:paraId="6534CA1C">
            <w:pPr>
              <w:kinsoku/>
              <w:topLinePunct/>
              <w:spacing w:line="360" w:lineRule="auto"/>
              <w:jc w:val="both"/>
              <w:rPr>
                <w:rFonts w:hint="eastAsia" w:ascii="宋体" w:hAnsi="宋体" w:eastAsia="宋体" w:cs="宋体"/>
                <w:color w:val="auto"/>
                <w:sz w:val="24"/>
                <w:szCs w:val="24"/>
                <w:highlight w:val="none"/>
              </w:rPr>
            </w:pPr>
          </w:p>
          <w:p w14:paraId="050D8598">
            <w:pPr>
              <w:kinsoku/>
              <w:topLinePunct/>
              <w:spacing w:line="360" w:lineRule="auto"/>
              <w:jc w:val="both"/>
              <w:rPr>
                <w:rFonts w:hint="eastAsia" w:ascii="宋体" w:hAnsi="宋体" w:eastAsia="宋体" w:cs="宋体"/>
                <w:color w:val="auto"/>
                <w:sz w:val="24"/>
                <w:szCs w:val="24"/>
                <w:highlight w:val="none"/>
              </w:rPr>
            </w:pPr>
          </w:p>
          <w:p w14:paraId="729BAD30">
            <w:pPr>
              <w:kinsoku/>
              <w:topLinePunct/>
              <w:spacing w:before="74" w:line="360" w:lineRule="auto"/>
              <w:ind w:left="2458"/>
              <w:jc w:val="both"/>
              <w:outlineLvl w:val="1"/>
              <w:rPr>
                <w:rFonts w:hint="eastAsia" w:ascii="宋体" w:hAnsi="宋体" w:eastAsia="宋体" w:cs="宋体"/>
                <w:color w:val="auto"/>
                <w:sz w:val="24"/>
                <w:szCs w:val="24"/>
                <w:highlight w:val="none"/>
              </w:rPr>
            </w:pPr>
            <w:bookmarkStart w:id="1307" w:name="_Toc5248"/>
            <w:bookmarkStart w:id="1308" w:name="_Toc18342"/>
            <w:bookmarkStart w:id="1309" w:name="_Toc1052"/>
            <w:bookmarkStart w:id="1310" w:name="_Toc19626"/>
            <w:bookmarkStart w:id="1311" w:name="_Toc4125"/>
            <w:bookmarkStart w:id="1312" w:name="_Toc18234"/>
            <w:bookmarkStart w:id="1313" w:name="_Toc3137"/>
            <w:bookmarkStart w:id="1314" w:name="_Toc17086"/>
            <w:bookmarkStart w:id="1315" w:name="_Toc4575"/>
            <w:bookmarkStart w:id="1316" w:name="_Toc16112"/>
            <w:bookmarkStart w:id="1317" w:name="_Toc1633"/>
            <w:bookmarkStart w:id="1318" w:name="_Toc5657"/>
            <w:bookmarkStart w:id="1319" w:name="_Toc5569"/>
            <w:bookmarkStart w:id="1320" w:name="_Toc9293"/>
            <w:bookmarkStart w:id="1321" w:name="_Toc25421"/>
            <w:bookmarkStart w:id="1322" w:name="_Toc19183"/>
            <w:bookmarkStart w:id="1323" w:name="_Toc26512"/>
            <w:bookmarkStart w:id="1324" w:name="_Toc5940"/>
            <w:bookmarkStart w:id="1325" w:name="_Toc23465"/>
            <w:bookmarkStart w:id="1326" w:name="_Toc27365"/>
            <w:bookmarkStart w:id="1327" w:name="_Toc91"/>
            <w:bookmarkStart w:id="1328" w:name="_Toc28994"/>
            <w:bookmarkStart w:id="1329" w:name="_Toc11145"/>
            <w:bookmarkStart w:id="1330" w:name="_Toc12685"/>
            <w:r>
              <w:rPr>
                <w:rFonts w:hint="eastAsia" w:ascii="宋体" w:hAnsi="宋体" w:eastAsia="宋体" w:cs="宋体"/>
                <w:color w:val="auto"/>
                <w:sz w:val="24"/>
                <w:szCs w:val="24"/>
                <w:highlight w:val="none"/>
              </w:rPr>
              <w:t>法定代表人身份证复制件</w:t>
            </w:r>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p>
        </w:tc>
      </w:tr>
    </w:tbl>
    <w:p w14:paraId="5829876B">
      <w:pPr>
        <w:kinsoku/>
        <w:topLinePunct/>
        <w:spacing w:line="360" w:lineRule="auto"/>
        <w:jc w:val="both"/>
        <w:rPr>
          <w:rFonts w:hint="eastAsia" w:ascii="宋体" w:hAnsi="宋体" w:eastAsia="宋体" w:cs="宋体"/>
          <w:color w:val="auto"/>
          <w:sz w:val="24"/>
          <w:szCs w:val="24"/>
          <w:highlight w:val="none"/>
        </w:rPr>
      </w:pPr>
    </w:p>
    <w:p w14:paraId="5D627526">
      <w:pPr>
        <w:kinsoku/>
        <w:topLinePunct/>
        <w:spacing w:line="360" w:lineRule="auto"/>
        <w:jc w:val="both"/>
        <w:rPr>
          <w:rFonts w:hint="eastAsia" w:ascii="宋体" w:hAnsi="宋体" w:eastAsia="宋体" w:cs="宋体"/>
          <w:color w:val="auto"/>
          <w:sz w:val="24"/>
          <w:szCs w:val="24"/>
          <w:highlight w:val="none"/>
        </w:rPr>
        <w:sectPr>
          <w:pgSz w:w="11907" w:h="16840"/>
          <w:pgMar w:top="1418" w:right="1559" w:bottom="1418" w:left="1474" w:header="0" w:footer="723" w:gutter="0"/>
          <w:pgNumType w:fmt="decimal"/>
          <w:cols w:space="720" w:num="1"/>
        </w:sectPr>
      </w:pPr>
    </w:p>
    <w:p w14:paraId="5F228F48">
      <w:pPr>
        <w:spacing w:line="360" w:lineRule="auto"/>
        <w:outlineLvl w:val="1"/>
        <w:rPr>
          <w:rFonts w:hint="eastAsia" w:ascii="宋体" w:hAnsi="宋体" w:eastAsia="宋体" w:cs="宋体"/>
          <w:color w:val="auto"/>
          <w:sz w:val="24"/>
          <w:szCs w:val="24"/>
          <w:highlight w:val="none"/>
        </w:rPr>
      </w:pPr>
      <w:bookmarkStart w:id="1331" w:name="_bookmark17"/>
      <w:bookmarkEnd w:id="1331"/>
      <w:bookmarkStart w:id="1332" w:name="_Toc13753"/>
      <w:bookmarkStart w:id="1333" w:name="_Toc4119"/>
      <w:bookmarkStart w:id="1334" w:name="_Toc251"/>
      <w:bookmarkStart w:id="1335" w:name="_Toc16899"/>
      <w:bookmarkStart w:id="1336" w:name="_Toc22074"/>
      <w:bookmarkStart w:id="1337" w:name="_Toc21506"/>
      <w:bookmarkStart w:id="1338" w:name="_Toc23850"/>
      <w:bookmarkStart w:id="1339" w:name="_Toc24248"/>
      <w:bookmarkStart w:id="1340" w:name="_Toc25625"/>
      <w:bookmarkStart w:id="1341" w:name="_Toc7570"/>
      <w:bookmarkStart w:id="1342" w:name="_Toc2900"/>
      <w:bookmarkStart w:id="1343" w:name="_Toc13626"/>
      <w:bookmarkStart w:id="1344" w:name="_Toc30713"/>
      <w:bookmarkStart w:id="1345" w:name="_Toc16170"/>
      <w:bookmarkStart w:id="1346" w:name="_Toc29288"/>
      <w:bookmarkStart w:id="1347" w:name="_Toc23183"/>
      <w:bookmarkStart w:id="1348" w:name="_Toc30383"/>
      <w:bookmarkStart w:id="1349" w:name="_Toc25613"/>
      <w:bookmarkStart w:id="1350" w:name="_Toc8328"/>
      <w:bookmarkStart w:id="1351" w:name="_Toc19523"/>
      <w:bookmarkStart w:id="1352" w:name="_Toc23498"/>
      <w:bookmarkStart w:id="1353" w:name="_Toc26196"/>
      <w:bookmarkStart w:id="1354" w:name="_Toc26521"/>
      <w:r>
        <w:rPr>
          <w:rFonts w:hint="eastAsia" w:ascii="宋体" w:hAnsi="宋体" w:eastAsia="宋体" w:cs="宋体"/>
          <w:color w:val="auto"/>
          <w:sz w:val="24"/>
          <w:szCs w:val="24"/>
          <w:highlight w:val="none"/>
        </w:rPr>
        <w:t>格式三：法定代表人授权委托书</w:t>
      </w:r>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p>
    <w:p w14:paraId="3A570CB9">
      <w:pPr>
        <w:kinsoku/>
        <w:topLinePunct/>
        <w:spacing w:before="75"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法定代表人授权委托书</w:t>
      </w:r>
    </w:p>
    <w:p w14:paraId="2B03E6BC">
      <w:pPr>
        <w:kinsoku/>
        <w:topLinePunct/>
        <w:spacing w:before="75" w:line="360" w:lineRule="auto"/>
        <w:ind w:firstLine="58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投标人名称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的法定代表人，现委托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姓名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为我方代理人。代理人根据授权，以我方名义签署、澄清、说明、补正、递交、撤回、修改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项目及标段名称</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的投标文件、签订合同和处理有关事宜，其法律后果由我方承担。</w:t>
      </w:r>
    </w:p>
    <w:p w14:paraId="5CC64B9B">
      <w:pPr>
        <w:kinsoku/>
        <w:topLinePunct/>
        <w:spacing w:line="360" w:lineRule="auto"/>
        <w:ind w:left="34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32C00D4">
      <w:pPr>
        <w:kinsoku/>
        <w:topLinePunct/>
        <w:spacing w:line="360" w:lineRule="auto"/>
        <w:ind w:left="34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代理人无转委托权。</w:t>
      </w:r>
    </w:p>
    <w:p w14:paraId="1866609F">
      <w:pPr>
        <w:kinsoku/>
        <w:topLinePunct/>
        <w:spacing w:before="181" w:line="360" w:lineRule="auto"/>
        <w:ind w:left="36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附：委托代理人身份证明</w:t>
      </w:r>
    </w:p>
    <w:p w14:paraId="4A0FE72B">
      <w:pPr>
        <w:kinsoku/>
        <w:topLinePunct/>
        <w:spacing w:before="76" w:line="360" w:lineRule="auto"/>
        <w:ind w:left="35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盖单位</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388F2F65">
      <w:pPr>
        <w:kinsoku/>
        <w:topLinePunct/>
        <w:spacing w:line="360" w:lineRule="auto"/>
        <w:ind w:left="3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17CDABCB">
      <w:pPr>
        <w:kinsoku/>
        <w:topLinePunct/>
        <w:spacing w:before="185" w:line="360" w:lineRule="auto"/>
        <w:ind w:left="3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15B4F11D">
      <w:pPr>
        <w:kinsoku/>
        <w:topLinePunct/>
        <w:spacing w:line="360" w:lineRule="auto"/>
        <w:ind w:left="34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p>
    <w:p w14:paraId="087E3878">
      <w:pPr>
        <w:kinsoku/>
        <w:topLinePunct/>
        <w:spacing w:before="184" w:line="360" w:lineRule="auto"/>
        <w:ind w:left="34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手机号码：</w:t>
      </w:r>
      <w:r>
        <w:rPr>
          <w:rFonts w:hint="eastAsia" w:ascii="宋体" w:hAnsi="宋体" w:eastAsia="宋体" w:cs="宋体"/>
          <w:color w:val="auto"/>
          <w:sz w:val="24"/>
          <w:szCs w:val="24"/>
          <w:highlight w:val="none"/>
          <w:u w:val="single"/>
        </w:rPr>
        <w:t xml:space="preserve">                  </w:t>
      </w:r>
    </w:p>
    <w:p w14:paraId="32398D07">
      <w:pPr>
        <w:kinsoku/>
        <w:topLinePunct/>
        <w:spacing w:before="183" w:line="360" w:lineRule="auto"/>
        <w:ind w:left="3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身份证号码：</w:t>
      </w:r>
      <w:r>
        <w:rPr>
          <w:rFonts w:hint="eastAsia" w:ascii="宋体" w:hAnsi="宋体" w:eastAsia="宋体" w:cs="宋体"/>
          <w:color w:val="auto"/>
          <w:sz w:val="24"/>
          <w:szCs w:val="24"/>
          <w:highlight w:val="none"/>
          <w:u w:val="single"/>
        </w:rPr>
        <w:t xml:space="preserve">                  </w:t>
      </w:r>
    </w:p>
    <w:p w14:paraId="4F822F66">
      <w:pPr>
        <w:kinsoku/>
        <w:topLinePunct/>
        <w:spacing w:line="360" w:lineRule="auto"/>
        <w:jc w:val="both"/>
        <w:rPr>
          <w:rFonts w:hint="eastAsia" w:ascii="宋体" w:hAnsi="宋体" w:eastAsia="宋体" w:cs="宋体"/>
          <w:color w:val="auto"/>
          <w:sz w:val="24"/>
          <w:szCs w:val="24"/>
          <w:highlight w:val="none"/>
        </w:rPr>
      </w:pPr>
    </w:p>
    <w:p w14:paraId="01E44536">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71CF974">
      <w:pPr>
        <w:kinsoku/>
        <w:topLinePunct/>
        <w:spacing w:line="360" w:lineRule="auto"/>
        <w:jc w:val="both"/>
        <w:rPr>
          <w:rFonts w:hint="eastAsia" w:ascii="宋体" w:hAnsi="宋体" w:eastAsia="宋体" w:cs="宋体"/>
          <w:color w:val="auto"/>
          <w:sz w:val="24"/>
          <w:szCs w:val="24"/>
          <w:highlight w:val="none"/>
        </w:rPr>
      </w:pPr>
    </w:p>
    <w:p w14:paraId="4AF6A295">
      <w:pPr>
        <w:kinsoku/>
        <w:topLinePunct/>
        <w:spacing w:line="360" w:lineRule="auto"/>
        <w:jc w:val="both"/>
        <w:rPr>
          <w:rFonts w:hint="eastAsia" w:ascii="宋体" w:hAnsi="宋体" w:eastAsia="宋体" w:cs="宋体"/>
          <w:color w:val="auto"/>
          <w:sz w:val="24"/>
          <w:szCs w:val="24"/>
          <w:highlight w:val="none"/>
        </w:rPr>
      </w:pPr>
    </w:p>
    <w:p w14:paraId="4BE2B411">
      <w:pPr>
        <w:kinsoku/>
        <w:topLinePunct/>
        <w:spacing w:line="360" w:lineRule="auto"/>
        <w:jc w:val="both"/>
        <w:rPr>
          <w:rFonts w:hint="eastAsia" w:ascii="宋体" w:hAnsi="宋体" w:eastAsia="宋体" w:cs="宋体"/>
          <w:color w:val="auto"/>
          <w:sz w:val="24"/>
          <w:szCs w:val="24"/>
          <w:highlight w:val="none"/>
        </w:rPr>
      </w:pPr>
    </w:p>
    <w:tbl>
      <w:tblPr>
        <w:tblStyle w:val="37"/>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2CECA630">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noWrap w:val="0"/>
            <w:vAlign w:val="top"/>
          </w:tcPr>
          <w:p w14:paraId="58922FBD">
            <w:pPr>
              <w:kinsoku/>
              <w:topLinePunct/>
              <w:spacing w:line="360" w:lineRule="auto"/>
              <w:jc w:val="both"/>
              <w:rPr>
                <w:rFonts w:hint="eastAsia" w:ascii="宋体" w:hAnsi="宋体" w:eastAsia="宋体" w:cs="宋体"/>
                <w:color w:val="auto"/>
                <w:sz w:val="24"/>
                <w:szCs w:val="24"/>
                <w:highlight w:val="none"/>
              </w:rPr>
            </w:pPr>
          </w:p>
          <w:p w14:paraId="6959B80F">
            <w:pPr>
              <w:kinsoku/>
              <w:topLinePunct/>
              <w:spacing w:line="360" w:lineRule="auto"/>
              <w:jc w:val="both"/>
              <w:rPr>
                <w:rFonts w:hint="eastAsia" w:ascii="宋体" w:hAnsi="宋体" w:eastAsia="宋体" w:cs="宋体"/>
                <w:color w:val="auto"/>
                <w:sz w:val="24"/>
                <w:szCs w:val="24"/>
                <w:highlight w:val="none"/>
              </w:rPr>
            </w:pPr>
          </w:p>
          <w:p w14:paraId="4E615155">
            <w:pPr>
              <w:kinsoku/>
              <w:topLinePunct/>
              <w:spacing w:before="75" w:line="360" w:lineRule="auto"/>
              <w:ind w:left="242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委托代理人身份证复制件</w:t>
            </w:r>
          </w:p>
        </w:tc>
      </w:tr>
    </w:tbl>
    <w:p w14:paraId="6DCDAE01">
      <w:pPr>
        <w:spacing w:line="360" w:lineRule="auto"/>
        <w:outlineLvl w:val="1"/>
        <w:rPr>
          <w:rFonts w:hint="eastAsia" w:ascii="宋体" w:hAnsi="宋体" w:eastAsia="宋体" w:cs="宋体"/>
          <w:color w:val="auto"/>
          <w:sz w:val="24"/>
          <w:szCs w:val="24"/>
          <w:highlight w:val="none"/>
        </w:rPr>
        <w:sectPr>
          <w:pgSz w:w="11907" w:h="16840"/>
          <w:pgMar w:top="1418" w:right="1559" w:bottom="1418" w:left="1474" w:header="0" w:footer="723" w:gutter="0"/>
          <w:pgNumType w:fmt="decimal"/>
          <w:cols w:space="720" w:num="1"/>
        </w:sectPr>
      </w:pPr>
      <w:bookmarkStart w:id="1355" w:name="_bookmark18"/>
      <w:bookmarkEnd w:id="1355"/>
      <w:bookmarkStart w:id="1356" w:name="_Toc26767"/>
      <w:bookmarkStart w:id="1357" w:name="_Toc8240"/>
      <w:bookmarkStart w:id="1358" w:name="_Toc26653"/>
      <w:bookmarkStart w:id="1359" w:name="_Toc21100"/>
      <w:bookmarkStart w:id="1360" w:name="_Toc23537"/>
      <w:bookmarkStart w:id="1361" w:name="_Toc26999"/>
      <w:bookmarkStart w:id="1362" w:name="_Toc942"/>
      <w:bookmarkStart w:id="1363" w:name="_Toc24279"/>
      <w:bookmarkStart w:id="1364" w:name="_Toc30794"/>
      <w:bookmarkStart w:id="1365" w:name="_Toc7388"/>
      <w:bookmarkStart w:id="1366" w:name="_Toc25888"/>
      <w:bookmarkStart w:id="1367" w:name="_Toc6533"/>
      <w:bookmarkStart w:id="1368" w:name="_Toc30967"/>
      <w:bookmarkStart w:id="1369" w:name="_Toc18085"/>
      <w:bookmarkStart w:id="1370" w:name="_Toc26595"/>
      <w:bookmarkStart w:id="1371" w:name="_Toc8765"/>
      <w:bookmarkStart w:id="1372" w:name="_Toc22444"/>
    </w:p>
    <w:p w14:paraId="6D6CB735">
      <w:pPr>
        <w:spacing w:line="360" w:lineRule="auto"/>
        <w:outlineLvl w:val="1"/>
        <w:rPr>
          <w:rFonts w:hint="eastAsia" w:ascii="宋体" w:hAnsi="宋体" w:eastAsia="宋体" w:cs="宋体"/>
          <w:color w:val="auto"/>
          <w:sz w:val="24"/>
          <w:szCs w:val="24"/>
          <w:highlight w:val="none"/>
        </w:rPr>
      </w:pPr>
      <w:bookmarkStart w:id="1373" w:name="_Toc9885"/>
      <w:bookmarkStart w:id="1374" w:name="_Toc30896"/>
      <w:bookmarkStart w:id="1375" w:name="_Toc32429"/>
      <w:bookmarkStart w:id="1376" w:name="_Toc3974"/>
      <w:bookmarkStart w:id="1377" w:name="_Toc19401"/>
      <w:bookmarkStart w:id="1378" w:name="_Toc5094"/>
      <w:r>
        <w:rPr>
          <w:rFonts w:hint="eastAsia" w:ascii="宋体" w:hAnsi="宋体" w:eastAsia="宋体" w:cs="宋体"/>
          <w:color w:val="auto"/>
          <w:sz w:val="24"/>
          <w:szCs w:val="24"/>
          <w:highlight w:val="none"/>
        </w:rPr>
        <w:t>格式四：投标报价表</w:t>
      </w:r>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p>
    <w:p w14:paraId="6B7FEF6F">
      <w:pPr>
        <w:keepNext w:val="0"/>
        <w:keepLines w:val="0"/>
        <w:pageBreakBefore w:val="0"/>
        <w:widowControl/>
        <w:kinsoku/>
        <w:wordWrap/>
        <w:overflowPunct/>
        <w:topLinePunct/>
        <w:autoSpaceDE w:val="0"/>
        <w:autoSpaceDN w:val="0"/>
        <w:bidi w:val="0"/>
        <w:adjustRightInd w:val="0"/>
        <w:snapToGrid w:val="0"/>
        <w:spacing w:line="360" w:lineRule="auto"/>
        <w:jc w:val="center"/>
        <w:textAlignment w:val="baseline"/>
        <w:rPr>
          <w:rFonts w:hint="default" w:ascii="华文中宋" w:hAnsi="华文中宋" w:eastAsia="华文中宋" w:cs="华文中宋"/>
          <w:b/>
          <w:bCs/>
          <w:color w:val="auto"/>
          <w:sz w:val="28"/>
          <w:szCs w:val="28"/>
          <w:highlight w:val="none"/>
          <w:lang w:val="en-US"/>
        </w:rPr>
      </w:pPr>
      <w:r>
        <w:rPr>
          <w:rFonts w:hint="eastAsia" w:ascii="华文中宋" w:hAnsi="华文中宋" w:eastAsia="华文中宋" w:cs="华文中宋"/>
          <w:b/>
          <w:bCs/>
          <w:i w:val="0"/>
          <w:iCs w:val="0"/>
          <w:snapToGrid w:val="0"/>
          <w:color w:val="auto"/>
          <w:kern w:val="2"/>
          <w:sz w:val="28"/>
          <w:szCs w:val="28"/>
          <w:highlight w:val="none"/>
          <w:u w:val="none"/>
          <w:lang w:val="en-US" w:eastAsia="zh-CN" w:bidi="ar-SA"/>
        </w:rPr>
        <w:t>浙江镜岭水库工程阀门等设备投标报价表</w:t>
      </w:r>
    </w:p>
    <w:p w14:paraId="7E09CAAC">
      <w:pPr>
        <w:keepNext w:val="0"/>
        <w:keepLines w:val="0"/>
        <w:widowControl/>
        <w:suppressLineNumbers w:val="0"/>
        <w:jc w:val="right"/>
        <w:textAlignment w:val="center"/>
        <w:rPr>
          <w:rFonts w:hint="eastAsia" w:ascii="宋体" w:hAnsi="宋体" w:eastAsia="宋体" w:cs="宋体"/>
          <w:i w:val="0"/>
          <w:iCs w:val="0"/>
          <w:snapToGrid w:val="0"/>
          <w:color w:val="auto"/>
          <w:kern w:val="0"/>
          <w:sz w:val="18"/>
          <w:szCs w:val="18"/>
          <w:highlight w:val="none"/>
          <w:u w:val="none"/>
          <w:lang w:val="en-US" w:eastAsia="zh-CN" w:bidi="ar"/>
        </w:rPr>
      </w:pPr>
      <w:r>
        <w:rPr>
          <w:rFonts w:hint="eastAsia" w:ascii="宋体" w:hAnsi="宋体" w:eastAsia="宋体" w:cs="宋体"/>
          <w:i w:val="0"/>
          <w:iCs w:val="0"/>
          <w:snapToGrid w:val="0"/>
          <w:color w:val="auto"/>
          <w:kern w:val="0"/>
          <w:sz w:val="18"/>
          <w:szCs w:val="18"/>
          <w:highlight w:val="none"/>
          <w:u w:val="none"/>
          <w:lang w:val="en-US" w:eastAsia="zh-CN" w:bidi="ar"/>
        </w:rPr>
        <w:t>单位：人民币元</w:t>
      </w:r>
    </w:p>
    <w:tbl>
      <w:tblPr>
        <w:tblStyle w:val="22"/>
        <w:tblW w:w="500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616"/>
        <w:gridCol w:w="3216"/>
        <w:gridCol w:w="4668"/>
        <w:gridCol w:w="955"/>
        <w:gridCol w:w="616"/>
        <w:gridCol w:w="616"/>
        <w:gridCol w:w="616"/>
        <w:gridCol w:w="1016"/>
        <w:gridCol w:w="1016"/>
        <w:gridCol w:w="899"/>
      </w:tblGrid>
      <w:tr w14:paraId="7D318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blHeader/>
        </w:trPr>
        <w:tc>
          <w:tcPr>
            <w:tcW w:w="218" w:type="pct"/>
            <w:tcBorders>
              <w:top w:val="single" w:color="000000" w:sz="4" w:space="0"/>
              <w:left w:val="single" w:color="000000" w:sz="4" w:space="0"/>
              <w:bottom w:val="single" w:color="000000" w:sz="4" w:space="0"/>
              <w:right w:val="single" w:color="000000" w:sz="4" w:space="0"/>
            </w:tcBorders>
            <w:noWrap/>
            <w:vAlign w:val="center"/>
          </w:tcPr>
          <w:p w14:paraId="139151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序号</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751C4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货物名称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3809E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规格型号</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1805E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品牌</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AD062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产地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E00F2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单位</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F68F2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数量</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D37A8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单价(元)</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B704C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合价(元)</w:t>
            </w: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04EA229">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备注</w:t>
            </w:r>
          </w:p>
        </w:tc>
      </w:tr>
      <w:tr w14:paraId="58190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34396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一</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96D98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9D230C3">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F44BF8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D3419B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327503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C4BC8AE">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D6EB4C9">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F80C5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901005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3749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05CE9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(一)</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C2050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蝶阀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56FC1AF">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44EF87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7EFDAB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C6C72B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ABF8503">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95561CE">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339EF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725210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239B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E54FB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7C8DA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C18D8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DN2600，PN16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B7507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10DCC0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EE462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3D3CB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80995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49313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70B12A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F1D92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E3B17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BFE27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93FC4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DN1800，PN16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E91F3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956B2A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01ED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354D9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CB443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23384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6AA4F3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7ADE6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D5890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E13A0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8825C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F7811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229C48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872C4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07A3F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89C18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C04E9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4BFFFE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8A4CB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F4B1B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5C11C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手电两用蝶阀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E979B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08B6D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D3DE3A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BFCFE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B784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3E755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71BFB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D945EF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C63D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BB079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(二)</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FC222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49FCCCA">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557478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48A973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652666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EB51B66">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0371798">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4568A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57768F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2F15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3F14B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30444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手动偏心半球阀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C46E8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0628D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B141FB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C6989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A8495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9354E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98D6F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FE0AB5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63DB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D236A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E1D0A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E329F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09189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9CA771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8E7CE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7420C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D30BF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B94D6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F7A9B1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89A1F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2A81B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560D3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4D846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76D6F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33859A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D810B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8820C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E405B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1D39D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42B6E0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3BD4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C3683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4C31E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17FCE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D9693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E23F5F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D3DA5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386FB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5E1B1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15383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96A1A1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7270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EB4A8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358B3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C59BE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F063E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B49555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8592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81FEB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F78F2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0DAFB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91DC84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8C03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009F8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986EC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C40A6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050C1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EA8095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3137C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12C7E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259E1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DF378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55E1B6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01B63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9BF67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15AAD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手电两用偏心半球阀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B81CA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7D526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7F9298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E9629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9A2FB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19A9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DEA86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A2496C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77736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E4776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(三)</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3C75D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活塞(调流)阀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89CFFBB">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B836C9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932E52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E6487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2D343AD">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61E6A3E">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C9C66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28CE88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FA5AB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22F74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60AFB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活塞式调流阀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CF187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C08CD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F0E41E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ABFFB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0F378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08041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A460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711FB1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E8B8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BE074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C077E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活塞式调流阀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E9836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BF3F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FEBB1F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29E49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EC817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FEEFF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3288A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983677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22517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48E2A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021F7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活塞式调流阀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4E3A8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0B2B5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F4B23A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07E7D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6F7BB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6A399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CE3C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9A35BE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C016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05C49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(四)</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F27CF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固定锥阀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CF4C1CC">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5DE44D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2DC978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A38B8F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FCA98A5">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E335C5E">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386FE8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6B3CD9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D99A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41C0D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04137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手电两用固定锥形阀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DD079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8ADED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CD77D1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A77BD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6D7C56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B607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FE50D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B1BF40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BDF93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2055B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2A96A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手电两用固定锥形阀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984DF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4028A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49714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9C93A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08108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B0200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05B6A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E122C8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B41A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5AD9C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31489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手电两用固定锥形阀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C72DD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5A301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F0D417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1B0A6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03120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4A25E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1AF08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F4F16F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6840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E01D2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D9C4C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手动固定锥形阀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350D9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FA4E6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7A3B5D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5B5DD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0F57E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E48DD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F69CB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896199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77A8D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125D1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(五)</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98205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复合式空气阀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8B6C74C">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426246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EFE915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E32501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E7455DF">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0B3542">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8C97E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8181F0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F9492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6"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65404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52A2D5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复合式空气阀(含1mDN200短支管)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D0401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D044A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3F9652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FBD7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2F78B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D49AD6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DD9D5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0AEC81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B28A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5D703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(六)</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49F538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多功能斜板阀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79BE5F30">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F9799B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3D0D6C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4FA08D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7151B4">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F54A44">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D6E19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33C035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C1DC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7D81A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7CBF36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多功能斜板阀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1CAD55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B5A6F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7C7B330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21DD7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64BDE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4DB6C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557A58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12717FE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EE103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6F253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(七)</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59ABDB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783EF705">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DE4E0C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7CC56B1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D17E58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B508F30">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5EFA28C">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E82AD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E34B0B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CEF16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DBCE5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73A02C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34AEEC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E4955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0730FE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ACC20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156BF6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0273D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08DE6C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33C7B34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B3E1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5F468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76F3A1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13CEDB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BEE53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03CE5B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3B255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76E2AB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779F8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2EA3C6C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22B307F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ED47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2657C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18115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1CDB43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0E061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4C4C472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7AB9B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74041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68936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6A13D6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68613C3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A3F02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DFBE1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242DE7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34D8AE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E0FDE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30F076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DD8F1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10E73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E4BB8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151AB9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29ACFF63">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115D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A55E5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7F6283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0AC018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9B2A9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F51CC0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32D23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114508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E3F8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3922F4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31B1D36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A861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EEC23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287CA6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闸阀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102004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84CD3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039251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87BA6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2CDF19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5EF2A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0F1CC7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6994F89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506D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7C78A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(八)</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2FB7C1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止回阀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3DC789C5">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65547F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720EF76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1DDDAA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6BBEC57">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7B5074D">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E2440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4FEC21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A9A0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22707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6BBF23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静音止回阀</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632695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8FBA0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6504EA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2B2C4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F8A6A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D90B4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730A864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6A13043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9E6A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A9D32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46AD0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止回阀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1AE4D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D2904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BEFD4D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1323B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D66E1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34478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8DFFB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37B758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64AB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5AC90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0F04C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止回阀</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1D44C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921DD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11E48B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B6339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05557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637EE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D7D37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8C890C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194EE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491FA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二</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41499AE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流量调节阀状态监测系统硬件</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45110E82">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47544B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1EE951B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39E53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885700A">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40024A">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4261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CCAB2E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6E9E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3"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6C922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1201E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振动传感器</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37E1570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阀门外壳X、Y方向振动监测，采用速度型振动传感器，具体要求如下：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1)频响范围：1 Hz～1000  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2)线性测量范围：0 mm/s～100   mm/s(0～峰值)或0μm～500 μm(峰一峰值);</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3)幅值非线性度：≤±5%;</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4)工作温度：0℃~+125 ℃。</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C5DCF4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243D0AD">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2C227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2937E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3794F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1B131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52BB39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98F4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3"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A84CE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5D01A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压力传感器(带数显)</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4B96E9B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阀门外壳体压力，采用压力传感器，具体要求如下：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1)精度：≤±0.2%;</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2)频响范围：0 Hz～20  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3)响应速度：≤1 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4)工作温度： - 10℃~60℃;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5)线性测量范围：0～1.5倍工作压力。</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C32164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2E557C96">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29F0E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45CD3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BF2F6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F2787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3E7D99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C353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6"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8205A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EB4A5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噪音传感器</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0E782F74">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阀门外壳噪音，采用噪音传感器，具体要求如下：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1)灵敏度：  32mV/Pa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2)频率范围：10Hz～20kHz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3)测量范围：25～130dBL</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4)动态范围：＞110dB</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5)使用温度范围：0～50℃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6)使用湿度范围：0～98%</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7)外形材质：不锈钢外壳</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21F964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9266248">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A1DFB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4AE6C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040BC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2EC13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7BF72C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1A22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6"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034CC9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39A4F1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流量调节阀状态监测系统其他硬件</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031AA5EC">
            <w:pPr>
              <w:keepNext w:val="0"/>
              <w:keepLines w:val="0"/>
              <w:widowControl/>
              <w:suppressLineNumbers w:val="0"/>
              <w:jc w:val="left"/>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包括但不限于以下硬件：</w:t>
            </w:r>
          </w:p>
          <w:p w14:paraId="6D6276D9">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流量调节阀在线监测系统共对3只流量调节阀进行监测，其中嵊州分水口阀室内有两只流量调节阀，汤浦分水口阀室内有一只阀。嵊州，汤浦分水口阀室内各设置一只在线监测系统现地箱（内含数据采集器、液晶屏、电源设备、网络设备等），系统所需电缆、网线，上述硬件设施均包含在本标段供货范围内。</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E92FEE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14FF488">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098CB0D">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项</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C7ABAA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72028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2C68D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01F0F8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0AFA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482C3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三</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54C4D72">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snapToGrid w:val="0"/>
                <w:color w:val="auto"/>
                <w:kern w:val="0"/>
                <w:sz w:val="20"/>
                <w:szCs w:val="20"/>
                <w:highlight w:val="none"/>
                <w:u w:val="none"/>
                <w:lang w:val="en-US" w:eastAsia="zh-CN" w:bidi="ar"/>
              </w:rPr>
              <w:t>空气阀状态监测系统硬件</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5E79C792">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4A78E4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5C2871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003532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5472011">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7E4D844">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D054B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FF6BC2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6EC7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89"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CAED30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26DCE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高频压力传感器</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47B194A6">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工作温度：0℃～70℃；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压力监测采集频率≥500Hz；</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量程：-0.1-1.6Mpa(以实际节点压力为准)，满足-2m的监测要求；</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响应时间：≤2ms；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精度：≤0.1%FS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输出信号：4～20mA；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形式：接触测量，整体式结构；</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防护等级：IP68，包括传感器电缆接头；</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供电电压：24VDC(9-36VDC)</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C383ED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2BB52AE">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09CBC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FF231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265DE2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D66C9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BDB86A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2882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23"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3417D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F2D67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液位传感器</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05F4DF0E">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工作温度：-40～85℃；</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测量精度 ≤0.5%FS；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小数位数：3位；</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信号传输：4-20mA；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外壳防护：IP67；</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工作环境湿度：≤97% RH；</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现场显示：四位LED，0000-1999(可选)；</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供电电压：24VDC</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EFF954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7DC55B66">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0E586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D3AC3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4C08B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3D3BF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5F7DF4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1174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06"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B4153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870B8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漏液传感器</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53505E3C">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工作电压：3.3-5V；</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工作电流：小于35mA；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测量范围：液体；</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精度：小于0.3%FS；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响应时间：≤0.3ms；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输出信号：开关量；</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工作温度：10℃~40℃；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稳定性；十二个月 0.1%；</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防护等级：IP68，包括传感器电缆接头；</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1ED337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1B2E290">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E1404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EA6BF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C0AB7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3F152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3633E2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CD61E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62"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C6601B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E5DAFC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空气阀状态监测系统其他硬件</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5C89B0A5">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包括但不限于以下硬件：</w:t>
            </w:r>
          </w:p>
          <w:p w14:paraId="2B11BFF8">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default" w:ascii="宋体" w:hAnsi="宋体" w:eastAsia="宋体" w:cs="宋体"/>
                <w:i w:val="0"/>
                <w:iCs w:val="0"/>
                <w:snapToGrid w:val="0"/>
                <w:color w:val="auto"/>
                <w:kern w:val="0"/>
                <w:sz w:val="20"/>
                <w:szCs w:val="20"/>
                <w:highlight w:val="none"/>
                <w:u w:val="none"/>
                <w:lang w:val="en-US" w:eastAsia="zh-CN" w:bidi="ar"/>
              </w:rPr>
              <w:t>空气阀在线监测共对42只空气阀进行监测。这些空气阀分布在7个检修阀室、5个空气阀井、大王塘洞内、嵊州分水口阀室、汤浦分水口阀室内。其中沿线的5个空气阀井因不供电，需要各配置1套太阳能蓄能装置。所有各阀室均需配置一套RTU装置，涵盖采集、存储、计算、传输功能，系统所需电缆、网线，上述硬件设施均包含在本标段供货范围内。</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CF5EC1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69623EE">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0FC5A3F">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项</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8AC22A6">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968F6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E44AA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2EE659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3D2A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29A6A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四</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67A1F01">
            <w:pPr>
              <w:keepNext w:val="0"/>
              <w:keepLines w:val="0"/>
              <w:widowControl/>
              <w:suppressLineNumbers w:val="0"/>
              <w:jc w:val="center"/>
              <w:textAlignment w:val="center"/>
              <w:rPr>
                <w:rFonts w:hint="default" w:ascii="宋体" w:hAnsi="宋体" w:eastAsia="宋体" w:cs="宋体"/>
                <w:i w:val="0"/>
                <w:iCs w:val="0"/>
                <w:color w:val="auto"/>
                <w:sz w:val="20"/>
                <w:szCs w:val="20"/>
                <w:highlight w:val="none"/>
                <w:u w:val="none"/>
                <w:lang w:val="en-US"/>
              </w:rPr>
            </w:pPr>
            <w:r>
              <w:rPr>
                <w:rFonts w:hint="eastAsia" w:ascii="宋体" w:hAnsi="宋体" w:eastAsia="宋体" w:cs="宋体"/>
                <w:i w:val="0"/>
                <w:iCs w:val="0"/>
                <w:snapToGrid w:val="0"/>
                <w:color w:val="auto"/>
                <w:kern w:val="0"/>
                <w:sz w:val="20"/>
                <w:szCs w:val="20"/>
                <w:highlight w:val="none"/>
                <w:u w:val="none"/>
                <w:lang w:val="en-US" w:eastAsia="zh-CN" w:bidi="ar"/>
              </w:rPr>
              <w:t>水锤仿真系统硬件</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517A9373">
            <w:pPr>
              <w:jc w:val="left"/>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BAE6FE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777F80A">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9A1964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F22500F">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D2EF729">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ED758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4CD4B8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05CB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4"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2C7F9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C54CE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高频压力传感器</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025B426A">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每秒采样不低于256次，1.6MPa，具体要求如下：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1)工作温度：-30℃～70℃；</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2)压力监测采集频率≥300Hz，以满足分析需求；</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3)量程：-0.1-1.6Mpa(以实际节点压力为准)，同时需满足-2m的监测要求；</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4)精度：0.2%FS；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5)响应时间：≤2ms；</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6)输出信号：4～20mA；</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7)形式：接触测量，整体式结构；</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8)稳定性；十二个月 0.1%；</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9)防护等级：IP68，包括传感器电缆接头</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10)供电电压：24V DC(9-36V DC)。</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0E933F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76E37ACC">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0D376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99A6B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6BF1E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40093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BF4831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F162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5"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77C74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7F66A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水位计</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361B0763">
            <w:pPr>
              <w:keepNext w:val="0"/>
              <w:keepLines w:val="0"/>
              <w:widowControl/>
              <w:suppressLineNumbers w:val="0"/>
              <w:jc w:val="left"/>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调压井、支洞水位监测，具体要求如下：</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1)量程：0-15m(暂定，具体要求联络会确定)</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2)水位计采用压阻式。</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3)水位计的水位测量精度不低于0.1%。</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4)水位计连接电缆采用双绞线带气管防水专用电缆。</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5)水位计安装用钢管和安装附件由承包人提供。</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6)如果水位计离主机柜距离较远，应设置水位计接线盒，接线盒及安装附件也由承包人提供。</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7)工作方式：二线制，24VDC；</w:t>
            </w:r>
            <w:r>
              <w:rPr>
                <w:rFonts w:hint="eastAsia" w:ascii="宋体" w:hAnsi="宋体" w:eastAsia="宋体" w:cs="宋体"/>
                <w:i w:val="0"/>
                <w:iCs w:val="0"/>
                <w:snapToGrid w:val="0"/>
                <w:color w:val="auto"/>
                <w:kern w:val="0"/>
                <w:sz w:val="20"/>
                <w:szCs w:val="20"/>
                <w:highlight w:val="none"/>
                <w:u w:val="none"/>
                <w:lang w:val="en-US" w:eastAsia="zh-CN" w:bidi="ar"/>
              </w:rPr>
              <w:br w:type="textWrapping"/>
            </w:r>
            <w:r>
              <w:rPr>
                <w:rFonts w:hint="eastAsia" w:ascii="宋体" w:hAnsi="宋体" w:eastAsia="宋体" w:cs="宋体"/>
                <w:i w:val="0"/>
                <w:iCs w:val="0"/>
                <w:snapToGrid w:val="0"/>
                <w:color w:val="auto"/>
                <w:kern w:val="0"/>
                <w:sz w:val="20"/>
                <w:szCs w:val="20"/>
                <w:highlight w:val="none"/>
                <w:u w:val="none"/>
                <w:lang w:val="en-US" w:eastAsia="zh-CN" w:bidi="ar"/>
              </w:rPr>
              <w:t>8)信号输出：4~20mA输出</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CB44A6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7749AF3A">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C7F94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F92D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19C42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C14D7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8511EA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0A7C0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6"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6E855F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505557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水锤仿真系统其他硬件</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6563C26E">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包括但不限于以下硬件：</w:t>
            </w:r>
          </w:p>
          <w:p w14:paraId="55D22D3F">
            <w:pPr>
              <w:keepNext w:val="0"/>
              <w:keepLines w:val="0"/>
              <w:widowControl/>
              <w:suppressLineNumbers w:val="0"/>
              <w:jc w:val="left"/>
              <w:textAlignment w:val="center"/>
              <w:rPr>
                <w:rFonts w:hint="eastAsia"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水锤仿真系统的测点位于沿线的7个检修阀井和5个空气阀井内。其中5个空气阀井不供电，需要各配置1套太阳能蓄能装置。所有各阀室均需配置一套RTU装置，涵盖采集、存储、计算、传输功能，系统所需电缆，网线，上述硬件设施均包含在本标段供货范围内。</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232D5E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5BB22935">
            <w:pPr>
              <w:jc w:val="left"/>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48B04A0">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项</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4850DDC">
            <w:pPr>
              <w:keepNext w:val="0"/>
              <w:keepLines w:val="0"/>
              <w:widowControl/>
              <w:suppressLineNumbers w:val="0"/>
              <w:jc w:val="center"/>
              <w:textAlignment w:val="center"/>
              <w:rPr>
                <w:rFonts w:hint="default" w:ascii="宋体" w:hAnsi="宋体" w:eastAsia="宋体" w:cs="宋体"/>
                <w:i w:val="0"/>
                <w:iCs w:val="0"/>
                <w:snapToGrid w:val="0"/>
                <w:color w:val="auto"/>
                <w:kern w:val="0"/>
                <w:sz w:val="20"/>
                <w:szCs w:val="20"/>
                <w:highlight w:val="none"/>
                <w:u w:val="none"/>
                <w:lang w:val="en-US" w:eastAsia="zh-CN" w:bidi="ar"/>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E1A38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91351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B00A07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5F298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58BBC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五</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43A02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电动双梁桥式起重机</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8FC6F37">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CE3A10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899948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268740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AB8DAEB">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5ACD69F">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39BCD6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64ABEE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D265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84CA0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F3005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双梁桥式起重机</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681419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25/5t，Lk=9.6m</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D22B07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101E885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FDBF3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290B5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F853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E4B08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4B7ABA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EB3F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6760E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27884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双梁桥式起重机</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FBAFF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10t，Lk=9.6m</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03AD00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1276F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9E0FD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FD644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6CA34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587F8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07DA1E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67CBD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D8F47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六</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E667F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0CE234B">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488A79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548D3D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5909FB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CCC96E">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1321E5E">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F0B16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086829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0234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83AC6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(一)</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B1CB0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超声波流量计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9BA7A69">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7D4062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32522E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9D66C5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D741452">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B80C2C3">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0ABDB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31A8F7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968D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2"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EF246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8C774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超声波流量计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A3561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交叉5声道，PN16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6F0011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068FCE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1524E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853FF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1850B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0D318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A7A532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A15E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8F256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(二)</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3AA0B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4D641A7">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E93F0A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11F609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8A6FBB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13346B1">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6728BFF">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CB1AA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0B4730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F241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2CFB2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1F1DC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5B8B73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2263B7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E0FDA9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9C225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4718E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DD283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2407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0C37CA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A716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48D76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57477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743D0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EB0AAC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D1BE5D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81553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36E1F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A376D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90D39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CB2065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DF1B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4B361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803C7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7F55D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AF1910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496A36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69D0E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02AE9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9048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96807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E1C5B8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33086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BAD25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13F03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61E13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4200C2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73652E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BC0CE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76966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C93D3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23FEB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68887A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1B20C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9941B2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E96CC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11D37B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E34634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4058F1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E0EF4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18387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201B3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DBE5F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4406C7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35F2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1EDA7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CDD2B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78C7F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611CF4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660B60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C722C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FFCB9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36139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9AE2C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B3A1D9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8E5B6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94F6D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2BE8A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2B4C0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DEBEE5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E8A1EA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7DC66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B35A6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0C815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B3488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456D2D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A8335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C5A0D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169B5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电磁流量计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351452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9DE808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1B49D5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F8F87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EA118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EC2E8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10D01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888E84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721CA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5B256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七</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7A132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水泵及渗漏排水系统</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9ADBE1F">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8E856A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63EC5B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FF03A9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AFD1F5B">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CB5BA73">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CEA27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FA2BF9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B007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75D6B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05AD65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立式离心泵（含电机）</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02D760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1000m³/h，H=30m，132kW</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58DD63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183EEE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D890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EC58E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13A0A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AB878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B3E0B5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F0335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ECAFE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BA7F8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E41D4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100m³/h，20m，15kw</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7C4FB0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916272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6BD07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F5414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DDE93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36A41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F06845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A514C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FC1CD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CF832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C8885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10m3/h,15m,1.5kW，移动式，橡胶软管连接</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F4B0D5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9F78AA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32042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EB851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3EB5F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431EE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E5518C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45BE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73743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C420C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CFA2C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200m³/h，H=15m</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A4C607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2E403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F0385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8ADBC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F4DD6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F6892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7D3705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BBB9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FC7EC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6C319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7CE70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200m³/h，H=20m</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277259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C70038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28F2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C06B7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F4E7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B1B5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004DC7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036D9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34D67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AA83D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81874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250m³/h，H=10m</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F04FB8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26465D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65764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E70C3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CE712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A9FD3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8B792E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1D91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728AA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AB367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41837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5m³/h，20m，0.75kw</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30FF06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BB54F9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18E1F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7E8FF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BC303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5E8EC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F8FEF9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D314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8BE877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14C51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潜水排污泵</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698EF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80m³/h，H=15m</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B6CE7C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5C3F8F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B09FD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A61A3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35D18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B96B08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F784A1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CC2F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09B10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B9CA2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8614C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Y-150，1.6MPa</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6460A8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76E037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4FF06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19BD3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D69F9E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2A322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AFCBC7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C39A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38238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42038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1CA10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2D780C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E2886A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1E2E9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BDE35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28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1B936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346DF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535D00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DDBC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6C1485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01F38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8A4A6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34B19F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FB0B00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85A13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6EA315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50255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C45C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6DF087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1ABB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85AAC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BA811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压力表</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24A92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Y-100,0~25mH2O,1.6级,带可排气表阀</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D902E6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D0E98A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A1D41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808FE3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ACAFC1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D6548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4268BE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9B94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68C8C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43A0A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压力传感器(带数显)</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0B5C2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1.6MPa</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2A425B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3606CF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BBA05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B6A7F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43BEF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EA0AB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F9C929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BE3D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7DC60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BB254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异径三通</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5B66A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DN65×65×50,90TR,镀锌</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90A699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36082D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D9097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B7D0E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52F68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9C72C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3FC008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60DB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F80BC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3A883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异径三通</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93FB8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DN80×50×50,90TR,镀锌</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106021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4C7342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DD875E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800A8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991B2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48B3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A36591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B41D5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8D9D0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3F522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直角弯头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85D60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1500×1000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F971DE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46B97C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8B76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B88D2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6E63F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AB552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012462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37AAB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40AB8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C6917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SDS射流风机</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EF358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40000m³/h，300Pa</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5D35D9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7D3F1A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F53BE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F5875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E63B3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9B8E7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F50A80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016AB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ECBA1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4B452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变径管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85B28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DN1400/DN1300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6633FA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2539E9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611F2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0428B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92974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E51B2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0537C1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8E50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A7867D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A8341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变径管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921EE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1500×1000/1240×1420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C6153D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CCFF1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0683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408B6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310CB0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328CF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2906B7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10D97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90879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53032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变径三通</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6949B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DN40-40-50，PN6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2F563A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348398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484BE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52DC5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43011F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E6050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D6FDC1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5C457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CEDB4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370CE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除湿机</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5B424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60L/d</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248795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AAE7C4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CEB3E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9E614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DC931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DEEBF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364A03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29F06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9BC05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BD22F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大小头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594B9A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65A011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AF9E33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9156F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C25F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F5336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6B3B1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7F21A6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BDEC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25D03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526C7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大小头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4A981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DN400/DN350，PN16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832764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A343A7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638C2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6DFE8B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594C2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A66EA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FE4072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A7B8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0FD23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6B5D0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等径三通</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7D444A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59B337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F4FEB7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5BDE3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E4AF4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C116C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D8088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96ACB9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D361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4AD406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1BB76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风管支架</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5663D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各类角钢、型钢</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2AD82B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901973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9438E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t</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28DAE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2.50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FDCB9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ABE51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BE9FFC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E7C1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3970E9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6D449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风机吊架</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A8B69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各类角钢、型钢</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41D1E6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FE2AE3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2579B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t</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D61F5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C01E4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64780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DC3CBC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F526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4CC65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41A17F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管夹、支架</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99ED1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各类角钢、型钢</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260F92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423985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B4D9D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kg</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925D2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6D4DA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0E7D9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7A466C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56C9D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E584A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F3F35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活接头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83107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F854DD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C1C830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6C2C0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FD894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1C13C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F7818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D76AD0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05B4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FDE91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EAC6C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活接头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C6B53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4809C6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6DC766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C4503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2CF8A9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45A6B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B9B8D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996377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EBF0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DA4ED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74577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矩形百叶风口</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D28A9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1200×2000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DC16B5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1CDCCA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287C3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6DD1E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6B4F78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4F220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2D6E3A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38FB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617BD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EFFDA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天圆地方</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34092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φ660/500×1000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C5CA0B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E872D1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AC972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76405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284D758">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CEB2833">
            <w:pPr>
              <w:jc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A6BECB7">
            <w:pPr>
              <w:jc w:val="center"/>
              <w:rPr>
                <w:rFonts w:hint="eastAsia" w:ascii="宋体" w:hAnsi="宋体" w:eastAsia="宋体" w:cs="宋体"/>
                <w:i w:val="0"/>
                <w:iCs w:val="0"/>
                <w:color w:val="auto"/>
                <w:sz w:val="20"/>
                <w:szCs w:val="20"/>
                <w:highlight w:val="none"/>
                <w:u w:val="none"/>
              </w:rPr>
            </w:pPr>
          </w:p>
        </w:tc>
      </w:tr>
      <w:tr w14:paraId="7E57B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4761A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4213D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矩形百叶风口</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531117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700×800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479321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0AA7BA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164D8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2EC2D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6A29E43">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0B3372">
            <w:pPr>
              <w:jc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A57A090">
            <w:pPr>
              <w:jc w:val="center"/>
              <w:rPr>
                <w:rFonts w:hint="eastAsia" w:ascii="宋体" w:hAnsi="宋体" w:eastAsia="宋体" w:cs="宋体"/>
                <w:i w:val="0"/>
                <w:iCs w:val="0"/>
                <w:color w:val="auto"/>
                <w:sz w:val="20"/>
                <w:szCs w:val="20"/>
                <w:highlight w:val="none"/>
                <w:u w:val="none"/>
              </w:rPr>
            </w:pPr>
          </w:p>
        </w:tc>
      </w:tr>
      <w:tr w14:paraId="23272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C3141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C0F9A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矩形风管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33363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500×1000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A18FF2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40121D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19A927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281E0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77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9CC39C5">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BC262FB">
            <w:pPr>
              <w:jc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53A9323">
            <w:pPr>
              <w:jc w:val="center"/>
              <w:rPr>
                <w:rFonts w:hint="eastAsia" w:ascii="宋体" w:hAnsi="宋体" w:eastAsia="宋体" w:cs="宋体"/>
                <w:i w:val="0"/>
                <w:iCs w:val="0"/>
                <w:color w:val="auto"/>
                <w:sz w:val="20"/>
                <w:szCs w:val="20"/>
                <w:highlight w:val="none"/>
                <w:u w:val="none"/>
              </w:rPr>
            </w:pPr>
          </w:p>
        </w:tc>
      </w:tr>
      <w:tr w14:paraId="729BD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288A3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FE756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90°弯头风管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C1476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500×1000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DDDA4C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B3DAF0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BD73E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7D1C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05AFEA5">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CCA0346">
            <w:pPr>
              <w:jc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63747B1">
            <w:pPr>
              <w:jc w:val="center"/>
              <w:rPr>
                <w:rFonts w:hint="eastAsia" w:ascii="宋体" w:hAnsi="宋体" w:eastAsia="宋体" w:cs="宋体"/>
                <w:i w:val="0"/>
                <w:iCs w:val="0"/>
                <w:color w:val="auto"/>
                <w:sz w:val="20"/>
                <w:szCs w:val="20"/>
                <w:highlight w:val="none"/>
                <w:u w:val="none"/>
              </w:rPr>
            </w:pPr>
          </w:p>
        </w:tc>
      </w:tr>
      <w:tr w14:paraId="0B8E2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4E672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48E5C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防火柔性连接管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9995F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φ660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91B52D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2D8CB8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1385C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0B83A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A70B54C">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F4C42F">
            <w:pPr>
              <w:jc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0C2049F">
            <w:pPr>
              <w:jc w:val="center"/>
              <w:rPr>
                <w:rFonts w:hint="eastAsia" w:ascii="宋体" w:hAnsi="宋体" w:eastAsia="宋体" w:cs="宋体"/>
                <w:i w:val="0"/>
                <w:iCs w:val="0"/>
                <w:color w:val="auto"/>
                <w:sz w:val="20"/>
                <w:szCs w:val="20"/>
                <w:highlight w:val="none"/>
                <w:u w:val="none"/>
              </w:rPr>
            </w:pPr>
          </w:p>
        </w:tc>
      </w:tr>
      <w:tr w14:paraId="624E4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6B93D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A8517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矩形风管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89BE0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1500×1000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DE3D52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74095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AC348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6812D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310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A8B16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BBC30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EDDBB4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3475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B9D946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5AAB5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离心风机</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9045E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40000m³/h，300Pa</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8599A0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0207E0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F1FCE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9C686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680AE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A0EF0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B77A5E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AC51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2E783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56566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斜流风机</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59567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12400m³/h，300Pa</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93E781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1DA7E8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D913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FDCF4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9959E87">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C7703BF">
            <w:pPr>
              <w:jc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038FECA">
            <w:pPr>
              <w:jc w:val="center"/>
              <w:rPr>
                <w:rFonts w:hint="eastAsia" w:ascii="宋体" w:hAnsi="宋体" w:eastAsia="宋体" w:cs="宋体"/>
                <w:i w:val="0"/>
                <w:iCs w:val="0"/>
                <w:color w:val="auto"/>
                <w:sz w:val="20"/>
                <w:szCs w:val="20"/>
                <w:highlight w:val="none"/>
                <w:u w:val="none"/>
              </w:rPr>
            </w:pPr>
          </w:p>
        </w:tc>
      </w:tr>
      <w:tr w14:paraId="6A319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2BC6E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6E95F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软管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7714B9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E36C5B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6A8886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1432C7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71F12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5741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1CFBA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B92ADB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B42BA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94C6C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9547E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软管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187C3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FA4EE6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122350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1033E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F3C55E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95E85D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2AA48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EEF39A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0503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92BDE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B87EA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077AE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F4A620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863A88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97925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B4ABC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AC1F8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2281D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E471C9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EBF3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4E7DA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A1E33B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9FA9CB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3DD149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FF51C2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A3490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D9B3B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3149F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1904F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5D284B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2846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18ABBC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A517E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FD71D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822C8C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70C53D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4FF1EA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E5F75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86D88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ADB94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FCF33F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C59D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6681D8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309CA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FE0CA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0EE2B7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72E63B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C970B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456104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48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BE3A2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42EC6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6D7AA5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942D5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B2325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8B3B5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340D22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AF835F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F7768D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0836A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3AF28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F7FFC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B03A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DC3DD9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C322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2510E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989A6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16184E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9D0E4F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5246AB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AD91D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762B8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09C08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0457B7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394F235">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AB6B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33247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0EF8C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8B2A9E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3E7334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4BD629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473D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D6F20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55EE86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B7CBA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FD3C65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1CC82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7FBC8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D380C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55512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EF4C63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ADD50E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FEDBB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1EBD6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33A7B0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A37B6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953DEB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31A4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4B52F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B4326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78EE45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DN65,90ES,镀锌</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538BDE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C2605C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781758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C8C23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48564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2789B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2BB4F1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8DAA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3536F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56912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90°弯头</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A6AC2B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DN50,90ELR,镀锌</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79BB1E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2658D6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53209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B906D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D9A51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D859D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CE6100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7648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ECDF47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9DF2B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不锈钢无缝管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AD0EA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φ219×5</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244627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CDB795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B6D284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5036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855C83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57D4F2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86C135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377D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97871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E179F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5034D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B91335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29E7C3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EEF46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4CF59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EC6C5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38115F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CCE664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CAC1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4ED0AF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13012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59408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70F24A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257519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776BB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9E7F7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17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547998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535A8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EDB69F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8DDB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674534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1CEA2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FB34B1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F5B132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58175E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2BDBEC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158BF3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147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F853F7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F9C6B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40F5FC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720A3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939A0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9C98F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3D562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77941D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736816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D4647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535CD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28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8E1FA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0701C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283984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0DA96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F8E54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252023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31408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6CB6DA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68FE74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3CF08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98616A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7D180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379CC9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BFCB21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9A0C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ADF42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5D4D6A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42DA0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59CB18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0E2806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821F90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4381C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80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ACF7B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EA9A8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0F8D72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8C65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7EF29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DCC8F2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BC7E3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18AAE0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A8AE8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79AE7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BCD9D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620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39ECB5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32170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898049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7251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EF1AA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91F97A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镀锌焊接钢管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80425B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DN50(φ60.3×3.8)</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C55681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43E4A2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71BC9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B4908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055E1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A634B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8F099E9">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EE94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C73CF0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71C937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镀锌焊接钢管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18A29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DN65(φ76.1×4.0)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8F4858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B19C5F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76A4E1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B64CD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27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E9E5B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73E5D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7D2D53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5D36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D15820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C6AF0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镀锌焊接钢管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FED7E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DN80(φ87.6×4.0)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367E37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B5CCFB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D26781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B686DD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320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9CA48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91F602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3C8717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2FE0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B31711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FE328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钢管检修进人孔</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310112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φ800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9FA9FA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DD363C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285E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A1ED1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716AF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A6962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3C89AC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5CF7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F924E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A5D34E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气体成分监测仪</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DD445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CO2、SO2、H2S等</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8A7648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297078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1E8B4C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套</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541AC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A8E33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19E92E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6148DB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DAB49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97BCB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91780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橡胶软管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2747D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907F25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3D2FB1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0EF36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697DF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2A274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0CDEA5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A3D791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73964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96C868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97272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橡胶软管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21CCF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3AD879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3FD444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47D7C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9774FD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4B80F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1EE2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F5D9C5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CCC1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69B8D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BB67D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橡胶软管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993352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47A94D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17F1D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EE2FB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m</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AD9DFB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18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FA971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C0E77C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85FD5D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B998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373C0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八</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A555B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其他</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6DD5DC2">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8F1623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ED3118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BF70C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356594">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A615C7B">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765F2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568906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1E2A1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7129B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C8312A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B2DA6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DN2600，PN16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318B79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F5375F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215EF6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B8919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01694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C2D06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60B688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4CFA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D9BE0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063B2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BD61E3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3C80DA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1BBD71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50A3B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2130B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C08ED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98E25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CEB985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C1FE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16180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8F79D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8EB08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711502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C5C16C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A8AF6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10E9B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018D1E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096FC4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968478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CAD4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B65183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E2580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11587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60EAD0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C582D1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234B2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55714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C864A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EE079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B9D7BE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5F550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1FB27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68BFA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2E29D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0F9529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A3D942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2EEB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26FBA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EAAA52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B682C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C00E2A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92BD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9D34D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41A0F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05F8AA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493E4F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6E1DD9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8BA36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3EC5A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F87A8A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F6C361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264256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4C64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F4ECC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094AD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2D868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38E36D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498ED0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05422D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6D9F5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8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DE61A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072C7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B6D323F">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D1879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9753A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664416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600C6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A59509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5AA2D2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DDDD35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73508A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17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DA437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32472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B3DD7A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EF9B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19804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8B67A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5EC6A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DEAD91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1CA1B3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104835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A48373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93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3E630B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31594F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99808E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5874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230987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FFF0D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DCDB4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96155E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A82E24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07AC06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23FAC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251EFD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7E053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3B0CDC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D46E4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2C5FC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4EDD54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61D5A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E5C84F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D85FD7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99BAA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8D1DF5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D97AD4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2782E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87611B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65125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19EB61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39661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钢制法兰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1F5B0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D66797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25253C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55DB1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片</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C1FF7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01F319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06E84E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5EA3C6A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4D36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608BD5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9D934F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DF5FC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PL，RF，DN1800，PN16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D94200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8EB5CA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CEA94B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AE177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7B7EF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78E59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309B71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D1ED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9B699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6EFBF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ECF72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PL，RF，DN500，PN16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F2E721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A86E1A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46E149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3DBC8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0B64C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F2883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1D4064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DD18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000611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F5942E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F4F83D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A2DA0B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F9B3C1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C99AF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45DDA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78DD9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022AF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6C2CE9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60C604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FDB11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E60C6E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AD00CF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PL，RF，DN150，PN16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714D1D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BB7CC0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356B2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524C3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1A1BD5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C770A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737018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C98FA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471636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2989A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7CAA1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PL，RF，DN125，PN16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F9C9F8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F7BA18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1401EC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3666E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9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412AD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EEE839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4CE01B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FA6F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950997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18</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350DB6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5992DE7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PL，RF，DN40，PN6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0FACA4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2B22A53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046A8D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1CF58D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40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34350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28A0394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7E5F61B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9258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7F2205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19</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1E47FDD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突面板式平焊法兰</w:t>
            </w:r>
          </w:p>
        </w:tc>
        <w:tc>
          <w:tcPr>
            <w:tcW w:w="1667" w:type="pct"/>
            <w:tcBorders>
              <w:top w:val="single" w:color="000000" w:sz="4" w:space="0"/>
              <w:left w:val="single" w:color="000000" w:sz="4" w:space="0"/>
              <w:bottom w:val="single" w:color="000000" w:sz="4" w:space="0"/>
              <w:right w:val="single" w:color="000000" w:sz="4" w:space="0"/>
            </w:tcBorders>
            <w:noWrap w:val="0"/>
            <w:vAlign w:val="center"/>
          </w:tcPr>
          <w:p w14:paraId="1429124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PL，RF，DN50，PN6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716D9B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65EBB27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42DAAEB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0"/>
            <w:vAlign w:val="center"/>
          </w:tcPr>
          <w:p w14:paraId="3B3C1E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18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3D7C5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0"/>
            <w:vAlign w:val="center"/>
          </w:tcPr>
          <w:p w14:paraId="55982B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0"/>
            <w:vAlign w:val="center"/>
          </w:tcPr>
          <w:p w14:paraId="592B435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2F744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582413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06EBA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7F44D4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DN2600，PN16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391560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B8425C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B8053F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5BC4D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6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FFC9C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6FD9D6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BB7497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DDA0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201FF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DAA304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E8B2D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DN1800，PN16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D6C72C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B84BEE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31E99C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64E3B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7B65E7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DE4DF8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02BC20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0CB59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9E2782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FAC933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879273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0CB84DD">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F8552C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87548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FDF18F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9CE5F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B2BD40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C93147E">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C8EB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0D64A2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CA500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1FF9CE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1F0843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32A9D8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2A381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37051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8AA693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30656F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CD85B47">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C405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AA56F4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0E3E50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952B1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DN700，PN16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084FD7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3914D1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D6C663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DEF50B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E923E0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7CFA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E0B61E8">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CC136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5557FA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7704A1B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380B52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7B9018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699D88C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7AE64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21AD2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FB4DF1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AE627E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9AE73D1">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E040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6F2DD8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0C0B6F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454CEA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7680D1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E96F94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E1F542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073138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3F23EE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C0525F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9EA9EE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53E4C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14EEA5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5192B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CE2C2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DN300，PN16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C3055C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860433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589822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6A407D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5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57450B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58125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FDA52C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0A1A6A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F7645A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50D49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5744B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DN250，PN16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3724334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ADBFA0E">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EFD38C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E7E71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18D97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310D9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BB5859D">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C598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CD7E1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29</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45AB27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746036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DN125，PN16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830993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C28BC1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7A6FCC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C3AF6C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2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B17639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128390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8E767CC">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F9AB0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E6C7E8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30</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19934FE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侧开式圆形拍门</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CD2498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DN900，PN6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AA168C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43DC80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4A900D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6D489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89542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C6CEB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47618B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70BACB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EDE6EE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31</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EA8D24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侧开式圆形拍门</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2436E23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98EE882">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3387DC4">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E6B59F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385E3A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8F277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2D55E17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C2CA2B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5CD7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65D39DD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32</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5A4E288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密封进人孔(钢盖板)</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9A2001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6678753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AC2594B">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E96E9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2C4E99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569B21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1E75B0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7F3FF36">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783A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44B5E07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33</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4E1E26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密封进人孔(钢盖板)</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0E72ED5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1744CC4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9957F5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38B63D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A9785B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4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7F402D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17519C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2FE6BF9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DF731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BEBCC1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34</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C30B8B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十字伸缩滤管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105E81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541C5798">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7E76CA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24E09D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36148F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CE1134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ECEA088">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55DD61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4D352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7B6530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35</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211C3C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十字伸缩滤管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3C3D643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DN1000，PN16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7B0EE3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B783CEA">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A2F80C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AA72B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6811945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D83125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7E03E06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37F90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0B1E44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36</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2D06221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十字伸缩滤管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1D04E6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DN400，PN16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7592D967">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028706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EEDA75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8535F6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23BBD03">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1C8CEA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08F3FC40">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085D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619879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37</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480A1D4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7F7B96DE">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DN900，PN6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4E3FC0FC">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149D10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7DC69C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3F184E1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6FDBB5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79CF600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4E50079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AEDF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1BAC22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38</w:t>
            </w: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34D65E31">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C2F钢制伸缩节</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40CE509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DN500，PN6</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19A8BC5">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6F6A8A0">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1A447AF5">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个</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48912DA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3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16C9370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2F2018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CB8126A">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472E3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29085AD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39</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2BCCF702">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电动葫芦(含配套轨道安装)</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67B40386">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10t</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D72B211">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24324E9">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063E36B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401491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ABACAFD">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3CF7F99">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32422AC4">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1F11B6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3E30EC64">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40</w:t>
            </w:r>
          </w:p>
        </w:tc>
        <w:tc>
          <w:tcPr>
            <w:tcW w:w="997" w:type="pct"/>
            <w:tcBorders>
              <w:top w:val="single" w:color="000000" w:sz="4" w:space="0"/>
              <w:left w:val="single" w:color="000000" w:sz="4" w:space="0"/>
              <w:bottom w:val="single" w:color="000000" w:sz="4" w:space="0"/>
              <w:right w:val="single" w:color="000000" w:sz="4" w:space="0"/>
            </w:tcBorders>
            <w:noWrap w:val="0"/>
            <w:vAlign w:val="center"/>
          </w:tcPr>
          <w:p w14:paraId="24A25730">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电动葫芦(含配套轨道安装)</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9D32AC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16t</w:t>
            </w: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0CD7E54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4FF7CC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FCD979A">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台</w:t>
            </w: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7B9ABE9C">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 xml:space="preserve">1 </w:t>
            </w: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3FBD89CF">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5E060027">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14D8A90B">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r w14:paraId="275BF3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 w:hRule="atLeast"/>
        </w:trPr>
        <w:tc>
          <w:tcPr>
            <w:tcW w:w="218" w:type="pct"/>
            <w:tcBorders>
              <w:top w:val="single" w:color="000000" w:sz="4" w:space="0"/>
              <w:left w:val="single" w:color="000000" w:sz="4" w:space="0"/>
              <w:bottom w:val="single" w:color="000000" w:sz="4" w:space="0"/>
              <w:right w:val="single" w:color="000000" w:sz="4" w:space="0"/>
            </w:tcBorders>
            <w:noWrap/>
            <w:vAlign w:val="center"/>
          </w:tcPr>
          <w:p w14:paraId="175E952A">
            <w:pPr>
              <w:jc w:val="center"/>
              <w:rPr>
                <w:rFonts w:hint="eastAsia" w:ascii="宋体" w:hAnsi="宋体" w:eastAsia="宋体" w:cs="宋体"/>
                <w:i w:val="0"/>
                <w:iCs w:val="0"/>
                <w:color w:val="auto"/>
                <w:sz w:val="20"/>
                <w:szCs w:val="20"/>
                <w:highlight w:val="none"/>
                <w:u w:val="none"/>
              </w:rPr>
            </w:pPr>
          </w:p>
        </w:tc>
        <w:tc>
          <w:tcPr>
            <w:tcW w:w="997" w:type="pct"/>
            <w:tcBorders>
              <w:top w:val="single" w:color="000000" w:sz="4" w:space="0"/>
              <w:left w:val="single" w:color="000000" w:sz="4" w:space="0"/>
              <w:bottom w:val="single" w:color="000000" w:sz="4" w:space="0"/>
              <w:right w:val="single" w:color="000000" w:sz="4" w:space="0"/>
            </w:tcBorders>
            <w:noWrap/>
            <w:vAlign w:val="center"/>
          </w:tcPr>
          <w:p w14:paraId="6D9A8A9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snapToGrid w:val="0"/>
                <w:color w:val="auto"/>
                <w:kern w:val="0"/>
                <w:sz w:val="20"/>
                <w:szCs w:val="20"/>
                <w:highlight w:val="none"/>
                <w:u w:val="none"/>
                <w:lang w:val="en-US" w:eastAsia="zh-CN" w:bidi="ar"/>
              </w:rPr>
              <w:t>报价合计</w:t>
            </w:r>
          </w:p>
        </w:tc>
        <w:tc>
          <w:tcPr>
            <w:tcW w:w="1667" w:type="pct"/>
            <w:tcBorders>
              <w:top w:val="single" w:color="000000" w:sz="4" w:space="0"/>
              <w:left w:val="single" w:color="000000" w:sz="4" w:space="0"/>
              <w:bottom w:val="single" w:color="000000" w:sz="4" w:space="0"/>
              <w:right w:val="single" w:color="000000" w:sz="4" w:space="0"/>
            </w:tcBorders>
            <w:noWrap/>
            <w:vAlign w:val="center"/>
          </w:tcPr>
          <w:p w14:paraId="50BD10A3">
            <w:pPr>
              <w:jc w:val="center"/>
              <w:rPr>
                <w:rFonts w:hint="eastAsia" w:ascii="宋体" w:hAnsi="宋体" w:eastAsia="宋体" w:cs="宋体"/>
                <w:i w:val="0"/>
                <w:iCs w:val="0"/>
                <w:color w:val="auto"/>
                <w:sz w:val="20"/>
                <w:szCs w:val="20"/>
                <w:highlight w:val="none"/>
                <w:u w:val="none"/>
              </w:rPr>
            </w:pPr>
          </w:p>
        </w:tc>
        <w:tc>
          <w:tcPr>
            <w:tcW w:w="350" w:type="pct"/>
            <w:tcBorders>
              <w:top w:val="single" w:color="000000" w:sz="4" w:space="0"/>
              <w:left w:val="single" w:color="000000" w:sz="4" w:space="0"/>
              <w:bottom w:val="single" w:color="000000" w:sz="4" w:space="0"/>
              <w:right w:val="single" w:color="000000" w:sz="4" w:space="0"/>
            </w:tcBorders>
            <w:noWrap/>
            <w:vAlign w:val="center"/>
          </w:tcPr>
          <w:p w14:paraId="237E3D66">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5487DC23">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FABBF2F">
            <w:pPr>
              <w:jc w:val="center"/>
              <w:rPr>
                <w:rFonts w:hint="eastAsia" w:ascii="宋体" w:hAnsi="宋体" w:eastAsia="宋体" w:cs="宋体"/>
                <w:i w:val="0"/>
                <w:iCs w:val="0"/>
                <w:color w:val="auto"/>
                <w:sz w:val="20"/>
                <w:szCs w:val="20"/>
                <w:highlight w:val="none"/>
                <w:u w:val="none"/>
              </w:rPr>
            </w:pPr>
          </w:p>
        </w:tc>
        <w:tc>
          <w:tcPr>
            <w:tcW w:w="219" w:type="pct"/>
            <w:tcBorders>
              <w:top w:val="single" w:color="000000" w:sz="4" w:space="0"/>
              <w:left w:val="single" w:color="000000" w:sz="4" w:space="0"/>
              <w:bottom w:val="single" w:color="000000" w:sz="4" w:space="0"/>
              <w:right w:val="single" w:color="000000" w:sz="4" w:space="0"/>
            </w:tcBorders>
            <w:noWrap/>
            <w:vAlign w:val="center"/>
          </w:tcPr>
          <w:p w14:paraId="26C24652">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06162C63">
            <w:pPr>
              <w:jc w:val="center"/>
              <w:rPr>
                <w:rFonts w:hint="eastAsia" w:ascii="宋体" w:hAnsi="宋体" w:eastAsia="宋体" w:cs="宋体"/>
                <w:i w:val="0"/>
                <w:iCs w:val="0"/>
                <w:color w:val="auto"/>
                <w:sz w:val="20"/>
                <w:szCs w:val="20"/>
                <w:highlight w:val="none"/>
                <w:u w:val="none"/>
              </w:rPr>
            </w:pPr>
          </w:p>
        </w:tc>
        <w:tc>
          <w:tcPr>
            <w:tcW w:w="370" w:type="pct"/>
            <w:tcBorders>
              <w:top w:val="single" w:color="000000" w:sz="4" w:space="0"/>
              <w:left w:val="single" w:color="000000" w:sz="4" w:space="0"/>
              <w:bottom w:val="single" w:color="000000" w:sz="4" w:space="0"/>
              <w:right w:val="single" w:color="000000" w:sz="4" w:space="0"/>
            </w:tcBorders>
            <w:noWrap/>
            <w:vAlign w:val="center"/>
          </w:tcPr>
          <w:p w14:paraId="456CF66B">
            <w:pPr>
              <w:keepNext w:val="0"/>
              <w:keepLines w:val="0"/>
              <w:widowControl/>
              <w:suppressLineNumbers w:val="0"/>
              <w:jc w:val="center"/>
              <w:textAlignment w:val="center"/>
              <w:rPr>
                <w:rFonts w:hint="eastAsia" w:ascii="宋体" w:hAnsi="宋体" w:eastAsia="宋体" w:cs="宋体"/>
                <w:i w:val="0"/>
                <w:iCs w:val="0"/>
                <w:color w:val="auto"/>
                <w:sz w:val="20"/>
                <w:szCs w:val="20"/>
                <w:highlight w:val="none"/>
                <w:u w:val="none"/>
              </w:rPr>
            </w:pPr>
          </w:p>
        </w:tc>
        <w:tc>
          <w:tcPr>
            <w:tcW w:w="369" w:type="pct"/>
            <w:tcBorders>
              <w:top w:val="single" w:color="000000" w:sz="4" w:space="0"/>
              <w:left w:val="single" w:color="000000" w:sz="4" w:space="0"/>
              <w:bottom w:val="single" w:color="000000" w:sz="4" w:space="0"/>
              <w:right w:val="single" w:color="000000" w:sz="4" w:space="0"/>
            </w:tcBorders>
            <w:noWrap/>
            <w:vAlign w:val="center"/>
          </w:tcPr>
          <w:p w14:paraId="6C191352">
            <w:pPr>
              <w:keepNext w:val="0"/>
              <w:keepLines w:val="0"/>
              <w:widowControl/>
              <w:suppressLineNumbers w:val="0"/>
              <w:jc w:val="center"/>
              <w:textAlignment w:val="center"/>
              <w:rPr>
                <w:rFonts w:hint="eastAsia" w:ascii="宋体" w:hAnsi="宋体" w:eastAsia="宋体" w:cs="宋体"/>
                <w:i w:val="0"/>
                <w:iCs w:val="0"/>
                <w:snapToGrid w:val="0"/>
                <w:color w:val="auto"/>
                <w:kern w:val="0"/>
                <w:sz w:val="20"/>
                <w:szCs w:val="20"/>
                <w:highlight w:val="none"/>
                <w:u w:val="none"/>
                <w:lang w:val="en-US" w:eastAsia="zh-CN" w:bidi="ar"/>
              </w:rPr>
            </w:pPr>
          </w:p>
        </w:tc>
      </w:tr>
    </w:tbl>
    <w:p w14:paraId="50001B22">
      <w:pPr>
        <w:keepNext w:val="0"/>
        <w:keepLines w:val="0"/>
        <w:pageBreakBefore w:val="0"/>
        <w:widowControl/>
        <w:kinsoku/>
        <w:wordWrap/>
        <w:overflowPunct/>
        <w:topLinePunct/>
        <w:autoSpaceDE w:val="0"/>
        <w:autoSpaceDN w:val="0"/>
        <w:bidi w:val="0"/>
        <w:adjustRightInd w:val="0"/>
        <w:snapToGrid w:val="0"/>
        <w:spacing w:line="360" w:lineRule="auto"/>
        <w:ind w:left="0" w:firstLine="482" w:firstLineChars="200"/>
        <w:jc w:val="both"/>
        <w:textAlignment w:val="baseline"/>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报价表说明</w:t>
      </w:r>
      <w:r>
        <w:rPr>
          <w:rFonts w:hint="eastAsia" w:ascii="宋体" w:hAnsi="宋体" w:eastAsia="宋体" w:cs="宋体"/>
          <w:b/>
          <w:bCs/>
          <w:color w:val="auto"/>
          <w:sz w:val="24"/>
          <w:szCs w:val="24"/>
          <w:highlight w:val="none"/>
          <w:lang w:eastAsia="zh-CN"/>
        </w:rPr>
        <w:t>：</w:t>
      </w:r>
    </w:p>
    <w:p w14:paraId="7147BBB8">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bidi="ar-SA"/>
        </w:rPr>
        <w:t xml:space="preserve">1. </w:t>
      </w:r>
      <w:r>
        <w:rPr>
          <w:rFonts w:hint="eastAsia" w:ascii="宋体" w:hAnsi="宋体" w:eastAsia="宋体" w:cs="宋体"/>
          <w:color w:val="auto"/>
          <w:sz w:val="24"/>
          <w:szCs w:val="24"/>
          <w:highlight w:val="none"/>
        </w:rPr>
        <w:t>报价表应与投标须知、合同条款、技术条款和图纸等招标文件一起参照阅读。</w:t>
      </w:r>
    </w:p>
    <w:p w14:paraId="5DC1EDE4">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bidi="ar-SA"/>
        </w:rPr>
        <w:t xml:space="preserve">2. </w:t>
      </w:r>
      <w:r>
        <w:rPr>
          <w:rFonts w:hint="eastAsia" w:ascii="宋体" w:hAnsi="宋体" w:eastAsia="宋体" w:cs="宋体"/>
          <w:color w:val="auto"/>
          <w:sz w:val="24"/>
          <w:szCs w:val="24"/>
          <w:highlight w:val="none"/>
          <w:lang w:val="en-US" w:eastAsia="zh-CN"/>
        </w:rPr>
        <w:t>以上综合单价、合价均为含税价。</w:t>
      </w:r>
    </w:p>
    <w:p w14:paraId="36EEF9CA">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bidi="ar-SA"/>
        </w:rPr>
        <w:t xml:space="preserve">3. </w:t>
      </w:r>
      <w:r>
        <w:rPr>
          <w:rFonts w:hint="eastAsia" w:ascii="宋体" w:hAnsi="宋体" w:eastAsia="宋体" w:cs="宋体"/>
          <w:color w:val="auto"/>
          <w:sz w:val="24"/>
          <w:szCs w:val="24"/>
          <w:highlight w:val="none"/>
          <w:lang w:val="en-US" w:eastAsia="zh-CN"/>
        </w:rPr>
        <w:t>投标总价合计为总价的合计，应与投标函的总价一致。</w:t>
      </w:r>
    </w:p>
    <w:p w14:paraId="2157758D">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bidi="ar-SA"/>
        </w:rPr>
        <w:t xml:space="preserve">4. </w:t>
      </w:r>
      <w:r>
        <w:rPr>
          <w:rFonts w:hint="eastAsia" w:ascii="宋体" w:hAnsi="宋体" w:eastAsia="宋体" w:cs="宋体"/>
          <w:color w:val="auto"/>
          <w:sz w:val="24"/>
          <w:szCs w:val="24"/>
          <w:highlight w:val="none"/>
          <w:lang w:val="en-US" w:eastAsia="zh-CN"/>
        </w:rPr>
        <w:t>如交货数量调整，综合单价不做调整。</w:t>
      </w:r>
    </w:p>
    <w:p w14:paraId="3EBAB500">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bidi="ar-SA"/>
        </w:rPr>
        <w:t xml:space="preserve">5. </w:t>
      </w:r>
      <w:r>
        <w:rPr>
          <w:rFonts w:hint="eastAsia" w:ascii="宋体" w:hAnsi="宋体" w:eastAsia="宋体" w:cs="宋体"/>
          <w:color w:val="auto"/>
          <w:sz w:val="24"/>
          <w:szCs w:val="24"/>
          <w:highlight w:val="none"/>
        </w:rPr>
        <w:t>按招标文件第五章招标内容表5-1《浙江镜岭水库工程阀门等</w:t>
      </w:r>
      <w:r>
        <w:rPr>
          <w:rFonts w:hint="eastAsia" w:ascii="宋体" w:hAnsi="宋体" w:eastAsia="宋体" w:cs="宋体"/>
          <w:color w:val="auto"/>
          <w:sz w:val="24"/>
          <w:szCs w:val="24"/>
          <w:highlight w:val="none"/>
          <w:lang w:eastAsia="zh-CN"/>
        </w:rPr>
        <w:t>设备</w:t>
      </w:r>
      <w:r>
        <w:rPr>
          <w:rFonts w:hint="eastAsia" w:ascii="宋体" w:hAnsi="宋体" w:eastAsia="宋体" w:cs="宋体"/>
          <w:color w:val="auto"/>
          <w:sz w:val="24"/>
          <w:szCs w:val="24"/>
          <w:highlight w:val="none"/>
        </w:rPr>
        <w:t>采购工程量清单》的具体内容进行填报采购工程量清单中的内容不得修改或增减，否则按否决投标处理。如投标人漏报或未填写等，均视为已在投标报价中综合考虑。</w:t>
      </w:r>
    </w:p>
    <w:p w14:paraId="12D482F6">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6. 本标需要提供调流阀在线监测，空气阀在线监测，水锤仿真系统完整的硬件系统（不含软件）。卖方应配齐除软件外的其他所有硬件设施,应配合后期系统软件承包商的相关工作，卖方应确保硬件、软件运行良好，相关费用（不含软件）包含在本标段相应项目报价中。</w:t>
      </w:r>
    </w:p>
    <w:p w14:paraId="6F95C47B">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bidi="ar-SA"/>
        </w:rPr>
        <w:t>7.</w:t>
      </w:r>
      <w:r>
        <w:rPr>
          <w:rFonts w:hint="eastAsia" w:ascii="宋体" w:hAnsi="宋体" w:eastAsia="宋体" w:cs="宋体"/>
          <w:color w:val="auto"/>
          <w:kern w:val="0"/>
          <w:sz w:val="24"/>
          <w:szCs w:val="24"/>
          <w:highlight w:val="none"/>
          <w:lang w:val="en-US" w:eastAsia="zh-CN"/>
        </w:rPr>
        <w:t xml:space="preserve"> 调节阀状态监测系统硬件、空气阀状态监测系统硬件、水锤仿真系统硬件等表中所有未注明品牌的设备，卖方在合同实施过程中应选用质量良好、市场占有率高、用户口碑好的品牌，并征得买方同意，如未能征得买方同意，买方有权拒收。</w:t>
      </w:r>
    </w:p>
    <w:p w14:paraId="2CF8F04B">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8. 对于招标文件中有推荐品牌的设备，投标人应在推荐的品牌或其他同等档次及以上品牌中选择，并在投标报价表中填报其选用的品牌，一种设备只能填写一个品牌。如投标人填报推荐范围以外的品牌,且不能证明填报的品牌相当于招标人推荐品牌或同等档次以上（设备的性能、技术标准、行业知名度均不低于现有推荐品牌），则招标人在发布中标通知书前有权要求投标人从推荐品牌中重新选择一个品牌，投标人应无条件服从，且不得以此为由要求增加费用，投标报价不调整。</w:t>
      </w:r>
    </w:p>
    <w:p w14:paraId="76074699">
      <w:pPr>
        <w:keepNext w:val="0"/>
        <w:keepLines w:val="0"/>
        <w:pageBreakBefore w:val="0"/>
        <w:widowControl/>
        <w:numPr>
          <w:ilvl w:val="0"/>
          <w:numId w:val="0"/>
        </w:numPr>
        <w:kinsoku/>
        <w:wordWrap/>
        <w:overflowPunct w:val="0"/>
        <w:topLinePunct/>
        <w:autoSpaceDE/>
        <w:autoSpaceDN/>
        <w:bidi w:val="0"/>
        <w:adjustRightInd/>
        <w:snapToGrid/>
        <w:spacing w:beforeLines="0" w:afterLines="0" w:line="360" w:lineRule="auto"/>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对己填报品牌的项目，在合同实施期间，卖方不得擅自更改合同文件中所采用的品牌，如确实需要变更，须经设计单位、监理单位审核，报买方批准。</w:t>
      </w:r>
    </w:p>
    <w:p w14:paraId="37428C42">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0" w:leftChars="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bidi="ar-SA"/>
        </w:rPr>
        <w:t xml:space="preserve">9. </w:t>
      </w:r>
      <w:r>
        <w:rPr>
          <w:rFonts w:hint="eastAsia" w:ascii="宋体" w:hAnsi="宋体" w:eastAsia="宋体" w:cs="宋体"/>
          <w:color w:val="auto"/>
          <w:sz w:val="24"/>
          <w:szCs w:val="24"/>
          <w:highlight w:val="none"/>
        </w:rPr>
        <w:t>《投标报价表》每页均需有投标人盖单位</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章及法定代表人或其委托代理人盖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章或签字。</w:t>
      </w:r>
    </w:p>
    <w:p w14:paraId="2E430B2D">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Chars="200"/>
        <w:jc w:val="both"/>
        <w:textAlignment w:val="baseline"/>
        <w:rPr>
          <w:rFonts w:hint="eastAsia" w:ascii="宋体" w:hAnsi="宋体" w:eastAsia="宋体" w:cs="宋体"/>
          <w:color w:val="auto"/>
          <w:sz w:val="24"/>
          <w:szCs w:val="24"/>
          <w:highlight w:val="none"/>
          <w:lang w:val="en-US" w:eastAsia="zh-CN"/>
        </w:rPr>
      </w:pPr>
    </w:p>
    <w:p w14:paraId="5E9DC3C2">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Chars="200"/>
        <w:jc w:val="both"/>
        <w:textAlignment w:val="baseline"/>
        <w:rPr>
          <w:rFonts w:hint="eastAsia" w:ascii="宋体" w:hAnsi="宋体" w:eastAsia="宋体" w:cs="宋体"/>
          <w:color w:val="auto"/>
          <w:sz w:val="24"/>
          <w:szCs w:val="24"/>
          <w:highlight w:val="none"/>
          <w:lang w:val="en-US" w:eastAsia="zh-CN"/>
        </w:rPr>
      </w:pPr>
    </w:p>
    <w:p w14:paraId="60C3C3EF">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投标人：（盖单位电子章）         法定代表人或其委托代理人：（盖电子章或签字）</w:t>
      </w:r>
    </w:p>
    <w:p w14:paraId="02C09203">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Chars="200"/>
        <w:jc w:val="both"/>
        <w:textAlignment w:val="baseline"/>
        <w:rPr>
          <w:rFonts w:hint="eastAsia" w:ascii="宋体" w:hAnsi="宋体" w:eastAsia="宋体" w:cs="宋体"/>
          <w:color w:val="auto"/>
          <w:sz w:val="24"/>
          <w:szCs w:val="24"/>
          <w:highlight w:val="none"/>
          <w:lang w:val="en-US" w:eastAsia="zh-CN"/>
        </w:rPr>
      </w:pPr>
    </w:p>
    <w:p w14:paraId="6EAD2CAC">
      <w:pPr>
        <w:keepNext w:val="0"/>
        <w:keepLines w:val="0"/>
        <w:pageBreakBefore w:val="0"/>
        <w:widowControl/>
        <w:numPr>
          <w:ilvl w:val="0"/>
          <w:numId w:val="0"/>
        </w:numPr>
        <w:kinsoku/>
        <w:wordWrap/>
        <w:overflowPunct/>
        <w:topLinePunct/>
        <w:autoSpaceDE w:val="0"/>
        <w:autoSpaceDN w:val="0"/>
        <w:bidi w:val="0"/>
        <w:adjustRightInd w:val="0"/>
        <w:snapToGrid w:val="0"/>
        <w:spacing w:line="360" w:lineRule="auto"/>
        <w:ind w:leftChars="200"/>
        <w:jc w:val="both"/>
        <w:textAlignment w:val="baseline"/>
        <w:rPr>
          <w:rFonts w:hint="eastAsia" w:ascii="宋体" w:hAnsi="宋体" w:eastAsia="宋体" w:cs="宋体"/>
          <w:color w:val="auto"/>
          <w:sz w:val="24"/>
          <w:szCs w:val="24"/>
          <w:highlight w:val="none"/>
          <w:lang w:val="en-US" w:eastAsia="zh-CN"/>
        </w:rPr>
      </w:pPr>
    </w:p>
    <w:p w14:paraId="6E3269FF">
      <w:pPr>
        <w:keepNext w:val="0"/>
        <w:keepLines w:val="0"/>
        <w:pageBreakBefore w:val="0"/>
        <w:widowControl/>
        <w:kinsoku/>
        <w:wordWrap/>
        <w:overflowPunct/>
        <w:topLinePunct/>
        <w:autoSpaceDE w:val="0"/>
        <w:autoSpaceDN w:val="0"/>
        <w:bidi w:val="0"/>
        <w:adjustRightInd w:val="0"/>
        <w:snapToGrid w:val="0"/>
        <w:spacing w:before="310" w:after="0" w:afterLines="120" w:line="360" w:lineRule="auto"/>
        <w:ind w:left="720"/>
        <w:jc w:val="both"/>
        <w:textAlignment w:val="baseline"/>
        <w:outlineLvl w:val="1"/>
        <w:rPr>
          <w:rFonts w:hint="eastAsia" w:ascii="宋体" w:hAnsi="宋体" w:eastAsia="宋体" w:cs="宋体"/>
          <w:color w:val="auto"/>
          <w:sz w:val="24"/>
          <w:szCs w:val="24"/>
          <w:highlight w:val="none"/>
        </w:rPr>
        <w:sectPr>
          <w:pgSz w:w="16840" w:h="11907" w:orient="landscape"/>
          <w:pgMar w:top="1474" w:right="1418" w:bottom="1559" w:left="1418" w:header="0" w:footer="723" w:gutter="0"/>
          <w:pgNumType w:fmt="decimal"/>
          <w:cols w:space="720" w:num="1"/>
        </w:sectPr>
      </w:pPr>
      <w:bookmarkStart w:id="1379" w:name="_bookmark19"/>
      <w:bookmarkEnd w:id="1379"/>
      <w:bookmarkStart w:id="1380" w:name="_Toc27941"/>
      <w:bookmarkStart w:id="1381" w:name="_Toc1748"/>
      <w:bookmarkStart w:id="1382" w:name="_Toc9027"/>
      <w:bookmarkStart w:id="1383" w:name="_Toc12781"/>
      <w:bookmarkStart w:id="1384" w:name="_Toc30940"/>
      <w:bookmarkStart w:id="1385" w:name="_Toc14111"/>
      <w:bookmarkStart w:id="1386" w:name="_Toc18562"/>
      <w:bookmarkStart w:id="1387" w:name="_Toc2507"/>
      <w:bookmarkStart w:id="1388" w:name="_Toc13812"/>
      <w:bookmarkStart w:id="1389" w:name="_Toc312"/>
      <w:bookmarkStart w:id="1390" w:name="_Toc27129"/>
      <w:bookmarkStart w:id="1391" w:name="_Toc6158"/>
      <w:bookmarkStart w:id="1392" w:name="_Toc10237"/>
      <w:bookmarkStart w:id="1393" w:name="_Toc26964"/>
      <w:bookmarkStart w:id="1394" w:name="_Toc14028"/>
      <w:bookmarkStart w:id="1395" w:name="_Toc30193"/>
      <w:bookmarkStart w:id="1396" w:name="_Toc12826"/>
    </w:p>
    <w:p w14:paraId="5208422A">
      <w:pPr>
        <w:spacing w:line="360" w:lineRule="auto"/>
        <w:outlineLvl w:val="1"/>
        <w:rPr>
          <w:rFonts w:hint="eastAsia" w:ascii="宋体" w:hAnsi="宋体" w:eastAsia="宋体" w:cs="宋体"/>
          <w:color w:val="auto"/>
          <w:sz w:val="24"/>
          <w:szCs w:val="24"/>
          <w:highlight w:val="none"/>
        </w:rPr>
      </w:pPr>
      <w:bookmarkStart w:id="1397" w:name="_Toc26735"/>
      <w:bookmarkStart w:id="1398" w:name="_Toc8305"/>
      <w:bookmarkStart w:id="1399" w:name="_Toc9142"/>
      <w:bookmarkStart w:id="1400" w:name="_Toc19576"/>
      <w:bookmarkStart w:id="1401" w:name="_Toc2907"/>
      <w:bookmarkStart w:id="1402" w:name="_Toc23075"/>
      <w:r>
        <w:rPr>
          <w:rFonts w:hint="eastAsia" w:ascii="宋体" w:hAnsi="宋体" w:eastAsia="宋体" w:cs="宋体"/>
          <w:color w:val="auto"/>
          <w:sz w:val="24"/>
          <w:szCs w:val="24"/>
          <w:highlight w:val="none"/>
        </w:rPr>
        <w:t>格式五：资料一览表</w:t>
      </w:r>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p>
    <w:p w14:paraId="2071FBEA">
      <w:pPr>
        <w:keepNext w:val="0"/>
        <w:keepLines w:val="0"/>
        <w:pageBreakBefore w:val="0"/>
        <w:widowControl/>
        <w:kinsoku/>
        <w:wordWrap/>
        <w:overflowPunct/>
        <w:topLinePunct/>
        <w:autoSpaceDE w:val="0"/>
        <w:autoSpaceDN w:val="0"/>
        <w:bidi w:val="0"/>
        <w:adjustRightInd w:val="0"/>
        <w:snapToGrid w:val="0"/>
        <w:spacing w:before="0" w:after="0" w:afterLines="0" w:line="360" w:lineRule="auto"/>
        <w:ind w:left="0"/>
        <w:jc w:val="center"/>
        <w:textAlignment w:val="baseline"/>
        <w:rPr>
          <w:rFonts w:hint="eastAsia" w:ascii="华文中宋" w:hAnsi="华文中宋" w:eastAsia="华文中宋" w:cs="华文中宋"/>
          <w:b/>
          <w:bCs/>
          <w:color w:val="auto"/>
          <w:kern w:val="2"/>
          <w:sz w:val="28"/>
          <w:szCs w:val="28"/>
          <w:highlight w:val="none"/>
        </w:rPr>
      </w:pPr>
      <w:r>
        <w:rPr>
          <w:rFonts w:hint="eastAsia" w:ascii="华文中宋" w:hAnsi="华文中宋" w:eastAsia="华文中宋" w:cs="华文中宋"/>
          <w:b/>
          <w:bCs/>
          <w:color w:val="auto"/>
          <w:kern w:val="2"/>
          <w:sz w:val="28"/>
          <w:szCs w:val="28"/>
          <w:highlight w:val="none"/>
        </w:rPr>
        <w:t>投标人提供的实质性响应招标文件资料一览表</w:t>
      </w:r>
    </w:p>
    <w:tbl>
      <w:tblPr>
        <w:tblStyle w:val="37"/>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13ED19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4BFFCE4B">
            <w:pPr>
              <w:kinsoku/>
              <w:topLinePunct/>
              <w:spacing w:before="272" w:line="360" w:lineRule="auto"/>
              <w:ind w:left="26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826" w:type="dxa"/>
            <w:noWrap w:val="0"/>
            <w:vAlign w:val="top"/>
          </w:tcPr>
          <w:p w14:paraId="3D7842E3">
            <w:pPr>
              <w:kinsoku/>
              <w:topLinePunct/>
              <w:spacing w:before="272" w:line="360" w:lineRule="auto"/>
              <w:ind w:left="144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资料名称</w:t>
            </w:r>
          </w:p>
        </w:tc>
        <w:tc>
          <w:tcPr>
            <w:tcW w:w="2408" w:type="dxa"/>
            <w:noWrap w:val="0"/>
            <w:vAlign w:val="top"/>
          </w:tcPr>
          <w:p w14:paraId="04ABE7BC">
            <w:pPr>
              <w:kinsoku/>
              <w:topLinePunct/>
              <w:spacing w:before="272" w:line="360" w:lineRule="auto"/>
              <w:ind w:left="91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共页</w:t>
            </w:r>
          </w:p>
        </w:tc>
        <w:tc>
          <w:tcPr>
            <w:tcW w:w="2130" w:type="dxa"/>
            <w:noWrap w:val="0"/>
            <w:vAlign w:val="top"/>
          </w:tcPr>
          <w:p w14:paraId="3348F9E4">
            <w:pPr>
              <w:kinsoku/>
              <w:topLinePunct/>
              <w:spacing w:before="272" w:line="360" w:lineRule="auto"/>
              <w:ind w:left="71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72543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6E60A900">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06247925">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158AFFD8">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3E0780CB">
            <w:pPr>
              <w:kinsoku/>
              <w:topLinePunct/>
              <w:spacing w:line="360" w:lineRule="auto"/>
              <w:jc w:val="both"/>
              <w:rPr>
                <w:rFonts w:hint="eastAsia" w:ascii="宋体" w:hAnsi="宋体" w:eastAsia="宋体" w:cs="宋体"/>
                <w:color w:val="auto"/>
                <w:sz w:val="24"/>
                <w:szCs w:val="24"/>
                <w:highlight w:val="none"/>
              </w:rPr>
            </w:pPr>
          </w:p>
        </w:tc>
      </w:tr>
      <w:tr w14:paraId="2B330A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2B089144">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4C94999D">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3F9D34A7">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2879EE56">
            <w:pPr>
              <w:kinsoku/>
              <w:topLinePunct/>
              <w:spacing w:line="360" w:lineRule="auto"/>
              <w:jc w:val="both"/>
              <w:rPr>
                <w:rFonts w:hint="eastAsia" w:ascii="宋体" w:hAnsi="宋体" w:eastAsia="宋体" w:cs="宋体"/>
                <w:color w:val="auto"/>
                <w:sz w:val="24"/>
                <w:szCs w:val="24"/>
                <w:highlight w:val="none"/>
              </w:rPr>
            </w:pPr>
          </w:p>
        </w:tc>
      </w:tr>
      <w:tr w14:paraId="20063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35323991">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3C926CBF">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302F84FB">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16A92F28">
            <w:pPr>
              <w:kinsoku/>
              <w:topLinePunct/>
              <w:spacing w:line="360" w:lineRule="auto"/>
              <w:jc w:val="both"/>
              <w:rPr>
                <w:rFonts w:hint="eastAsia" w:ascii="宋体" w:hAnsi="宋体" w:eastAsia="宋体" w:cs="宋体"/>
                <w:color w:val="auto"/>
                <w:sz w:val="24"/>
                <w:szCs w:val="24"/>
                <w:highlight w:val="none"/>
              </w:rPr>
            </w:pPr>
          </w:p>
        </w:tc>
      </w:tr>
      <w:tr w14:paraId="51534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2BA9A12E">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415311B2">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7614EF4A">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700E8E9B">
            <w:pPr>
              <w:kinsoku/>
              <w:topLinePunct/>
              <w:spacing w:line="360" w:lineRule="auto"/>
              <w:jc w:val="both"/>
              <w:rPr>
                <w:rFonts w:hint="eastAsia" w:ascii="宋体" w:hAnsi="宋体" w:eastAsia="宋体" w:cs="宋体"/>
                <w:color w:val="auto"/>
                <w:sz w:val="24"/>
                <w:szCs w:val="24"/>
                <w:highlight w:val="none"/>
              </w:rPr>
            </w:pPr>
          </w:p>
        </w:tc>
      </w:tr>
      <w:tr w14:paraId="219931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259D2ADB">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13AB84EA">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78010498">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4F962C41">
            <w:pPr>
              <w:kinsoku/>
              <w:topLinePunct/>
              <w:spacing w:line="360" w:lineRule="auto"/>
              <w:jc w:val="both"/>
              <w:rPr>
                <w:rFonts w:hint="eastAsia" w:ascii="宋体" w:hAnsi="宋体" w:eastAsia="宋体" w:cs="宋体"/>
                <w:color w:val="auto"/>
                <w:sz w:val="24"/>
                <w:szCs w:val="24"/>
                <w:highlight w:val="none"/>
              </w:rPr>
            </w:pPr>
          </w:p>
        </w:tc>
      </w:tr>
      <w:tr w14:paraId="4F6598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55BF5710">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3E5D7A08">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23D433EE">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5AB44558">
            <w:pPr>
              <w:kinsoku/>
              <w:topLinePunct/>
              <w:spacing w:line="360" w:lineRule="auto"/>
              <w:jc w:val="both"/>
              <w:rPr>
                <w:rFonts w:hint="eastAsia" w:ascii="宋体" w:hAnsi="宋体" w:eastAsia="宋体" w:cs="宋体"/>
                <w:color w:val="auto"/>
                <w:sz w:val="24"/>
                <w:szCs w:val="24"/>
                <w:highlight w:val="none"/>
              </w:rPr>
            </w:pPr>
          </w:p>
        </w:tc>
      </w:tr>
      <w:tr w14:paraId="62E255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2463535B">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4CE8A8AB">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31DAEF1A">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109488EA">
            <w:pPr>
              <w:kinsoku/>
              <w:topLinePunct/>
              <w:spacing w:line="360" w:lineRule="auto"/>
              <w:jc w:val="both"/>
              <w:rPr>
                <w:rFonts w:hint="eastAsia" w:ascii="宋体" w:hAnsi="宋体" w:eastAsia="宋体" w:cs="宋体"/>
                <w:color w:val="auto"/>
                <w:sz w:val="24"/>
                <w:szCs w:val="24"/>
                <w:highlight w:val="none"/>
              </w:rPr>
            </w:pPr>
          </w:p>
        </w:tc>
      </w:tr>
      <w:tr w14:paraId="3584F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noWrap w:val="0"/>
            <w:vAlign w:val="top"/>
          </w:tcPr>
          <w:p w14:paraId="6AD623AB">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3F08D30B">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2EA4D789">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12B6D11F">
            <w:pPr>
              <w:kinsoku/>
              <w:topLinePunct/>
              <w:spacing w:line="360" w:lineRule="auto"/>
              <w:jc w:val="both"/>
              <w:rPr>
                <w:rFonts w:hint="eastAsia" w:ascii="宋体" w:hAnsi="宋体" w:eastAsia="宋体" w:cs="宋体"/>
                <w:color w:val="auto"/>
                <w:sz w:val="24"/>
                <w:szCs w:val="24"/>
                <w:highlight w:val="none"/>
              </w:rPr>
            </w:pPr>
          </w:p>
        </w:tc>
      </w:tr>
      <w:tr w14:paraId="33246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55460A22">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272C5407">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7C119BA6">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31D3E9C9">
            <w:pPr>
              <w:kinsoku/>
              <w:topLinePunct/>
              <w:spacing w:line="360" w:lineRule="auto"/>
              <w:jc w:val="both"/>
              <w:rPr>
                <w:rFonts w:hint="eastAsia" w:ascii="宋体" w:hAnsi="宋体" w:eastAsia="宋体" w:cs="宋体"/>
                <w:color w:val="auto"/>
                <w:sz w:val="24"/>
                <w:szCs w:val="24"/>
                <w:highlight w:val="none"/>
              </w:rPr>
            </w:pPr>
          </w:p>
        </w:tc>
      </w:tr>
      <w:tr w14:paraId="5642D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noWrap w:val="0"/>
            <w:vAlign w:val="top"/>
          </w:tcPr>
          <w:p w14:paraId="10C4DC39">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66B83B4F">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1227EA89">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153E6A92">
            <w:pPr>
              <w:kinsoku/>
              <w:topLinePunct/>
              <w:spacing w:line="360" w:lineRule="auto"/>
              <w:jc w:val="both"/>
              <w:rPr>
                <w:rFonts w:hint="eastAsia" w:ascii="宋体" w:hAnsi="宋体" w:eastAsia="宋体" w:cs="宋体"/>
                <w:color w:val="auto"/>
                <w:sz w:val="24"/>
                <w:szCs w:val="24"/>
                <w:highlight w:val="none"/>
              </w:rPr>
            </w:pPr>
          </w:p>
        </w:tc>
      </w:tr>
      <w:tr w14:paraId="78AAA1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noWrap w:val="0"/>
            <w:vAlign w:val="top"/>
          </w:tcPr>
          <w:p w14:paraId="4FBA5F80">
            <w:pPr>
              <w:kinsoku/>
              <w:topLinePunct/>
              <w:spacing w:line="360" w:lineRule="auto"/>
              <w:jc w:val="both"/>
              <w:rPr>
                <w:rFonts w:hint="eastAsia" w:ascii="宋体" w:hAnsi="宋体" w:eastAsia="宋体" w:cs="宋体"/>
                <w:color w:val="auto"/>
                <w:sz w:val="24"/>
                <w:szCs w:val="24"/>
                <w:highlight w:val="none"/>
              </w:rPr>
            </w:pPr>
          </w:p>
        </w:tc>
        <w:tc>
          <w:tcPr>
            <w:tcW w:w="3826" w:type="dxa"/>
            <w:noWrap w:val="0"/>
            <w:vAlign w:val="top"/>
          </w:tcPr>
          <w:p w14:paraId="27F65184">
            <w:pPr>
              <w:kinsoku/>
              <w:topLinePunct/>
              <w:spacing w:line="360" w:lineRule="auto"/>
              <w:jc w:val="both"/>
              <w:rPr>
                <w:rFonts w:hint="eastAsia" w:ascii="宋体" w:hAnsi="宋体" w:eastAsia="宋体" w:cs="宋体"/>
                <w:color w:val="auto"/>
                <w:sz w:val="24"/>
                <w:szCs w:val="24"/>
                <w:highlight w:val="none"/>
              </w:rPr>
            </w:pPr>
          </w:p>
        </w:tc>
        <w:tc>
          <w:tcPr>
            <w:tcW w:w="2408" w:type="dxa"/>
            <w:noWrap w:val="0"/>
            <w:vAlign w:val="top"/>
          </w:tcPr>
          <w:p w14:paraId="3B9D1C00">
            <w:pPr>
              <w:kinsoku/>
              <w:topLinePunct/>
              <w:spacing w:line="360" w:lineRule="auto"/>
              <w:jc w:val="both"/>
              <w:rPr>
                <w:rFonts w:hint="eastAsia" w:ascii="宋体" w:hAnsi="宋体" w:eastAsia="宋体" w:cs="宋体"/>
                <w:color w:val="auto"/>
                <w:sz w:val="24"/>
                <w:szCs w:val="24"/>
                <w:highlight w:val="none"/>
              </w:rPr>
            </w:pPr>
          </w:p>
        </w:tc>
        <w:tc>
          <w:tcPr>
            <w:tcW w:w="2130" w:type="dxa"/>
            <w:noWrap w:val="0"/>
            <w:vAlign w:val="top"/>
          </w:tcPr>
          <w:p w14:paraId="1BD576FB">
            <w:pPr>
              <w:kinsoku/>
              <w:topLinePunct/>
              <w:spacing w:line="360" w:lineRule="auto"/>
              <w:jc w:val="both"/>
              <w:rPr>
                <w:rFonts w:hint="eastAsia" w:ascii="宋体" w:hAnsi="宋体" w:eastAsia="宋体" w:cs="宋体"/>
                <w:color w:val="auto"/>
                <w:sz w:val="24"/>
                <w:szCs w:val="24"/>
                <w:highlight w:val="none"/>
              </w:rPr>
            </w:pPr>
          </w:p>
        </w:tc>
      </w:tr>
    </w:tbl>
    <w:p w14:paraId="651E2C17">
      <w:pPr>
        <w:kinsoku/>
        <w:topLinePunct/>
        <w:spacing w:before="145" w:line="360" w:lineRule="auto"/>
        <w:ind w:left="8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注：本表请按投标人须知前附表3.5.7“一、实质性响应招标文件资料”内容填写。</w:t>
      </w:r>
    </w:p>
    <w:p w14:paraId="3F3FD5BA">
      <w:pPr>
        <w:kinsoku/>
        <w:topLinePunct/>
        <w:spacing w:line="360" w:lineRule="auto"/>
        <w:jc w:val="both"/>
        <w:rPr>
          <w:rFonts w:hint="eastAsia" w:ascii="宋体" w:hAnsi="宋体" w:eastAsia="宋体" w:cs="宋体"/>
          <w:color w:val="auto"/>
          <w:sz w:val="24"/>
          <w:szCs w:val="24"/>
          <w:highlight w:val="none"/>
        </w:rPr>
      </w:pPr>
    </w:p>
    <w:p w14:paraId="4B437578">
      <w:pPr>
        <w:kinsoku/>
        <w:topLinePunct/>
        <w:spacing w:line="360" w:lineRule="auto"/>
        <w:jc w:val="both"/>
        <w:rPr>
          <w:rFonts w:hint="eastAsia" w:ascii="宋体" w:hAnsi="宋体" w:eastAsia="宋体" w:cs="宋体"/>
          <w:color w:val="auto"/>
          <w:sz w:val="24"/>
          <w:szCs w:val="24"/>
          <w:highlight w:val="none"/>
        </w:rPr>
      </w:pPr>
    </w:p>
    <w:p w14:paraId="3C337DD8">
      <w:pPr>
        <w:kinsoku/>
        <w:topLinePunct/>
        <w:spacing w:line="360" w:lineRule="auto"/>
        <w:jc w:val="both"/>
        <w:rPr>
          <w:rFonts w:hint="eastAsia" w:ascii="宋体" w:hAnsi="宋体" w:eastAsia="宋体" w:cs="宋体"/>
          <w:color w:val="auto"/>
          <w:sz w:val="24"/>
          <w:szCs w:val="24"/>
          <w:highlight w:val="none"/>
        </w:rPr>
      </w:pPr>
    </w:p>
    <w:p w14:paraId="4728623A">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1EFC5329">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7A4520E4">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p>
    <w:p w14:paraId="5F89039C">
      <w:pPr>
        <w:spacing w:line="360" w:lineRule="auto"/>
        <w:outlineLvl w:val="1"/>
        <w:rPr>
          <w:rFonts w:hint="eastAsia" w:ascii="宋体" w:hAnsi="宋体" w:eastAsia="宋体" w:cs="宋体"/>
          <w:color w:val="auto"/>
          <w:sz w:val="24"/>
          <w:szCs w:val="24"/>
          <w:highlight w:val="none"/>
        </w:rPr>
      </w:pPr>
      <w:bookmarkStart w:id="1403" w:name="_bookmark20"/>
      <w:bookmarkEnd w:id="1403"/>
      <w:bookmarkStart w:id="1404" w:name="_Toc30346"/>
      <w:bookmarkStart w:id="1405" w:name="_Toc30474"/>
      <w:bookmarkStart w:id="1406" w:name="_Toc1324"/>
      <w:bookmarkStart w:id="1407" w:name="_Toc30079"/>
      <w:bookmarkStart w:id="1408" w:name="_Toc3093"/>
      <w:bookmarkStart w:id="1409" w:name="_Toc6569"/>
      <w:bookmarkStart w:id="1410" w:name="_Toc5471"/>
      <w:bookmarkStart w:id="1411" w:name="_Toc7768"/>
      <w:bookmarkStart w:id="1412" w:name="_Toc30418"/>
      <w:bookmarkStart w:id="1413" w:name="_Toc10089"/>
      <w:bookmarkStart w:id="1414" w:name="_Toc13450"/>
      <w:bookmarkStart w:id="1415" w:name="_Toc11507"/>
      <w:bookmarkStart w:id="1416" w:name="_Toc6793"/>
      <w:bookmarkStart w:id="1417" w:name="_Toc8052"/>
      <w:bookmarkStart w:id="1418" w:name="_Toc11375"/>
      <w:bookmarkStart w:id="1419" w:name="_Toc992"/>
      <w:bookmarkStart w:id="1420" w:name="_Toc23148"/>
      <w:bookmarkStart w:id="1421" w:name="_Toc17253"/>
      <w:bookmarkStart w:id="1422" w:name="_Toc16999"/>
      <w:bookmarkStart w:id="1423" w:name="_Toc7611"/>
      <w:r>
        <w:rPr>
          <w:rFonts w:hint="eastAsia" w:ascii="宋体" w:hAnsi="宋体" w:eastAsia="宋体" w:cs="宋体"/>
          <w:color w:val="auto"/>
          <w:sz w:val="24"/>
          <w:szCs w:val="24"/>
          <w:highlight w:val="none"/>
        </w:rPr>
        <w:br w:type="page"/>
      </w:r>
      <w:bookmarkStart w:id="1424" w:name="_Toc28012"/>
      <w:bookmarkStart w:id="1425" w:name="_Toc17477"/>
      <w:bookmarkStart w:id="1426" w:name="_Toc32687"/>
      <w:r>
        <w:rPr>
          <w:rFonts w:hint="eastAsia" w:ascii="宋体" w:hAnsi="宋体" w:eastAsia="宋体" w:cs="宋体"/>
          <w:color w:val="auto"/>
          <w:sz w:val="24"/>
          <w:szCs w:val="24"/>
          <w:highlight w:val="none"/>
        </w:rPr>
        <w:t>格式六：打分资料一览表</w:t>
      </w:r>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p>
    <w:p w14:paraId="296BB774">
      <w:pPr>
        <w:keepNext w:val="0"/>
        <w:keepLines w:val="0"/>
        <w:pageBreakBefore w:val="0"/>
        <w:widowControl/>
        <w:kinsoku/>
        <w:wordWrap/>
        <w:overflowPunct/>
        <w:topLinePunct/>
        <w:autoSpaceDE w:val="0"/>
        <w:autoSpaceDN w:val="0"/>
        <w:bidi w:val="0"/>
        <w:adjustRightInd w:val="0"/>
        <w:snapToGrid w:val="0"/>
        <w:spacing w:after="0" w:afterLines="0" w:line="360" w:lineRule="auto"/>
        <w:ind w:left="0"/>
        <w:jc w:val="center"/>
        <w:textAlignment w:val="baseline"/>
        <w:rPr>
          <w:rFonts w:hint="eastAsia" w:ascii="华文中宋" w:hAnsi="华文中宋" w:eastAsia="华文中宋" w:cs="华文中宋"/>
          <w:b/>
          <w:bCs/>
          <w:color w:val="auto"/>
          <w:kern w:val="2"/>
          <w:sz w:val="28"/>
          <w:szCs w:val="28"/>
          <w:highlight w:val="none"/>
        </w:rPr>
      </w:pPr>
      <w:r>
        <w:rPr>
          <w:rFonts w:hint="eastAsia" w:ascii="华文中宋" w:hAnsi="华文中宋" w:eastAsia="华文中宋" w:cs="华文中宋"/>
          <w:b/>
          <w:bCs/>
          <w:color w:val="auto"/>
          <w:kern w:val="2"/>
          <w:sz w:val="28"/>
          <w:szCs w:val="28"/>
          <w:highlight w:val="none"/>
        </w:rPr>
        <w:t>投标人提供的评审打分资料一览表</w:t>
      </w:r>
    </w:p>
    <w:tbl>
      <w:tblPr>
        <w:tblStyle w:val="37"/>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6371EA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57F25AD7">
            <w:pPr>
              <w:kinsoku/>
              <w:topLinePunct/>
              <w:spacing w:before="231" w:line="360" w:lineRule="auto"/>
              <w:ind w:left="33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4675" w:type="dxa"/>
            <w:noWrap w:val="0"/>
            <w:vAlign w:val="top"/>
          </w:tcPr>
          <w:p w14:paraId="7E3DBEEB">
            <w:pPr>
              <w:kinsoku/>
              <w:topLinePunct/>
              <w:spacing w:before="231" w:line="360" w:lineRule="auto"/>
              <w:ind w:left="18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资料名称</w:t>
            </w:r>
          </w:p>
        </w:tc>
        <w:tc>
          <w:tcPr>
            <w:tcW w:w="1700" w:type="dxa"/>
            <w:noWrap w:val="0"/>
            <w:vAlign w:val="top"/>
          </w:tcPr>
          <w:p w14:paraId="5A30EA77">
            <w:pPr>
              <w:kinsoku/>
              <w:topLinePunct/>
              <w:spacing w:before="231" w:line="360" w:lineRule="auto"/>
              <w:ind w:left="55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共页</w:t>
            </w:r>
          </w:p>
        </w:tc>
        <w:tc>
          <w:tcPr>
            <w:tcW w:w="1705" w:type="dxa"/>
            <w:noWrap w:val="0"/>
            <w:vAlign w:val="top"/>
          </w:tcPr>
          <w:p w14:paraId="4DFD11CA">
            <w:pPr>
              <w:kinsoku/>
              <w:topLinePunct/>
              <w:spacing w:before="231" w:line="360" w:lineRule="auto"/>
              <w:ind w:left="50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556F90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59BB6527">
            <w:pPr>
              <w:kinsoku/>
              <w:topLinePunct/>
              <w:spacing w:line="360" w:lineRule="auto"/>
              <w:jc w:val="both"/>
              <w:rPr>
                <w:rFonts w:hint="eastAsia" w:ascii="宋体" w:hAnsi="宋体" w:eastAsia="宋体" w:cs="宋体"/>
                <w:color w:val="auto"/>
                <w:sz w:val="24"/>
                <w:szCs w:val="24"/>
                <w:highlight w:val="none"/>
              </w:rPr>
            </w:pPr>
          </w:p>
        </w:tc>
        <w:tc>
          <w:tcPr>
            <w:tcW w:w="4675" w:type="dxa"/>
            <w:noWrap w:val="0"/>
            <w:vAlign w:val="top"/>
          </w:tcPr>
          <w:p w14:paraId="75AFB0BE">
            <w:pPr>
              <w:kinsoku/>
              <w:topLinePunct/>
              <w:spacing w:line="360" w:lineRule="auto"/>
              <w:jc w:val="both"/>
              <w:rPr>
                <w:rFonts w:hint="eastAsia" w:ascii="宋体" w:hAnsi="宋体" w:eastAsia="宋体" w:cs="宋体"/>
                <w:color w:val="auto"/>
                <w:sz w:val="24"/>
                <w:szCs w:val="24"/>
                <w:highlight w:val="none"/>
              </w:rPr>
            </w:pPr>
          </w:p>
        </w:tc>
        <w:tc>
          <w:tcPr>
            <w:tcW w:w="1700" w:type="dxa"/>
            <w:noWrap w:val="0"/>
            <w:vAlign w:val="top"/>
          </w:tcPr>
          <w:p w14:paraId="2A257193">
            <w:pPr>
              <w:kinsoku/>
              <w:topLinePunct/>
              <w:spacing w:line="360" w:lineRule="auto"/>
              <w:jc w:val="both"/>
              <w:rPr>
                <w:rFonts w:hint="eastAsia" w:ascii="宋体" w:hAnsi="宋体" w:eastAsia="宋体" w:cs="宋体"/>
                <w:color w:val="auto"/>
                <w:sz w:val="24"/>
                <w:szCs w:val="24"/>
                <w:highlight w:val="none"/>
              </w:rPr>
            </w:pPr>
          </w:p>
        </w:tc>
        <w:tc>
          <w:tcPr>
            <w:tcW w:w="1705" w:type="dxa"/>
            <w:noWrap w:val="0"/>
            <w:vAlign w:val="top"/>
          </w:tcPr>
          <w:p w14:paraId="69A14BDE">
            <w:pPr>
              <w:kinsoku/>
              <w:topLinePunct/>
              <w:spacing w:line="360" w:lineRule="auto"/>
              <w:jc w:val="both"/>
              <w:rPr>
                <w:rFonts w:hint="eastAsia" w:ascii="宋体" w:hAnsi="宋体" w:eastAsia="宋体" w:cs="宋体"/>
                <w:color w:val="auto"/>
                <w:sz w:val="24"/>
                <w:szCs w:val="24"/>
                <w:highlight w:val="none"/>
              </w:rPr>
            </w:pPr>
          </w:p>
        </w:tc>
      </w:tr>
      <w:tr w14:paraId="7F0D92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4972B30">
            <w:pPr>
              <w:kinsoku/>
              <w:topLinePunct/>
              <w:spacing w:line="360" w:lineRule="auto"/>
              <w:jc w:val="both"/>
              <w:rPr>
                <w:rFonts w:hint="eastAsia" w:ascii="宋体" w:hAnsi="宋体" w:eastAsia="宋体" w:cs="宋体"/>
                <w:color w:val="auto"/>
                <w:sz w:val="24"/>
                <w:szCs w:val="24"/>
                <w:highlight w:val="none"/>
              </w:rPr>
            </w:pPr>
          </w:p>
        </w:tc>
        <w:tc>
          <w:tcPr>
            <w:tcW w:w="4675" w:type="dxa"/>
            <w:noWrap w:val="0"/>
            <w:vAlign w:val="top"/>
          </w:tcPr>
          <w:p w14:paraId="0BF97D99">
            <w:pPr>
              <w:kinsoku/>
              <w:topLinePunct/>
              <w:spacing w:line="360" w:lineRule="auto"/>
              <w:jc w:val="both"/>
              <w:rPr>
                <w:rFonts w:hint="eastAsia" w:ascii="宋体" w:hAnsi="宋体" w:eastAsia="宋体" w:cs="宋体"/>
                <w:color w:val="auto"/>
                <w:sz w:val="24"/>
                <w:szCs w:val="24"/>
                <w:highlight w:val="none"/>
              </w:rPr>
            </w:pPr>
          </w:p>
        </w:tc>
        <w:tc>
          <w:tcPr>
            <w:tcW w:w="1700" w:type="dxa"/>
            <w:noWrap w:val="0"/>
            <w:vAlign w:val="top"/>
          </w:tcPr>
          <w:p w14:paraId="5B0565CA">
            <w:pPr>
              <w:kinsoku/>
              <w:topLinePunct/>
              <w:spacing w:line="360" w:lineRule="auto"/>
              <w:jc w:val="both"/>
              <w:rPr>
                <w:rFonts w:hint="eastAsia" w:ascii="宋体" w:hAnsi="宋体" w:eastAsia="宋体" w:cs="宋体"/>
                <w:color w:val="auto"/>
                <w:sz w:val="24"/>
                <w:szCs w:val="24"/>
                <w:highlight w:val="none"/>
              </w:rPr>
            </w:pPr>
          </w:p>
        </w:tc>
        <w:tc>
          <w:tcPr>
            <w:tcW w:w="1705" w:type="dxa"/>
            <w:noWrap w:val="0"/>
            <w:vAlign w:val="top"/>
          </w:tcPr>
          <w:p w14:paraId="0B723940">
            <w:pPr>
              <w:kinsoku/>
              <w:topLinePunct/>
              <w:spacing w:line="360" w:lineRule="auto"/>
              <w:jc w:val="both"/>
              <w:rPr>
                <w:rFonts w:hint="eastAsia" w:ascii="宋体" w:hAnsi="宋体" w:eastAsia="宋体" w:cs="宋体"/>
                <w:color w:val="auto"/>
                <w:sz w:val="24"/>
                <w:szCs w:val="24"/>
                <w:highlight w:val="none"/>
              </w:rPr>
            </w:pPr>
          </w:p>
        </w:tc>
      </w:tr>
      <w:tr w14:paraId="62D652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6FC6D7FA">
            <w:pPr>
              <w:kinsoku/>
              <w:topLinePunct/>
              <w:spacing w:line="360" w:lineRule="auto"/>
              <w:jc w:val="both"/>
              <w:rPr>
                <w:rFonts w:hint="eastAsia" w:ascii="宋体" w:hAnsi="宋体" w:eastAsia="宋体" w:cs="宋体"/>
                <w:color w:val="auto"/>
                <w:sz w:val="24"/>
                <w:szCs w:val="24"/>
                <w:highlight w:val="none"/>
              </w:rPr>
            </w:pPr>
          </w:p>
        </w:tc>
        <w:tc>
          <w:tcPr>
            <w:tcW w:w="4675" w:type="dxa"/>
            <w:noWrap w:val="0"/>
            <w:vAlign w:val="top"/>
          </w:tcPr>
          <w:p w14:paraId="5E66739C">
            <w:pPr>
              <w:kinsoku/>
              <w:topLinePunct/>
              <w:spacing w:line="360" w:lineRule="auto"/>
              <w:jc w:val="both"/>
              <w:rPr>
                <w:rFonts w:hint="eastAsia" w:ascii="宋体" w:hAnsi="宋体" w:eastAsia="宋体" w:cs="宋体"/>
                <w:color w:val="auto"/>
                <w:sz w:val="24"/>
                <w:szCs w:val="24"/>
                <w:highlight w:val="none"/>
              </w:rPr>
            </w:pPr>
          </w:p>
        </w:tc>
        <w:tc>
          <w:tcPr>
            <w:tcW w:w="1700" w:type="dxa"/>
            <w:noWrap w:val="0"/>
            <w:vAlign w:val="top"/>
          </w:tcPr>
          <w:p w14:paraId="5BF57DC9">
            <w:pPr>
              <w:kinsoku/>
              <w:topLinePunct/>
              <w:spacing w:line="360" w:lineRule="auto"/>
              <w:jc w:val="both"/>
              <w:rPr>
                <w:rFonts w:hint="eastAsia" w:ascii="宋体" w:hAnsi="宋体" w:eastAsia="宋体" w:cs="宋体"/>
                <w:color w:val="auto"/>
                <w:sz w:val="24"/>
                <w:szCs w:val="24"/>
                <w:highlight w:val="none"/>
              </w:rPr>
            </w:pPr>
          </w:p>
        </w:tc>
        <w:tc>
          <w:tcPr>
            <w:tcW w:w="1705" w:type="dxa"/>
            <w:noWrap w:val="0"/>
            <w:vAlign w:val="top"/>
          </w:tcPr>
          <w:p w14:paraId="05460BA4">
            <w:pPr>
              <w:kinsoku/>
              <w:topLinePunct/>
              <w:spacing w:line="360" w:lineRule="auto"/>
              <w:jc w:val="both"/>
              <w:rPr>
                <w:rFonts w:hint="eastAsia" w:ascii="宋体" w:hAnsi="宋体" w:eastAsia="宋体" w:cs="宋体"/>
                <w:color w:val="auto"/>
                <w:sz w:val="24"/>
                <w:szCs w:val="24"/>
                <w:highlight w:val="none"/>
              </w:rPr>
            </w:pPr>
          </w:p>
        </w:tc>
      </w:tr>
      <w:tr w14:paraId="460B63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noWrap w:val="0"/>
            <w:vAlign w:val="top"/>
          </w:tcPr>
          <w:p w14:paraId="4E85CFE9">
            <w:pPr>
              <w:kinsoku/>
              <w:topLinePunct/>
              <w:spacing w:line="360" w:lineRule="auto"/>
              <w:jc w:val="both"/>
              <w:rPr>
                <w:rFonts w:hint="eastAsia" w:ascii="宋体" w:hAnsi="宋体" w:eastAsia="宋体" w:cs="宋体"/>
                <w:color w:val="auto"/>
                <w:sz w:val="24"/>
                <w:szCs w:val="24"/>
                <w:highlight w:val="none"/>
              </w:rPr>
            </w:pPr>
          </w:p>
        </w:tc>
        <w:tc>
          <w:tcPr>
            <w:tcW w:w="4675" w:type="dxa"/>
            <w:noWrap w:val="0"/>
            <w:vAlign w:val="top"/>
          </w:tcPr>
          <w:p w14:paraId="0A1120B3">
            <w:pPr>
              <w:kinsoku/>
              <w:topLinePunct/>
              <w:spacing w:line="360" w:lineRule="auto"/>
              <w:jc w:val="both"/>
              <w:rPr>
                <w:rFonts w:hint="eastAsia" w:ascii="宋体" w:hAnsi="宋体" w:eastAsia="宋体" w:cs="宋体"/>
                <w:color w:val="auto"/>
                <w:sz w:val="24"/>
                <w:szCs w:val="24"/>
                <w:highlight w:val="none"/>
              </w:rPr>
            </w:pPr>
          </w:p>
        </w:tc>
        <w:tc>
          <w:tcPr>
            <w:tcW w:w="1700" w:type="dxa"/>
            <w:noWrap w:val="0"/>
            <w:vAlign w:val="top"/>
          </w:tcPr>
          <w:p w14:paraId="0D448528">
            <w:pPr>
              <w:kinsoku/>
              <w:topLinePunct/>
              <w:spacing w:line="360" w:lineRule="auto"/>
              <w:jc w:val="both"/>
              <w:rPr>
                <w:rFonts w:hint="eastAsia" w:ascii="宋体" w:hAnsi="宋体" w:eastAsia="宋体" w:cs="宋体"/>
                <w:color w:val="auto"/>
                <w:sz w:val="24"/>
                <w:szCs w:val="24"/>
                <w:highlight w:val="none"/>
              </w:rPr>
            </w:pPr>
          </w:p>
        </w:tc>
        <w:tc>
          <w:tcPr>
            <w:tcW w:w="1705" w:type="dxa"/>
            <w:noWrap w:val="0"/>
            <w:vAlign w:val="top"/>
          </w:tcPr>
          <w:p w14:paraId="295DA577">
            <w:pPr>
              <w:kinsoku/>
              <w:topLinePunct/>
              <w:spacing w:line="360" w:lineRule="auto"/>
              <w:jc w:val="both"/>
              <w:rPr>
                <w:rFonts w:hint="eastAsia" w:ascii="宋体" w:hAnsi="宋体" w:eastAsia="宋体" w:cs="宋体"/>
                <w:color w:val="auto"/>
                <w:sz w:val="24"/>
                <w:szCs w:val="24"/>
                <w:highlight w:val="none"/>
              </w:rPr>
            </w:pPr>
          </w:p>
        </w:tc>
      </w:tr>
      <w:tr w14:paraId="5810D5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551104F1">
            <w:pPr>
              <w:kinsoku/>
              <w:topLinePunct/>
              <w:spacing w:line="360" w:lineRule="auto"/>
              <w:jc w:val="both"/>
              <w:rPr>
                <w:rFonts w:hint="eastAsia" w:ascii="宋体" w:hAnsi="宋体" w:eastAsia="宋体" w:cs="宋体"/>
                <w:color w:val="auto"/>
                <w:sz w:val="24"/>
                <w:szCs w:val="24"/>
                <w:highlight w:val="none"/>
              </w:rPr>
            </w:pPr>
          </w:p>
        </w:tc>
        <w:tc>
          <w:tcPr>
            <w:tcW w:w="4675" w:type="dxa"/>
            <w:noWrap w:val="0"/>
            <w:vAlign w:val="top"/>
          </w:tcPr>
          <w:p w14:paraId="589B9CF7">
            <w:pPr>
              <w:kinsoku/>
              <w:topLinePunct/>
              <w:spacing w:line="360" w:lineRule="auto"/>
              <w:jc w:val="both"/>
              <w:rPr>
                <w:rFonts w:hint="eastAsia" w:ascii="宋体" w:hAnsi="宋体" w:eastAsia="宋体" w:cs="宋体"/>
                <w:color w:val="auto"/>
                <w:sz w:val="24"/>
                <w:szCs w:val="24"/>
                <w:highlight w:val="none"/>
              </w:rPr>
            </w:pPr>
          </w:p>
        </w:tc>
        <w:tc>
          <w:tcPr>
            <w:tcW w:w="1700" w:type="dxa"/>
            <w:noWrap w:val="0"/>
            <w:vAlign w:val="top"/>
          </w:tcPr>
          <w:p w14:paraId="16BA462A">
            <w:pPr>
              <w:kinsoku/>
              <w:topLinePunct/>
              <w:spacing w:line="360" w:lineRule="auto"/>
              <w:jc w:val="both"/>
              <w:rPr>
                <w:rFonts w:hint="eastAsia" w:ascii="宋体" w:hAnsi="宋体" w:eastAsia="宋体" w:cs="宋体"/>
                <w:color w:val="auto"/>
                <w:sz w:val="24"/>
                <w:szCs w:val="24"/>
                <w:highlight w:val="none"/>
              </w:rPr>
            </w:pPr>
          </w:p>
        </w:tc>
        <w:tc>
          <w:tcPr>
            <w:tcW w:w="1705" w:type="dxa"/>
            <w:noWrap w:val="0"/>
            <w:vAlign w:val="top"/>
          </w:tcPr>
          <w:p w14:paraId="202D8D0F">
            <w:pPr>
              <w:kinsoku/>
              <w:topLinePunct/>
              <w:spacing w:line="360" w:lineRule="auto"/>
              <w:jc w:val="both"/>
              <w:rPr>
                <w:rFonts w:hint="eastAsia" w:ascii="宋体" w:hAnsi="宋体" w:eastAsia="宋体" w:cs="宋体"/>
                <w:color w:val="auto"/>
                <w:sz w:val="24"/>
                <w:szCs w:val="24"/>
                <w:highlight w:val="none"/>
              </w:rPr>
            </w:pPr>
          </w:p>
        </w:tc>
      </w:tr>
      <w:tr w14:paraId="13328A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noWrap w:val="0"/>
            <w:vAlign w:val="top"/>
          </w:tcPr>
          <w:p w14:paraId="4EBBF84F">
            <w:pPr>
              <w:kinsoku/>
              <w:topLinePunct/>
              <w:spacing w:line="360" w:lineRule="auto"/>
              <w:jc w:val="both"/>
              <w:rPr>
                <w:rFonts w:hint="eastAsia" w:ascii="宋体" w:hAnsi="宋体" w:eastAsia="宋体" w:cs="宋体"/>
                <w:color w:val="auto"/>
                <w:sz w:val="24"/>
                <w:szCs w:val="24"/>
                <w:highlight w:val="none"/>
              </w:rPr>
            </w:pPr>
          </w:p>
        </w:tc>
        <w:tc>
          <w:tcPr>
            <w:tcW w:w="4675" w:type="dxa"/>
            <w:noWrap w:val="0"/>
            <w:vAlign w:val="top"/>
          </w:tcPr>
          <w:p w14:paraId="66A87FFF">
            <w:pPr>
              <w:kinsoku/>
              <w:topLinePunct/>
              <w:spacing w:line="360" w:lineRule="auto"/>
              <w:jc w:val="both"/>
              <w:rPr>
                <w:rFonts w:hint="eastAsia" w:ascii="宋体" w:hAnsi="宋体" w:eastAsia="宋体" w:cs="宋体"/>
                <w:color w:val="auto"/>
                <w:sz w:val="24"/>
                <w:szCs w:val="24"/>
                <w:highlight w:val="none"/>
              </w:rPr>
            </w:pPr>
          </w:p>
        </w:tc>
        <w:tc>
          <w:tcPr>
            <w:tcW w:w="1700" w:type="dxa"/>
            <w:noWrap w:val="0"/>
            <w:vAlign w:val="top"/>
          </w:tcPr>
          <w:p w14:paraId="4C41DDCA">
            <w:pPr>
              <w:kinsoku/>
              <w:topLinePunct/>
              <w:spacing w:line="360" w:lineRule="auto"/>
              <w:jc w:val="both"/>
              <w:rPr>
                <w:rFonts w:hint="eastAsia" w:ascii="宋体" w:hAnsi="宋体" w:eastAsia="宋体" w:cs="宋体"/>
                <w:color w:val="auto"/>
                <w:sz w:val="24"/>
                <w:szCs w:val="24"/>
                <w:highlight w:val="none"/>
              </w:rPr>
            </w:pPr>
          </w:p>
        </w:tc>
        <w:tc>
          <w:tcPr>
            <w:tcW w:w="1705" w:type="dxa"/>
            <w:noWrap w:val="0"/>
            <w:vAlign w:val="top"/>
          </w:tcPr>
          <w:p w14:paraId="32481418">
            <w:pPr>
              <w:kinsoku/>
              <w:topLinePunct/>
              <w:spacing w:line="360" w:lineRule="auto"/>
              <w:jc w:val="both"/>
              <w:rPr>
                <w:rFonts w:hint="eastAsia" w:ascii="宋体" w:hAnsi="宋体" w:eastAsia="宋体" w:cs="宋体"/>
                <w:color w:val="auto"/>
                <w:sz w:val="24"/>
                <w:szCs w:val="24"/>
                <w:highlight w:val="none"/>
              </w:rPr>
            </w:pPr>
          </w:p>
        </w:tc>
      </w:tr>
      <w:tr w14:paraId="7F7409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noWrap w:val="0"/>
            <w:vAlign w:val="top"/>
          </w:tcPr>
          <w:p w14:paraId="69904D76">
            <w:pPr>
              <w:kinsoku/>
              <w:topLinePunct/>
              <w:spacing w:line="360" w:lineRule="auto"/>
              <w:jc w:val="both"/>
              <w:rPr>
                <w:rFonts w:hint="eastAsia" w:ascii="宋体" w:hAnsi="宋体" w:eastAsia="宋体" w:cs="宋体"/>
                <w:color w:val="auto"/>
                <w:sz w:val="24"/>
                <w:szCs w:val="24"/>
                <w:highlight w:val="none"/>
              </w:rPr>
            </w:pPr>
          </w:p>
        </w:tc>
        <w:tc>
          <w:tcPr>
            <w:tcW w:w="4675" w:type="dxa"/>
            <w:noWrap w:val="0"/>
            <w:vAlign w:val="top"/>
          </w:tcPr>
          <w:p w14:paraId="4CBCE86A">
            <w:pPr>
              <w:kinsoku/>
              <w:topLinePunct/>
              <w:spacing w:line="360" w:lineRule="auto"/>
              <w:jc w:val="both"/>
              <w:rPr>
                <w:rFonts w:hint="eastAsia" w:ascii="宋体" w:hAnsi="宋体" w:eastAsia="宋体" w:cs="宋体"/>
                <w:color w:val="auto"/>
                <w:sz w:val="24"/>
                <w:szCs w:val="24"/>
                <w:highlight w:val="none"/>
              </w:rPr>
            </w:pPr>
          </w:p>
        </w:tc>
        <w:tc>
          <w:tcPr>
            <w:tcW w:w="1700" w:type="dxa"/>
            <w:noWrap w:val="0"/>
            <w:vAlign w:val="top"/>
          </w:tcPr>
          <w:p w14:paraId="7FBBAA4B">
            <w:pPr>
              <w:kinsoku/>
              <w:topLinePunct/>
              <w:spacing w:line="360" w:lineRule="auto"/>
              <w:jc w:val="both"/>
              <w:rPr>
                <w:rFonts w:hint="eastAsia" w:ascii="宋体" w:hAnsi="宋体" w:eastAsia="宋体" w:cs="宋体"/>
                <w:color w:val="auto"/>
                <w:sz w:val="24"/>
                <w:szCs w:val="24"/>
                <w:highlight w:val="none"/>
              </w:rPr>
            </w:pPr>
          </w:p>
        </w:tc>
        <w:tc>
          <w:tcPr>
            <w:tcW w:w="1705" w:type="dxa"/>
            <w:noWrap w:val="0"/>
            <w:vAlign w:val="top"/>
          </w:tcPr>
          <w:p w14:paraId="10874682">
            <w:pPr>
              <w:kinsoku/>
              <w:topLinePunct/>
              <w:spacing w:line="360" w:lineRule="auto"/>
              <w:jc w:val="both"/>
              <w:rPr>
                <w:rFonts w:hint="eastAsia" w:ascii="宋体" w:hAnsi="宋体" w:eastAsia="宋体" w:cs="宋体"/>
                <w:color w:val="auto"/>
                <w:sz w:val="24"/>
                <w:szCs w:val="24"/>
                <w:highlight w:val="none"/>
              </w:rPr>
            </w:pPr>
          </w:p>
        </w:tc>
      </w:tr>
    </w:tbl>
    <w:p w14:paraId="6A4D1B70">
      <w:pPr>
        <w:kinsoku/>
        <w:topLinePunct/>
        <w:spacing w:before="146" w:line="360" w:lineRule="auto"/>
        <w:ind w:left="53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注：本表请按投标人须知前附表3.5.7“二、评审打分资料”内容填写。</w:t>
      </w:r>
    </w:p>
    <w:p w14:paraId="4E505C0E">
      <w:pPr>
        <w:kinsoku/>
        <w:topLinePunct/>
        <w:spacing w:line="360" w:lineRule="auto"/>
        <w:jc w:val="both"/>
        <w:rPr>
          <w:rFonts w:hint="eastAsia" w:ascii="宋体" w:hAnsi="宋体" w:eastAsia="宋体" w:cs="宋体"/>
          <w:color w:val="auto"/>
          <w:sz w:val="24"/>
          <w:szCs w:val="24"/>
          <w:highlight w:val="none"/>
        </w:rPr>
      </w:pPr>
    </w:p>
    <w:p w14:paraId="3B1D9302">
      <w:pPr>
        <w:kinsoku/>
        <w:topLinePunct/>
        <w:spacing w:line="360" w:lineRule="auto"/>
        <w:jc w:val="both"/>
        <w:rPr>
          <w:rFonts w:hint="eastAsia" w:ascii="宋体" w:hAnsi="宋体" w:eastAsia="宋体" w:cs="宋体"/>
          <w:color w:val="auto"/>
          <w:sz w:val="24"/>
          <w:szCs w:val="24"/>
          <w:highlight w:val="none"/>
        </w:rPr>
      </w:pPr>
    </w:p>
    <w:p w14:paraId="7FC95C72">
      <w:pPr>
        <w:kinsoku/>
        <w:topLinePunct/>
        <w:spacing w:line="360" w:lineRule="auto"/>
        <w:jc w:val="both"/>
        <w:rPr>
          <w:rFonts w:hint="eastAsia" w:ascii="宋体" w:hAnsi="宋体" w:eastAsia="宋体" w:cs="宋体"/>
          <w:color w:val="auto"/>
          <w:sz w:val="24"/>
          <w:szCs w:val="24"/>
          <w:highlight w:val="none"/>
        </w:rPr>
      </w:pPr>
    </w:p>
    <w:p w14:paraId="6A93BB62">
      <w:pPr>
        <w:kinsoku/>
        <w:topLinePunct/>
        <w:spacing w:line="360" w:lineRule="auto"/>
        <w:jc w:val="both"/>
        <w:rPr>
          <w:rFonts w:hint="eastAsia" w:ascii="宋体" w:hAnsi="宋体" w:eastAsia="宋体" w:cs="宋体"/>
          <w:color w:val="auto"/>
          <w:sz w:val="24"/>
          <w:szCs w:val="24"/>
          <w:highlight w:val="none"/>
        </w:rPr>
      </w:pPr>
    </w:p>
    <w:p w14:paraId="4E649736">
      <w:pPr>
        <w:kinsoku/>
        <w:topLinePunct/>
        <w:spacing w:line="360" w:lineRule="auto"/>
        <w:jc w:val="both"/>
        <w:rPr>
          <w:rFonts w:hint="eastAsia" w:ascii="宋体" w:hAnsi="宋体" w:eastAsia="宋体" w:cs="宋体"/>
          <w:color w:val="auto"/>
          <w:sz w:val="24"/>
          <w:szCs w:val="24"/>
          <w:highlight w:val="none"/>
        </w:rPr>
      </w:pPr>
    </w:p>
    <w:p w14:paraId="7F69DCC8">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eastAsia="zh-CN"/>
        </w:rPr>
        <w:t>）</w:t>
      </w:r>
    </w:p>
    <w:p w14:paraId="426B5D25">
      <w:pPr>
        <w:tabs>
          <w:tab w:val="left" w:pos="7132"/>
        </w:tabs>
        <w:kinsoku/>
        <w:topLinePunct/>
        <w:spacing w:before="75" w:line="360" w:lineRule="auto"/>
        <w:ind w:left="6162" w:right="203" w:hanging="118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25F7537F">
      <w:pPr>
        <w:tabs>
          <w:tab w:val="left" w:pos="6569"/>
        </w:tabs>
        <w:kinsoku/>
        <w:topLinePunct/>
        <w:spacing w:before="75" w:line="360" w:lineRule="auto"/>
        <w:ind w:left="5708" w:right="270" w:hanging="1173"/>
        <w:jc w:val="both"/>
        <w:rPr>
          <w:rFonts w:hint="eastAsia" w:ascii="宋体" w:hAnsi="宋体" w:eastAsia="宋体" w:cs="宋体"/>
          <w:color w:val="auto"/>
          <w:sz w:val="24"/>
          <w:szCs w:val="24"/>
          <w:highlight w:val="none"/>
        </w:rPr>
      </w:pPr>
    </w:p>
    <w:p w14:paraId="5C64F70E">
      <w:pPr>
        <w:tabs>
          <w:tab w:val="left" w:pos="6569"/>
        </w:tabs>
        <w:kinsoku/>
        <w:topLinePunct/>
        <w:spacing w:before="75" w:line="360" w:lineRule="auto"/>
        <w:ind w:left="5708" w:right="270" w:hanging="1173"/>
        <w:jc w:val="both"/>
        <w:rPr>
          <w:rFonts w:hint="eastAsia" w:ascii="宋体" w:hAnsi="宋体" w:eastAsia="宋体" w:cs="宋体"/>
          <w:color w:val="auto"/>
          <w:sz w:val="24"/>
          <w:szCs w:val="24"/>
          <w:highlight w:val="none"/>
        </w:rPr>
      </w:pPr>
    </w:p>
    <w:p w14:paraId="06892730">
      <w:pPr>
        <w:tabs>
          <w:tab w:val="left" w:pos="6569"/>
        </w:tabs>
        <w:kinsoku/>
        <w:topLinePunct/>
        <w:spacing w:before="75" w:line="360" w:lineRule="auto"/>
        <w:ind w:left="5708" w:right="270" w:hanging="1173"/>
        <w:jc w:val="both"/>
        <w:rPr>
          <w:rFonts w:hint="eastAsia" w:ascii="宋体" w:hAnsi="宋体" w:eastAsia="宋体" w:cs="宋体"/>
          <w:color w:val="auto"/>
          <w:sz w:val="24"/>
          <w:szCs w:val="24"/>
          <w:highlight w:val="none"/>
        </w:rPr>
      </w:pPr>
    </w:p>
    <w:p w14:paraId="21358D80">
      <w:pPr>
        <w:tabs>
          <w:tab w:val="left" w:pos="6569"/>
        </w:tabs>
        <w:kinsoku/>
        <w:topLinePunct/>
        <w:spacing w:before="75" w:line="360" w:lineRule="auto"/>
        <w:ind w:left="5708" w:right="270" w:hanging="1173"/>
        <w:jc w:val="both"/>
        <w:rPr>
          <w:rFonts w:hint="eastAsia" w:ascii="宋体" w:hAnsi="宋体" w:eastAsia="宋体" w:cs="宋体"/>
          <w:color w:val="auto"/>
          <w:sz w:val="24"/>
          <w:szCs w:val="24"/>
          <w:highlight w:val="none"/>
        </w:rPr>
      </w:pPr>
    </w:p>
    <w:p w14:paraId="43593524">
      <w:pPr>
        <w:tabs>
          <w:tab w:val="left" w:pos="6569"/>
        </w:tabs>
        <w:kinsoku/>
        <w:topLinePunct/>
        <w:spacing w:before="75" w:line="360" w:lineRule="auto"/>
        <w:ind w:left="5708" w:right="270" w:hanging="1173"/>
        <w:jc w:val="both"/>
        <w:rPr>
          <w:rFonts w:hint="eastAsia" w:ascii="宋体" w:hAnsi="宋体" w:eastAsia="宋体" w:cs="宋体"/>
          <w:color w:val="auto"/>
          <w:sz w:val="24"/>
          <w:szCs w:val="24"/>
          <w:highlight w:val="none"/>
        </w:rPr>
      </w:pPr>
    </w:p>
    <w:p w14:paraId="18776956">
      <w:pPr>
        <w:spacing w:line="360" w:lineRule="auto"/>
        <w:outlineLvl w:val="1"/>
        <w:rPr>
          <w:rFonts w:hint="eastAsia" w:ascii="宋体" w:hAnsi="宋体" w:eastAsia="宋体" w:cs="宋体"/>
          <w:color w:val="auto"/>
          <w:sz w:val="24"/>
          <w:szCs w:val="24"/>
          <w:highlight w:val="none"/>
          <w:lang w:val="en-US" w:eastAsia="zh-CN"/>
        </w:rPr>
      </w:pPr>
      <w:bookmarkStart w:id="1427" w:name="_Toc9751"/>
      <w:bookmarkStart w:id="1428" w:name="_Toc18958"/>
      <w:bookmarkStart w:id="1429" w:name="_Toc10416"/>
      <w:bookmarkStart w:id="1430" w:name="_Toc3527"/>
      <w:bookmarkStart w:id="1431" w:name="_Toc15785"/>
      <w:bookmarkStart w:id="1432" w:name="_Toc8366"/>
      <w:bookmarkStart w:id="1433" w:name="_Toc30900"/>
      <w:bookmarkStart w:id="1434" w:name="_Toc24824"/>
      <w:bookmarkStart w:id="1435" w:name="_Toc22774"/>
      <w:bookmarkStart w:id="1436" w:name="_Toc30760"/>
      <w:bookmarkStart w:id="1437" w:name="_Toc28413"/>
      <w:bookmarkStart w:id="1438" w:name="_Toc15921"/>
      <w:bookmarkStart w:id="1439" w:name="_Toc20154"/>
      <w:bookmarkStart w:id="1440" w:name="_Toc10334"/>
      <w:bookmarkStart w:id="1441" w:name="_Toc20057"/>
      <w:bookmarkStart w:id="1442" w:name="_Toc27877"/>
      <w:bookmarkStart w:id="1443" w:name="_Toc27462"/>
      <w:r>
        <w:rPr>
          <w:rFonts w:hint="eastAsia" w:ascii="宋体" w:hAnsi="宋体" w:eastAsia="宋体" w:cs="宋体"/>
          <w:color w:val="auto"/>
          <w:sz w:val="24"/>
          <w:szCs w:val="24"/>
          <w:highlight w:val="none"/>
        </w:rPr>
        <w:br w:type="page"/>
      </w:r>
      <w:bookmarkStart w:id="1444" w:name="_Toc10398"/>
      <w:bookmarkStart w:id="1445" w:name="_Toc8073"/>
      <w:bookmarkStart w:id="1446" w:name="_Toc24777"/>
      <w:bookmarkStart w:id="1447" w:name="_Toc22566"/>
      <w:bookmarkStart w:id="1448" w:name="_Toc32568"/>
      <w:bookmarkStart w:id="1449" w:name="_Toc20182"/>
      <w:r>
        <w:rPr>
          <w:rFonts w:hint="eastAsia" w:ascii="宋体" w:hAnsi="宋体" w:eastAsia="宋体" w:cs="宋体"/>
          <w:color w:val="auto"/>
          <w:sz w:val="24"/>
          <w:szCs w:val="24"/>
          <w:highlight w:val="none"/>
        </w:rPr>
        <w:t>格式七：</w:t>
      </w:r>
      <w:r>
        <w:rPr>
          <w:rFonts w:hint="eastAsia" w:ascii="宋体" w:hAnsi="宋体" w:eastAsia="宋体" w:cs="宋体"/>
          <w:color w:val="auto"/>
          <w:sz w:val="24"/>
          <w:szCs w:val="24"/>
          <w:highlight w:val="none"/>
          <w:lang w:val="en-US" w:eastAsia="zh-CN"/>
        </w:rPr>
        <w:t>技术方案</w:t>
      </w:r>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p>
    <w:p w14:paraId="3BCE3855">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投标文件技术方案内容包括以下内容(但不限于):</w:t>
      </w:r>
    </w:p>
    <w:p w14:paraId="1CBF4B55">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加工能力、制造水平</w:t>
      </w:r>
    </w:p>
    <w:p w14:paraId="72A4FFC8">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（1）投标人具备</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生产本项目货物的能力。</w:t>
      </w:r>
    </w:p>
    <w:p w14:paraId="2AD5C09B">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w:t>
      </w:r>
      <w:r>
        <w:rPr>
          <w:rFonts w:hint="eastAsia" w:ascii="宋体" w:hAnsi="宋体" w:eastAsia="宋体" w:cs="宋体"/>
          <w:color w:val="auto"/>
          <w:sz w:val="24"/>
          <w:szCs w:val="24"/>
          <w:highlight w:val="none"/>
          <w:lang w:eastAsia="zh-CN"/>
        </w:rPr>
        <w:t>所投</w:t>
      </w:r>
      <w:r>
        <w:rPr>
          <w:rFonts w:hint="eastAsia" w:ascii="宋体" w:hAnsi="宋体" w:eastAsia="宋体" w:cs="宋体"/>
          <w:color w:val="auto"/>
          <w:sz w:val="24"/>
          <w:szCs w:val="24"/>
          <w:highlight w:val="none"/>
        </w:rPr>
        <w:t>设备生产（制造）商的质量管控手段、质量管理体系。</w:t>
      </w:r>
    </w:p>
    <w:p w14:paraId="207C3C10">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投标货物技术指标的符合性、优越性</w:t>
      </w:r>
    </w:p>
    <w:p w14:paraId="2D57A548">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（1）蝶阀的性能、运行工况、过流能力、流量调节、气蚀、噪音、使用寿命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在线检修功能、厂商具有的</w:t>
      </w:r>
      <w:r>
        <w:rPr>
          <w:rFonts w:hint="eastAsia" w:ascii="宋体" w:hAnsi="宋体" w:eastAsia="宋体" w:cs="宋体"/>
          <w:color w:val="auto"/>
          <w:sz w:val="24"/>
          <w:szCs w:val="24"/>
          <w:highlight w:val="none"/>
        </w:rPr>
        <w:t>省级及以上权威检测机构出具的启闭次数≥5000</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次无泄漏的检测报告</w:t>
      </w:r>
      <w:r>
        <w:rPr>
          <w:rFonts w:hint="eastAsia" w:ascii="宋体" w:hAnsi="宋体" w:eastAsia="宋体" w:cs="宋体"/>
          <w:color w:val="auto"/>
          <w:sz w:val="24"/>
          <w:szCs w:val="24"/>
          <w:highlight w:val="none"/>
          <w:lang w:val="en-US" w:eastAsia="zh-CN"/>
        </w:rPr>
        <w:t>及产品性能随机抽检承诺</w:t>
      </w:r>
      <w:r>
        <w:rPr>
          <w:rFonts w:hint="eastAsia" w:ascii="宋体" w:hAnsi="宋体" w:eastAsia="宋体" w:cs="宋体"/>
          <w:color w:val="auto"/>
          <w:sz w:val="24"/>
          <w:szCs w:val="24"/>
          <w:highlight w:val="none"/>
        </w:rPr>
        <w:t>等。</w:t>
      </w:r>
    </w:p>
    <w:p w14:paraId="7810899F">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（2）偏心半球阀的性能、运行工况、过流能力、流量调节、气蚀、噪音、使用寿命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厂商具有的</w:t>
      </w:r>
      <w:r>
        <w:rPr>
          <w:rFonts w:hint="eastAsia" w:ascii="宋体" w:hAnsi="宋体" w:eastAsia="宋体" w:cs="宋体"/>
          <w:color w:val="auto"/>
          <w:sz w:val="24"/>
          <w:szCs w:val="24"/>
          <w:highlight w:val="none"/>
        </w:rPr>
        <w:t>省级及以上权威检测机构出具的启闭次数≥5000次无泄漏的检测报告</w:t>
      </w:r>
      <w:r>
        <w:rPr>
          <w:rFonts w:hint="eastAsia" w:ascii="宋体" w:hAnsi="宋体" w:eastAsia="宋体" w:cs="宋体"/>
          <w:color w:val="auto"/>
          <w:sz w:val="24"/>
          <w:szCs w:val="24"/>
          <w:highlight w:val="none"/>
          <w:lang w:val="en-US" w:eastAsia="zh-CN"/>
        </w:rPr>
        <w:t>及产品性能随机抽检承诺</w:t>
      </w:r>
      <w:r>
        <w:rPr>
          <w:rFonts w:hint="eastAsia" w:ascii="宋体" w:hAnsi="宋体" w:eastAsia="宋体" w:cs="宋体"/>
          <w:color w:val="auto"/>
          <w:sz w:val="24"/>
          <w:szCs w:val="24"/>
          <w:highlight w:val="none"/>
        </w:rPr>
        <w:t>等。</w:t>
      </w:r>
    </w:p>
    <w:p w14:paraId="086E470A">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（3）活塞调流阀的性能、运行工况、过流能力、流量调节、气蚀、噪音、使用寿命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厂商针对本项目所供</w:t>
      </w:r>
      <w:r>
        <w:rPr>
          <w:rFonts w:hint="eastAsia" w:ascii="宋体" w:hAnsi="宋体" w:eastAsia="宋体" w:cs="宋体"/>
          <w:color w:val="auto"/>
          <w:sz w:val="24"/>
          <w:szCs w:val="24"/>
          <w:highlight w:val="none"/>
        </w:rPr>
        <w:t>活塞调流阀</w:t>
      </w:r>
      <w:r>
        <w:rPr>
          <w:rFonts w:hint="eastAsia" w:ascii="宋体" w:hAnsi="宋体" w:eastAsia="宋体" w:cs="宋体"/>
          <w:color w:val="auto"/>
          <w:sz w:val="24"/>
          <w:szCs w:val="24"/>
          <w:highlight w:val="none"/>
          <w:lang w:val="en-US" w:eastAsia="zh-CN"/>
        </w:rPr>
        <w:t>产品性能随机抽检承诺</w:t>
      </w:r>
      <w:r>
        <w:rPr>
          <w:rFonts w:hint="eastAsia" w:ascii="宋体" w:hAnsi="宋体" w:eastAsia="宋体" w:cs="宋体"/>
          <w:color w:val="auto"/>
          <w:sz w:val="24"/>
          <w:szCs w:val="24"/>
          <w:highlight w:val="none"/>
        </w:rPr>
        <w:t>等。</w:t>
      </w:r>
    </w:p>
    <w:p w14:paraId="176DB085">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（4）固定锥阀的性能、运行工况、过流能力、流量调节、气蚀、噪音、使用寿命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厂商针对本项目所供</w:t>
      </w:r>
      <w:r>
        <w:rPr>
          <w:rFonts w:hint="eastAsia" w:ascii="宋体" w:hAnsi="宋体" w:eastAsia="宋体" w:cs="宋体"/>
          <w:color w:val="auto"/>
          <w:sz w:val="24"/>
          <w:szCs w:val="24"/>
          <w:highlight w:val="none"/>
        </w:rPr>
        <w:t>固定锥阀</w:t>
      </w:r>
      <w:r>
        <w:rPr>
          <w:rFonts w:hint="eastAsia" w:ascii="宋体" w:hAnsi="宋体" w:eastAsia="宋体" w:cs="宋体"/>
          <w:color w:val="auto"/>
          <w:sz w:val="24"/>
          <w:szCs w:val="24"/>
          <w:highlight w:val="none"/>
          <w:lang w:val="en-US" w:eastAsia="zh-CN"/>
        </w:rPr>
        <w:t>产品性能随机抽检承诺</w:t>
      </w:r>
      <w:r>
        <w:rPr>
          <w:rFonts w:hint="eastAsia" w:ascii="宋体" w:hAnsi="宋体" w:eastAsia="宋体" w:cs="宋体"/>
          <w:color w:val="auto"/>
          <w:sz w:val="24"/>
          <w:szCs w:val="24"/>
          <w:highlight w:val="none"/>
        </w:rPr>
        <w:t>等。</w:t>
      </w:r>
    </w:p>
    <w:p w14:paraId="7A048BB2">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（5）电动执行机构的防护等级、控制功能、操作灵活性等。</w:t>
      </w:r>
    </w:p>
    <w:p w14:paraId="3D07EA74">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（6）电磁流量计、超声波流量计流速测量范围、测量精度等性能。</w:t>
      </w:r>
    </w:p>
    <w:p w14:paraId="28DDEAFE">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（7）超声波流量计流流量管理系统服务器、工作站和网络设备等硬件配置性能</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流量管理系统软件的开放性、可拓展性。</w:t>
      </w:r>
    </w:p>
    <w:p w14:paraId="427150F8">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主要制作材料选用的比较</w:t>
      </w:r>
    </w:p>
    <w:p w14:paraId="16A0D44C">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（1）阀体内外防腐技术，涂层厚度及所提供的防腐材料成分性能检验报告内容等。</w:t>
      </w:r>
    </w:p>
    <w:p w14:paraId="3F47D420">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（2）各类阀门的主要部件材质材料的优异性、先进性、耐久性</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w:t>
      </w:r>
    </w:p>
    <w:p w14:paraId="0A187099">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（3）电磁流量计传感器、电极材料等主要部件材质材料的优异性。</w:t>
      </w:r>
    </w:p>
    <w:p w14:paraId="3D97B6F7">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组织实施方案：投标人组织实施方案的科学性、合理性、规范性和可操作性，包括货物供货、验货、组装就位、关键步骤的思路和要点以及组织机构、工作时间进度表、工作程序和步骤等内容</w:t>
      </w:r>
    </w:p>
    <w:p w14:paraId="66967307">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服务实施方案。</w:t>
      </w:r>
    </w:p>
    <w:p w14:paraId="0472A4D7">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大直径阀门运输方案。</w:t>
      </w:r>
    </w:p>
    <w:p w14:paraId="019F1EFE">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指导安装方案。</w:t>
      </w:r>
    </w:p>
    <w:p w14:paraId="28A431D0">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阀门吊装维修方案。</w:t>
      </w:r>
    </w:p>
    <w:p w14:paraId="0DB4F117">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（5）投标人或</w:t>
      </w:r>
      <w:r>
        <w:rPr>
          <w:rFonts w:hint="eastAsia" w:ascii="宋体" w:hAnsi="宋体" w:eastAsia="宋体" w:cs="宋体"/>
          <w:color w:val="auto"/>
          <w:sz w:val="24"/>
          <w:szCs w:val="24"/>
          <w:highlight w:val="none"/>
          <w:lang w:eastAsia="zh-CN"/>
        </w:rPr>
        <w:t>所投</w:t>
      </w:r>
      <w:r>
        <w:rPr>
          <w:rFonts w:hint="eastAsia" w:ascii="宋体" w:hAnsi="宋体" w:eastAsia="宋体" w:cs="宋体"/>
          <w:color w:val="auto"/>
          <w:sz w:val="24"/>
          <w:szCs w:val="24"/>
          <w:highlight w:val="none"/>
        </w:rPr>
        <w:t>的活塞阀、固定锥阀生产制造商的模型试验或真机试验能力以及模型试验或真机试验方案。</w:t>
      </w:r>
    </w:p>
    <w:p w14:paraId="6D17073D">
      <w:pPr>
        <w:keepNext w:val="0"/>
        <w:keepLines w:val="0"/>
        <w:pageBreakBefore w:val="0"/>
        <w:widowControl/>
        <w:kinsoku/>
        <w:wordWrap/>
        <w:overflowPunct/>
        <w:topLinePunct/>
        <w:autoSpaceDE w:val="0"/>
        <w:autoSpaceDN w:val="0"/>
        <w:bidi w:val="0"/>
        <w:adjustRightInd w:val="0"/>
        <w:snapToGrid w:val="0"/>
        <w:spacing w:line="360" w:lineRule="auto"/>
        <w:ind w:lef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投标人是否具有较强的本地化服务能力、售后服务承诺、提供的售后服务方案的可行性、完整性以及服务承诺落实的保障措施，质保期内外的后续技术支持和维护能力情况等</w:t>
      </w:r>
    </w:p>
    <w:p w14:paraId="7185FDB5">
      <w:pPr>
        <w:kinsoku/>
        <w:topLinePunct/>
        <w:spacing w:before="146" w:line="360" w:lineRule="auto"/>
        <w:ind w:left="53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（1）售后服务承诺、售后服务方案。</w:t>
      </w:r>
    </w:p>
    <w:p w14:paraId="682F075D">
      <w:pPr>
        <w:kinsoku/>
        <w:topLinePunct/>
        <w:spacing w:before="146" w:line="360" w:lineRule="auto"/>
        <w:ind w:left="53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（2）供货进度安排及相应保障措施。</w:t>
      </w:r>
    </w:p>
    <w:p w14:paraId="77CC1236">
      <w:pPr>
        <w:kinsoku/>
        <w:topLinePunct/>
        <w:spacing w:before="146" w:line="360" w:lineRule="auto"/>
        <w:ind w:left="538"/>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（3）投标人承诺</w:t>
      </w:r>
      <w:r>
        <w:rPr>
          <w:rFonts w:hint="eastAsia" w:ascii="宋体" w:hAnsi="宋体" w:eastAsia="宋体" w:cs="宋体"/>
          <w:color w:val="auto"/>
          <w:sz w:val="24"/>
          <w:szCs w:val="24"/>
          <w:highlight w:val="none"/>
          <w:lang w:val="en-US" w:eastAsia="zh-CN"/>
        </w:rPr>
        <w:t>增加的免费质量保修期</w:t>
      </w:r>
      <w:r>
        <w:rPr>
          <w:rFonts w:hint="eastAsia" w:ascii="宋体" w:hAnsi="宋体" w:eastAsia="宋体" w:cs="宋体"/>
          <w:color w:val="auto"/>
          <w:sz w:val="24"/>
          <w:szCs w:val="24"/>
          <w:highlight w:val="none"/>
        </w:rPr>
        <w:t>。</w:t>
      </w:r>
    </w:p>
    <w:p w14:paraId="09E8FD0C">
      <w:pPr>
        <w:kinsoku/>
        <w:topLinePunct/>
        <w:spacing w:line="360"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其它</w:t>
      </w:r>
    </w:p>
    <w:p w14:paraId="32CD8990">
      <w:pPr>
        <w:kinsoku/>
        <w:topLinePunct/>
        <w:spacing w:line="360" w:lineRule="auto"/>
        <w:ind w:firstLine="444" w:firstLineChars="185"/>
        <w:jc w:val="both"/>
        <w:rPr>
          <w:rFonts w:hint="eastAsia" w:ascii="宋体" w:hAnsi="宋体" w:eastAsia="宋体" w:cs="宋体"/>
          <w:color w:val="auto"/>
          <w:sz w:val="24"/>
          <w:szCs w:val="24"/>
          <w:highlight w:val="none"/>
        </w:rPr>
      </w:pPr>
      <w:r>
        <w:rPr>
          <w:rFonts w:hint="eastAsia" w:ascii="宋体" w:hAnsi="宋体" w:eastAsia="宋体" w:cs="宋体"/>
          <w:snapToGrid/>
          <w:color w:val="auto"/>
          <w:sz w:val="24"/>
          <w:szCs w:val="24"/>
          <w:highlight w:val="none"/>
          <w:lang w:eastAsia="zh-CN"/>
        </w:rPr>
        <w:t>（</w:t>
      </w:r>
      <w:r>
        <w:rPr>
          <w:rFonts w:hint="eastAsia" w:ascii="宋体" w:hAnsi="宋体" w:eastAsia="宋体" w:cs="宋体"/>
          <w:snapToGrid/>
          <w:color w:val="auto"/>
          <w:sz w:val="24"/>
          <w:szCs w:val="24"/>
          <w:highlight w:val="none"/>
          <w:lang w:val="en-US" w:eastAsia="zh-CN"/>
        </w:rPr>
        <w:t>1</w:t>
      </w:r>
      <w:r>
        <w:rPr>
          <w:rFonts w:hint="eastAsia" w:ascii="宋体" w:hAnsi="宋体" w:eastAsia="宋体" w:cs="宋体"/>
          <w:snapToGrid/>
          <w:color w:val="auto"/>
          <w:sz w:val="24"/>
          <w:szCs w:val="24"/>
          <w:highlight w:val="none"/>
          <w:lang w:eastAsia="zh-CN"/>
        </w:rPr>
        <w:t>）</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设备的品牌响应情况</w:t>
      </w:r>
      <w:r>
        <w:rPr>
          <w:rFonts w:hint="eastAsia" w:ascii="宋体" w:hAnsi="宋体" w:eastAsia="宋体" w:cs="宋体"/>
          <w:color w:val="auto"/>
          <w:sz w:val="24"/>
          <w:szCs w:val="24"/>
          <w:highlight w:val="none"/>
          <w:lang w:eastAsia="zh-CN"/>
        </w:rPr>
        <w:t>。</w:t>
      </w:r>
    </w:p>
    <w:p w14:paraId="166BC05F">
      <w:pPr>
        <w:kinsoku/>
        <w:topLinePunct/>
        <w:spacing w:before="146" w:line="360" w:lineRule="auto"/>
        <w:ind w:left="538"/>
        <w:jc w:val="both"/>
        <w:rPr>
          <w:rFonts w:hint="eastAsia" w:ascii="宋体" w:hAnsi="宋体" w:eastAsia="宋体" w:cs="宋体"/>
          <w:color w:val="auto"/>
          <w:sz w:val="24"/>
          <w:szCs w:val="24"/>
          <w:highlight w:val="none"/>
        </w:rPr>
      </w:pPr>
    </w:p>
    <w:p w14:paraId="402A6927">
      <w:pPr>
        <w:kinsoku/>
        <w:topLinePunct/>
        <w:spacing w:before="146" w:line="360" w:lineRule="auto"/>
        <w:ind w:left="538"/>
        <w:jc w:val="both"/>
        <w:rPr>
          <w:rFonts w:hint="eastAsia" w:ascii="宋体" w:hAnsi="宋体" w:eastAsia="宋体" w:cs="宋体"/>
          <w:color w:val="auto"/>
          <w:sz w:val="24"/>
          <w:szCs w:val="24"/>
          <w:highlight w:val="none"/>
        </w:rPr>
      </w:pPr>
    </w:p>
    <w:p w14:paraId="0EF0DA03">
      <w:pPr>
        <w:kinsoku/>
        <w:topLinePunct/>
        <w:spacing w:before="146" w:line="360" w:lineRule="auto"/>
        <w:ind w:left="538"/>
        <w:jc w:val="both"/>
        <w:rPr>
          <w:rFonts w:hint="eastAsia" w:ascii="宋体" w:hAnsi="宋体" w:eastAsia="宋体" w:cs="宋体"/>
          <w:color w:val="auto"/>
          <w:sz w:val="24"/>
          <w:szCs w:val="24"/>
          <w:highlight w:val="none"/>
        </w:rPr>
      </w:pPr>
    </w:p>
    <w:p w14:paraId="6447AE5B">
      <w:pPr>
        <w:kinsoku/>
        <w:topLinePunct/>
        <w:spacing w:before="146" w:line="360" w:lineRule="auto"/>
        <w:ind w:left="538"/>
        <w:jc w:val="both"/>
        <w:rPr>
          <w:rFonts w:hint="eastAsia" w:ascii="宋体" w:hAnsi="宋体" w:eastAsia="宋体" w:cs="宋体"/>
          <w:color w:val="auto"/>
          <w:sz w:val="24"/>
          <w:szCs w:val="24"/>
          <w:highlight w:val="none"/>
        </w:rPr>
      </w:pPr>
    </w:p>
    <w:p w14:paraId="601AF19F">
      <w:pPr>
        <w:kinsoku/>
        <w:topLinePunct/>
        <w:spacing w:before="146" w:line="360" w:lineRule="auto"/>
        <w:ind w:left="538"/>
        <w:jc w:val="both"/>
        <w:rPr>
          <w:rFonts w:hint="eastAsia" w:ascii="宋体" w:hAnsi="宋体" w:eastAsia="宋体" w:cs="宋体"/>
          <w:color w:val="auto"/>
          <w:sz w:val="24"/>
          <w:szCs w:val="24"/>
          <w:highlight w:val="none"/>
        </w:rPr>
      </w:pPr>
    </w:p>
    <w:p w14:paraId="2A0F8B8E">
      <w:pPr>
        <w:kinsoku/>
        <w:topLinePunct/>
        <w:spacing w:before="146" w:line="360" w:lineRule="auto"/>
        <w:ind w:left="538"/>
        <w:jc w:val="both"/>
        <w:rPr>
          <w:rFonts w:hint="eastAsia" w:ascii="宋体" w:hAnsi="宋体" w:eastAsia="宋体" w:cs="宋体"/>
          <w:color w:val="auto"/>
          <w:sz w:val="24"/>
          <w:szCs w:val="24"/>
          <w:highlight w:val="none"/>
        </w:rPr>
      </w:pPr>
    </w:p>
    <w:p w14:paraId="2CB646C8">
      <w:pPr>
        <w:kinsoku/>
        <w:topLinePunct/>
        <w:spacing w:before="146" w:line="360" w:lineRule="auto"/>
        <w:ind w:left="538"/>
        <w:jc w:val="both"/>
        <w:rPr>
          <w:rFonts w:hint="eastAsia" w:ascii="宋体" w:hAnsi="宋体" w:eastAsia="宋体" w:cs="宋体"/>
          <w:color w:val="auto"/>
          <w:sz w:val="24"/>
          <w:szCs w:val="24"/>
          <w:highlight w:val="none"/>
        </w:rPr>
      </w:pPr>
    </w:p>
    <w:p w14:paraId="60F08546">
      <w:pPr>
        <w:kinsoku/>
        <w:topLinePunct/>
        <w:spacing w:before="146" w:line="360" w:lineRule="auto"/>
        <w:ind w:left="538"/>
        <w:jc w:val="both"/>
        <w:rPr>
          <w:rFonts w:hint="eastAsia" w:ascii="宋体" w:hAnsi="宋体" w:eastAsia="宋体" w:cs="宋体"/>
          <w:color w:val="auto"/>
          <w:sz w:val="24"/>
          <w:szCs w:val="24"/>
          <w:highlight w:val="none"/>
        </w:rPr>
      </w:pPr>
    </w:p>
    <w:p w14:paraId="41239C65">
      <w:pPr>
        <w:spacing w:line="360" w:lineRule="auto"/>
        <w:outlineLvl w:val="1"/>
        <w:rPr>
          <w:rFonts w:hint="eastAsia" w:ascii="宋体" w:hAnsi="宋体" w:eastAsia="宋体" w:cs="宋体"/>
          <w:color w:val="auto"/>
          <w:sz w:val="24"/>
          <w:szCs w:val="24"/>
          <w:highlight w:val="none"/>
        </w:rPr>
      </w:pPr>
      <w:bookmarkStart w:id="1450" w:name="_Toc16631"/>
      <w:bookmarkStart w:id="1451" w:name="_Toc8585"/>
      <w:bookmarkStart w:id="1452" w:name="_Toc32171"/>
      <w:bookmarkStart w:id="1453" w:name="_Toc3165"/>
      <w:bookmarkStart w:id="1454" w:name="_Toc30448"/>
      <w:bookmarkStart w:id="1455" w:name="_Toc10383"/>
      <w:bookmarkStart w:id="1456" w:name="_Toc1143"/>
      <w:bookmarkStart w:id="1457" w:name="_Toc9790"/>
      <w:bookmarkStart w:id="1458" w:name="_Toc3486"/>
      <w:bookmarkStart w:id="1459" w:name="_Toc4551"/>
      <w:bookmarkStart w:id="1460" w:name="_Toc10581"/>
      <w:bookmarkStart w:id="1461" w:name="_Toc25590"/>
      <w:bookmarkStart w:id="1462" w:name="_Toc8444"/>
      <w:bookmarkStart w:id="1463" w:name="_Toc1270"/>
      <w:bookmarkStart w:id="1464" w:name="_Toc13896"/>
      <w:bookmarkStart w:id="1465" w:name="_Toc31615"/>
      <w:bookmarkStart w:id="1466" w:name="_Toc14149"/>
      <w:r>
        <w:rPr>
          <w:rFonts w:hint="eastAsia" w:ascii="宋体" w:hAnsi="宋体" w:eastAsia="宋体" w:cs="宋体"/>
          <w:color w:val="auto"/>
          <w:sz w:val="24"/>
          <w:szCs w:val="24"/>
          <w:highlight w:val="none"/>
        </w:rPr>
        <w:br w:type="page"/>
      </w:r>
      <w:bookmarkStart w:id="1467" w:name="_Toc27792"/>
      <w:bookmarkStart w:id="1468" w:name="_Toc27844"/>
      <w:bookmarkStart w:id="1469" w:name="_Toc21273"/>
      <w:bookmarkStart w:id="1470" w:name="_Toc19360"/>
      <w:bookmarkStart w:id="1471" w:name="_Toc25921"/>
      <w:bookmarkStart w:id="1472" w:name="_Toc6541"/>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：投标人基本情况</w:t>
      </w:r>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p>
    <w:p w14:paraId="0A972F0B">
      <w:pPr>
        <w:kinsoku/>
        <w:topLinePunct/>
        <w:spacing w:line="360" w:lineRule="auto"/>
        <w:jc w:val="center"/>
        <w:rPr>
          <w:rFonts w:hint="eastAsia" w:ascii="华文中宋" w:hAnsi="华文中宋" w:eastAsia="华文中宋" w:cs="华文中宋"/>
          <w:b/>
          <w:bCs/>
          <w:color w:val="auto"/>
          <w:kern w:val="2"/>
          <w:sz w:val="28"/>
          <w:szCs w:val="28"/>
          <w:highlight w:val="none"/>
        </w:rPr>
      </w:pPr>
      <w:r>
        <w:rPr>
          <w:rFonts w:hint="eastAsia" w:ascii="华文中宋" w:hAnsi="华文中宋" w:eastAsia="华文中宋" w:cs="华文中宋"/>
          <w:b/>
          <w:bCs/>
          <w:color w:val="auto"/>
          <w:kern w:val="2"/>
          <w:sz w:val="28"/>
          <w:szCs w:val="28"/>
          <w:highlight w:val="none"/>
        </w:rPr>
        <w:t>投标人基本情况</w:t>
      </w:r>
    </w:p>
    <w:tbl>
      <w:tblPr>
        <w:tblStyle w:val="22"/>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26606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2B596D6">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5320C537">
            <w:pPr>
              <w:kinsoku/>
              <w:topLinePunct/>
              <w:spacing w:line="360" w:lineRule="auto"/>
              <w:rPr>
                <w:rFonts w:hint="eastAsia" w:ascii="宋体" w:hAnsi="宋体" w:eastAsia="宋体" w:cs="宋体"/>
                <w:color w:val="auto"/>
                <w:sz w:val="24"/>
                <w:szCs w:val="24"/>
                <w:highlight w:val="none"/>
              </w:rPr>
            </w:pPr>
          </w:p>
        </w:tc>
      </w:tr>
      <w:tr w14:paraId="6E2EA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6D9CE0CC">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4601ED92">
            <w:pPr>
              <w:kinsoku/>
              <w:topLinePunct/>
              <w:spacing w:line="360" w:lineRule="auto"/>
              <w:rPr>
                <w:rFonts w:hint="eastAsia" w:ascii="宋体" w:hAnsi="宋体" w:eastAsia="宋体" w:cs="宋体"/>
                <w:color w:val="auto"/>
                <w:sz w:val="24"/>
                <w:szCs w:val="24"/>
                <w:highlight w:val="none"/>
              </w:rPr>
            </w:pPr>
          </w:p>
        </w:tc>
        <w:tc>
          <w:tcPr>
            <w:tcW w:w="1389" w:type="dxa"/>
            <w:tcBorders>
              <w:top w:val="single" w:color="auto" w:sz="4" w:space="0"/>
              <w:left w:val="nil"/>
              <w:bottom w:val="single" w:color="auto" w:sz="4" w:space="0"/>
              <w:right w:val="single" w:color="auto" w:sz="4" w:space="0"/>
            </w:tcBorders>
            <w:noWrap/>
            <w:vAlign w:val="center"/>
          </w:tcPr>
          <w:p w14:paraId="73049AE3">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0BD71AD7">
            <w:pPr>
              <w:kinsoku/>
              <w:topLinePunct/>
              <w:spacing w:line="360" w:lineRule="auto"/>
              <w:rPr>
                <w:rFonts w:hint="eastAsia" w:ascii="宋体" w:hAnsi="宋体" w:eastAsia="宋体" w:cs="宋体"/>
                <w:color w:val="auto"/>
                <w:sz w:val="24"/>
                <w:szCs w:val="24"/>
                <w:highlight w:val="none"/>
              </w:rPr>
            </w:pPr>
          </w:p>
        </w:tc>
      </w:tr>
      <w:tr w14:paraId="34848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736934EB">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485787D1">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74CAD7F1">
            <w:pPr>
              <w:kinsoku/>
              <w:topLinePunct/>
              <w:spacing w:line="360" w:lineRule="auto"/>
              <w:rPr>
                <w:rFonts w:hint="eastAsia" w:ascii="宋体" w:hAnsi="宋体" w:eastAsia="宋体" w:cs="宋体"/>
                <w:color w:val="auto"/>
                <w:sz w:val="24"/>
                <w:szCs w:val="24"/>
                <w:highlight w:val="none"/>
              </w:rPr>
            </w:pPr>
          </w:p>
        </w:tc>
        <w:tc>
          <w:tcPr>
            <w:tcW w:w="1389" w:type="dxa"/>
            <w:tcBorders>
              <w:top w:val="single" w:color="auto" w:sz="4" w:space="0"/>
              <w:left w:val="nil"/>
              <w:bottom w:val="single" w:color="auto" w:sz="4" w:space="0"/>
              <w:right w:val="single" w:color="auto" w:sz="4" w:space="0"/>
            </w:tcBorders>
            <w:noWrap/>
            <w:vAlign w:val="center"/>
          </w:tcPr>
          <w:p w14:paraId="01A28443">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75D2FB92">
            <w:pPr>
              <w:kinsoku/>
              <w:topLinePunct/>
              <w:spacing w:line="360" w:lineRule="auto"/>
              <w:rPr>
                <w:rFonts w:hint="eastAsia" w:ascii="宋体" w:hAnsi="宋体" w:eastAsia="宋体" w:cs="宋体"/>
                <w:color w:val="auto"/>
                <w:sz w:val="24"/>
                <w:szCs w:val="24"/>
                <w:highlight w:val="none"/>
              </w:rPr>
            </w:pPr>
          </w:p>
        </w:tc>
      </w:tr>
      <w:tr w14:paraId="0663B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noWrap w:val="0"/>
            <w:vAlign w:val="center"/>
          </w:tcPr>
          <w:p w14:paraId="7CEA2B96">
            <w:pPr>
              <w:kinsoku/>
              <w:topLinePunct/>
              <w:autoSpaceDE/>
              <w:autoSpaceDN/>
              <w:adjustRightInd/>
              <w:spacing w:line="360" w:lineRule="auto"/>
              <w:rPr>
                <w:rFonts w:hint="eastAsia" w:ascii="宋体" w:hAnsi="宋体" w:eastAsia="宋体" w:cs="宋体"/>
                <w:color w:val="auto"/>
                <w:sz w:val="24"/>
                <w:szCs w:val="24"/>
                <w:highlight w:val="none"/>
              </w:rPr>
            </w:pPr>
          </w:p>
        </w:tc>
        <w:tc>
          <w:tcPr>
            <w:tcW w:w="993" w:type="dxa"/>
            <w:tcBorders>
              <w:top w:val="single" w:color="auto" w:sz="4" w:space="0"/>
              <w:left w:val="nil"/>
              <w:bottom w:val="single" w:color="auto" w:sz="4" w:space="0"/>
              <w:right w:val="single" w:color="auto" w:sz="4" w:space="0"/>
            </w:tcBorders>
            <w:noWrap/>
            <w:vAlign w:val="center"/>
          </w:tcPr>
          <w:p w14:paraId="25800831">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7A806560">
            <w:pPr>
              <w:kinsoku/>
              <w:topLinePunct/>
              <w:spacing w:line="360" w:lineRule="auto"/>
              <w:rPr>
                <w:rFonts w:hint="eastAsia" w:ascii="宋体" w:hAnsi="宋体" w:eastAsia="宋体" w:cs="宋体"/>
                <w:color w:val="auto"/>
                <w:sz w:val="24"/>
                <w:szCs w:val="24"/>
                <w:highlight w:val="none"/>
              </w:rPr>
            </w:pPr>
          </w:p>
        </w:tc>
        <w:tc>
          <w:tcPr>
            <w:tcW w:w="1389" w:type="dxa"/>
            <w:tcBorders>
              <w:top w:val="single" w:color="auto" w:sz="4" w:space="0"/>
              <w:left w:val="nil"/>
              <w:bottom w:val="single" w:color="auto" w:sz="4" w:space="0"/>
              <w:right w:val="single" w:color="auto" w:sz="4" w:space="0"/>
            </w:tcBorders>
            <w:noWrap/>
            <w:vAlign w:val="center"/>
          </w:tcPr>
          <w:p w14:paraId="5CEDB3BA">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32EBFE16">
            <w:pPr>
              <w:kinsoku/>
              <w:topLinePunct/>
              <w:spacing w:line="360" w:lineRule="auto"/>
              <w:rPr>
                <w:rFonts w:hint="eastAsia" w:ascii="宋体" w:hAnsi="宋体" w:eastAsia="宋体" w:cs="宋体"/>
                <w:color w:val="auto"/>
                <w:sz w:val="24"/>
                <w:szCs w:val="24"/>
                <w:highlight w:val="none"/>
              </w:rPr>
            </w:pPr>
          </w:p>
        </w:tc>
      </w:tr>
      <w:tr w14:paraId="02681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70F1DA4">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62671717">
            <w:pPr>
              <w:kinsoku/>
              <w:topLinePunct/>
              <w:spacing w:line="360" w:lineRule="auto"/>
              <w:rPr>
                <w:rFonts w:hint="eastAsia" w:ascii="宋体" w:hAnsi="宋体" w:eastAsia="宋体" w:cs="宋体"/>
                <w:color w:val="auto"/>
                <w:sz w:val="24"/>
                <w:szCs w:val="24"/>
                <w:highlight w:val="none"/>
              </w:rPr>
            </w:pPr>
          </w:p>
        </w:tc>
      </w:tr>
      <w:tr w14:paraId="5D32F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547B121">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2680736D">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24F3F8FF">
            <w:pPr>
              <w:kinsoku/>
              <w:topLinePunct/>
              <w:spacing w:line="360" w:lineRule="auto"/>
              <w:rPr>
                <w:rFonts w:hint="eastAsia" w:ascii="宋体" w:hAnsi="宋体" w:eastAsia="宋体" w:cs="宋体"/>
                <w:color w:val="auto"/>
                <w:sz w:val="24"/>
                <w:szCs w:val="24"/>
                <w:highlight w:val="none"/>
              </w:rPr>
            </w:pPr>
          </w:p>
        </w:tc>
        <w:tc>
          <w:tcPr>
            <w:tcW w:w="1275" w:type="dxa"/>
            <w:tcBorders>
              <w:top w:val="single" w:color="auto" w:sz="4" w:space="0"/>
              <w:left w:val="nil"/>
              <w:bottom w:val="single" w:color="auto" w:sz="4" w:space="0"/>
              <w:right w:val="single" w:color="auto" w:sz="4" w:space="0"/>
            </w:tcBorders>
            <w:noWrap/>
            <w:vAlign w:val="center"/>
          </w:tcPr>
          <w:p w14:paraId="5D8ED808">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5C8B2CCA">
            <w:pPr>
              <w:kinsoku/>
              <w:topLinePunct/>
              <w:spacing w:line="360" w:lineRule="auto"/>
              <w:rPr>
                <w:rFonts w:hint="eastAsia" w:ascii="宋体" w:hAnsi="宋体" w:eastAsia="宋体" w:cs="宋体"/>
                <w:color w:val="auto"/>
                <w:sz w:val="24"/>
                <w:szCs w:val="24"/>
                <w:highlight w:val="none"/>
              </w:rPr>
            </w:pPr>
          </w:p>
        </w:tc>
        <w:tc>
          <w:tcPr>
            <w:tcW w:w="1038" w:type="dxa"/>
            <w:tcBorders>
              <w:top w:val="single" w:color="auto" w:sz="4" w:space="0"/>
              <w:left w:val="nil"/>
              <w:bottom w:val="single" w:color="auto" w:sz="4" w:space="0"/>
              <w:right w:val="single" w:color="auto" w:sz="4" w:space="0"/>
            </w:tcBorders>
            <w:noWrap/>
            <w:vAlign w:val="center"/>
          </w:tcPr>
          <w:p w14:paraId="4FE6435D">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6CBA7ED">
            <w:pPr>
              <w:kinsoku/>
              <w:topLinePunct/>
              <w:spacing w:line="360" w:lineRule="auto"/>
              <w:rPr>
                <w:rFonts w:hint="eastAsia" w:ascii="宋体" w:hAnsi="宋体" w:eastAsia="宋体" w:cs="宋体"/>
                <w:color w:val="auto"/>
                <w:sz w:val="24"/>
                <w:szCs w:val="24"/>
                <w:highlight w:val="none"/>
              </w:rPr>
            </w:pPr>
          </w:p>
        </w:tc>
      </w:tr>
      <w:tr w14:paraId="35B8D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6FAD8AA">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1CF845A7">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677D460F">
            <w:pPr>
              <w:kinsoku/>
              <w:topLinePunct/>
              <w:spacing w:line="360" w:lineRule="auto"/>
              <w:rPr>
                <w:rFonts w:hint="eastAsia" w:ascii="宋体" w:hAnsi="宋体" w:eastAsia="宋体" w:cs="宋体"/>
                <w:color w:val="auto"/>
                <w:sz w:val="24"/>
                <w:szCs w:val="24"/>
                <w:highlight w:val="none"/>
              </w:rPr>
            </w:pPr>
          </w:p>
        </w:tc>
        <w:tc>
          <w:tcPr>
            <w:tcW w:w="1275" w:type="dxa"/>
            <w:tcBorders>
              <w:top w:val="single" w:color="auto" w:sz="4" w:space="0"/>
              <w:left w:val="nil"/>
              <w:bottom w:val="single" w:color="auto" w:sz="4" w:space="0"/>
              <w:right w:val="single" w:color="auto" w:sz="4" w:space="0"/>
            </w:tcBorders>
            <w:noWrap/>
            <w:vAlign w:val="center"/>
          </w:tcPr>
          <w:p w14:paraId="75988342">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1C8D375E">
            <w:pPr>
              <w:kinsoku/>
              <w:topLinePunct/>
              <w:spacing w:line="360" w:lineRule="auto"/>
              <w:rPr>
                <w:rFonts w:hint="eastAsia" w:ascii="宋体" w:hAnsi="宋体" w:eastAsia="宋体" w:cs="宋体"/>
                <w:color w:val="auto"/>
                <w:sz w:val="24"/>
                <w:szCs w:val="24"/>
                <w:highlight w:val="none"/>
              </w:rPr>
            </w:pPr>
          </w:p>
        </w:tc>
        <w:tc>
          <w:tcPr>
            <w:tcW w:w="1038" w:type="dxa"/>
            <w:tcBorders>
              <w:top w:val="single" w:color="auto" w:sz="4" w:space="0"/>
              <w:left w:val="nil"/>
              <w:bottom w:val="single" w:color="auto" w:sz="4" w:space="0"/>
              <w:right w:val="single" w:color="auto" w:sz="4" w:space="0"/>
            </w:tcBorders>
            <w:noWrap/>
            <w:vAlign w:val="center"/>
          </w:tcPr>
          <w:p w14:paraId="24E99075">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5902B032">
            <w:pPr>
              <w:kinsoku/>
              <w:topLinePunct/>
              <w:spacing w:line="360" w:lineRule="auto"/>
              <w:rPr>
                <w:rFonts w:hint="eastAsia" w:ascii="宋体" w:hAnsi="宋体" w:eastAsia="宋体" w:cs="宋体"/>
                <w:color w:val="auto"/>
                <w:sz w:val="24"/>
                <w:szCs w:val="24"/>
                <w:highlight w:val="none"/>
              </w:rPr>
            </w:pPr>
          </w:p>
        </w:tc>
      </w:tr>
      <w:tr w14:paraId="6B453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3F8582F">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7DA77170">
            <w:pPr>
              <w:kinsoku/>
              <w:topLinePunct/>
              <w:spacing w:line="360" w:lineRule="auto"/>
              <w:rPr>
                <w:rFonts w:hint="eastAsia" w:ascii="宋体" w:hAnsi="宋体" w:eastAsia="宋体" w:cs="宋体"/>
                <w:color w:val="auto"/>
                <w:sz w:val="24"/>
                <w:szCs w:val="24"/>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22879011">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员工总人数：</w:t>
            </w:r>
          </w:p>
        </w:tc>
      </w:tr>
      <w:tr w14:paraId="72388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7FEC0E2">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7D270D82">
            <w:pPr>
              <w:kinsoku/>
              <w:topLinePunct/>
              <w:spacing w:line="360" w:lineRule="auto"/>
              <w:rPr>
                <w:rFonts w:hint="eastAsia" w:ascii="宋体" w:hAnsi="宋体" w:eastAsia="宋体" w:cs="宋体"/>
                <w:color w:val="auto"/>
                <w:sz w:val="24"/>
                <w:szCs w:val="24"/>
                <w:highlight w:val="none"/>
              </w:rPr>
            </w:pPr>
          </w:p>
        </w:tc>
        <w:tc>
          <w:tcPr>
            <w:tcW w:w="1275" w:type="dxa"/>
            <w:vMerge w:val="restart"/>
            <w:tcBorders>
              <w:top w:val="nil"/>
              <w:left w:val="nil"/>
              <w:bottom w:val="single" w:color="auto" w:sz="4" w:space="0"/>
              <w:right w:val="single" w:color="auto" w:sz="4" w:space="0"/>
            </w:tcBorders>
            <w:noWrap/>
            <w:vAlign w:val="center"/>
          </w:tcPr>
          <w:p w14:paraId="716F1438">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3DFB6E1B">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031AFBBE">
            <w:pPr>
              <w:kinsoku/>
              <w:topLinePunct/>
              <w:spacing w:line="360" w:lineRule="auto"/>
              <w:rPr>
                <w:rFonts w:hint="eastAsia" w:ascii="宋体" w:hAnsi="宋体" w:eastAsia="宋体" w:cs="宋体"/>
                <w:color w:val="auto"/>
                <w:sz w:val="24"/>
                <w:szCs w:val="24"/>
                <w:highlight w:val="none"/>
              </w:rPr>
            </w:pPr>
          </w:p>
        </w:tc>
      </w:tr>
      <w:tr w14:paraId="7A7AA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2CD7439">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39398F54">
            <w:pPr>
              <w:kinsoku/>
              <w:topLinePunct/>
              <w:spacing w:line="360" w:lineRule="auto"/>
              <w:rPr>
                <w:rFonts w:hint="eastAsia" w:ascii="宋体" w:hAnsi="宋体" w:eastAsia="宋体" w:cs="宋体"/>
                <w:color w:val="auto"/>
                <w:sz w:val="24"/>
                <w:szCs w:val="24"/>
                <w:highlight w:val="none"/>
              </w:rPr>
            </w:pPr>
          </w:p>
        </w:tc>
        <w:tc>
          <w:tcPr>
            <w:tcW w:w="5216" w:type="dxa"/>
            <w:vMerge w:val="continue"/>
            <w:tcBorders>
              <w:top w:val="nil"/>
              <w:left w:val="nil"/>
              <w:bottom w:val="single" w:color="auto" w:sz="4" w:space="0"/>
              <w:right w:val="single" w:color="auto" w:sz="4" w:space="0"/>
            </w:tcBorders>
            <w:noWrap w:val="0"/>
            <w:vAlign w:val="center"/>
          </w:tcPr>
          <w:p w14:paraId="154A49AB">
            <w:pPr>
              <w:kinsoku/>
              <w:topLinePunct/>
              <w:autoSpaceDE/>
              <w:autoSpaceDN/>
              <w:adjustRightInd/>
              <w:spacing w:line="360" w:lineRule="auto"/>
              <w:rPr>
                <w:rFonts w:hint="eastAsia" w:ascii="宋体" w:hAnsi="宋体" w:eastAsia="宋体" w:cs="宋体"/>
                <w:color w:val="auto"/>
                <w:sz w:val="24"/>
                <w:szCs w:val="24"/>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10A9106">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4E1061A1">
            <w:pPr>
              <w:kinsoku/>
              <w:topLinePunct/>
              <w:spacing w:line="360" w:lineRule="auto"/>
              <w:rPr>
                <w:rFonts w:hint="eastAsia" w:ascii="宋体" w:hAnsi="宋体" w:eastAsia="宋体" w:cs="宋体"/>
                <w:color w:val="auto"/>
                <w:sz w:val="24"/>
                <w:szCs w:val="24"/>
                <w:highlight w:val="none"/>
              </w:rPr>
            </w:pPr>
          </w:p>
        </w:tc>
      </w:tr>
      <w:tr w14:paraId="1900F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50034D91">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320B38DA">
            <w:pPr>
              <w:kinsoku/>
              <w:topLinePunct/>
              <w:spacing w:line="360" w:lineRule="auto"/>
              <w:rPr>
                <w:rFonts w:hint="eastAsia" w:ascii="宋体" w:hAnsi="宋体" w:eastAsia="宋体" w:cs="宋体"/>
                <w:color w:val="auto"/>
                <w:sz w:val="24"/>
                <w:szCs w:val="24"/>
                <w:highlight w:val="none"/>
              </w:rPr>
            </w:pPr>
          </w:p>
        </w:tc>
        <w:tc>
          <w:tcPr>
            <w:tcW w:w="5216" w:type="dxa"/>
            <w:vMerge w:val="continue"/>
            <w:tcBorders>
              <w:top w:val="nil"/>
              <w:left w:val="nil"/>
              <w:bottom w:val="single" w:color="auto" w:sz="4" w:space="0"/>
              <w:right w:val="single" w:color="auto" w:sz="4" w:space="0"/>
            </w:tcBorders>
            <w:noWrap w:val="0"/>
            <w:vAlign w:val="center"/>
          </w:tcPr>
          <w:p w14:paraId="2CEF1B82">
            <w:pPr>
              <w:kinsoku/>
              <w:topLinePunct/>
              <w:autoSpaceDE/>
              <w:autoSpaceDN/>
              <w:adjustRightInd/>
              <w:spacing w:line="360" w:lineRule="auto"/>
              <w:rPr>
                <w:rFonts w:hint="eastAsia" w:ascii="宋体" w:hAnsi="宋体" w:eastAsia="宋体" w:cs="宋体"/>
                <w:color w:val="auto"/>
                <w:sz w:val="24"/>
                <w:szCs w:val="24"/>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69BA0939">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73902B7">
            <w:pPr>
              <w:kinsoku/>
              <w:topLinePunct/>
              <w:spacing w:line="360" w:lineRule="auto"/>
              <w:rPr>
                <w:rFonts w:hint="eastAsia" w:ascii="宋体" w:hAnsi="宋体" w:eastAsia="宋体" w:cs="宋体"/>
                <w:color w:val="auto"/>
                <w:sz w:val="24"/>
                <w:szCs w:val="24"/>
                <w:highlight w:val="none"/>
              </w:rPr>
            </w:pPr>
          </w:p>
        </w:tc>
      </w:tr>
      <w:tr w14:paraId="539B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7A12431">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63389D08">
            <w:pPr>
              <w:kinsoku/>
              <w:topLinePunct/>
              <w:spacing w:line="360" w:lineRule="auto"/>
              <w:rPr>
                <w:rFonts w:hint="eastAsia" w:ascii="宋体" w:hAnsi="宋体" w:eastAsia="宋体" w:cs="宋体"/>
                <w:color w:val="auto"/>
                <w:sz w:val="24"/>
                <w:szCs w:val="24"/>
                <w:highlight w:val="none"/>
              </w:rPr>
            </w:pPr>
          </w:p>
        </w:tc>
        <w:tc>
          <w:tcPr>
            <w:tcW w:w="5216" w:type="dxa"/>
            <w:vMerge w:val="continue"/>
            <w:tcBorders>
              <w:top w:val="nil"/>
              <w:left w:val="nil"/>
              <w:bottom w:val="single" w:color="auto" w:sz="4" w:space="0"/>
              <w:right w:val="single" w:color="auto" w:sz="4" w:space="0"/>
            </w:tcBorders>
            <w:noWrap w:val="0"/>
            <w:vAlign w:val="center"/>
          </w:tcPr>
          <w:p w14:paraId="688A1BB8">
            <w:pPr>
              <w:kinsoku/>
              <w:topLinePunct/>
              <w:autoSpaceDE/>
              <w:autoSpaceDN/>
              <w:adjustRightInd/>
              <w:spacing w:line="360" w:lineRule="auto"/>
              <w:rPr>
                <w:rFonts w:hint="eastAsia" w:ascii="宋体" w:hAnsi="宋体" w:eastAsia="宋体" w:cs="宋体"/>
                <w:color w:val="auto"/>
                <w:sz w:val="24"/>
                <w:szCs w:val="24"/>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A5AB5F3">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13EDD6D">
            <w:pPr>
              <w:kinsoku/>
              <w:topLinePunct/>
              <w:spacing w:line="360" w:lineRule="auto"/>
              <w:rPr>
                <w:rFonts w:hint="eastAsia" w:ascii="宋体" w:hAnsi="宋体" w:eastAsia="宋体" w:cs="宋体"/>
                <w:color w:val="auto"/>
                <w:sz w:val="24"/>
                <w:szCs w:val="24"/>
                <w:highlight w:val="none"/>
              </w:rPr>
            </w:pPr>
          </w:p>
        </w:tc>
      </w:tr>
      <w:tr w14:paraId="3C9DC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32311F3">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1822688C">
            <w:pPr>
              <w:kinsoku/>
              <w:topLinePunct/>
              <w:spacing w:line="360" w:lineRule="auto"/>
              <w:rPr>
                <w:rFonts w:hint="eastAsia" w:ascii="宋体" w:hAnsi="宋体" w:eastAsia="宋体" w:cs="宋体"/>
                <w:color w:val="auto"/>
                <w:sz w:val="24"/>
                <w:szCs w:val="24"/>
                <w:highlight w:val="none"/>
              </w:rPr>
            </w:pPr>
          </w:p>
        </w:tc>
        <w:tc>
          <w:tcPr>
            <w:tcW w:w="5216" w:type="dxa"/>
            <w:vMerge w:val="continue"/>
            <w:tcBorders>
              <w:top w:val="nil"/>
              <w:left w:val="nil"/>
              <w:bottom w:val="single" w:color="auto" w:sz="4" w:space="0"/>
              <w:right w:val="single" w:color="auto" w:sz="4" w:space="0"/>
            </w:tcBorders>
            <w:noWrap w:val="0"/>
            <w:vAlign w:val="center"/>
          </w:tcPr>
          <w:p w14:paraId="4953CD1A">
            <w:pPr>
              <w:kinsoku/>
              <w:topLinePunct/>
              <w:autoSpaceDE/>
              <w:autoSpaceDN/>
              <w:adjustRightInd/>
              <w:spacing w:line="360" w:lineRule="auto"/>
              <w:rPr>
                <w:rFonts w:hint="eastAsia" w:ascii="宋体" w:hAnsi="宋体" w:eastAsia="宋体" w:cs="宋体"/>
                <w:color w:val="auto"/>
                <w:sz w:val="24"/>
                <w:szCs w:val="24"/>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498B1766">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2179C5C0">
            <w:pPr>
              <w:kinsoku/>
              <w:topLinePunct/>
              <w:spacing w:line="360" w:lineRule="auto"/>
              <w:rPr>
                <w:rFonts w:hint="eastAsia" w:ascii="宋体" w:hAnsi="宋体" w:eastAsia="宋体" w:cs="宋体"/>
                <w:color w:val="auto"/>
                <w:sz w:val="24"/>
                <w:szCs w:val="24"/>
                <w:highlight w:val="none"/>
              </w:rPr>
            </w:pPr>
          </w:p>
        </w:tc>
      </w:tr>
      <w:tr w14:paraId="08DC1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4E4A912">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665FDE22">
            <w:pPr>
              <w:kinsoku/>
              <w:topLinePunct/>
              <w:spacing w:line="360" w:lineRule="auto"/>
              <w:ind w:firstLine="480" w:firstLineChars="200"/>
              <w:rPr>
                <w:rFonts w:hint="eastAsia" w:ascii="宋体" w:hAnsi="宋体" w:eastAsia="宋体" w:cs="宋体"/>
                <w:color w:val="auto"/>
                <w:sz w:val="24"/>
                <w:szCs w:val="24"/>
                <w:highlight w:val="none"/>
              </w:rPr>
            </w:pPr>
          </w:p>
        </w:tc>
      </w:tr>
    </w:tbl>
    <w:p w14:paraId="344C4F00">
      <w:pPr>
        <w:kinsoku/>
        <w:topLinePunct/>
        <w:spacing w:line="360" w:lineRule="auto"/>
        <w:rPr>
          <w:rFonts w:hint="eastAsia" w:ascii="宋体" w:hAnsi="宋体" w:eastAsia="宋体" w:cs="宋体"/>
          <w:color w:val="auto"/>
          <w:sz w:val="24"/>
          <w:szCs w:val="24"/>
          <w:highlight w:val="none"/>
        </w:rPr>
      </w:pPr>
    </w:p>
    <w:p w14:paraId="4C8EEC6D">
      <w:pPr>
        <w:kinsoku/>
        <w:topLinePunc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附营业执照、资质证书等相关资格审查资料。</w:t>
      </w:r>
    </w:p>
    <w:p w14:paraId="20199C1C">
      <w:pPr>
        <w:tabs>
          <w:tab w:val="left" w:pos="6569"/>
        </w:tabs>
        <w:kinsoku/>
        <w:topLinePunct/>
        <w:spacing w:before="75" w:line="360" w:lineRule="auto"/>
        <w:ind w:right="270"/>
        <w:jc w:val="both"/>
        <w:rPr>
          <w:rFonts w:hint="eastAsia" w:ascii="宋体" w:hAnsi="宋体" w:eastAsia="宋体" w:cs="宋体"/>
          <w:color w:val="auto"/>
          <w:sz w:val="24"/>
          <w:szCs w:val="24"/>
          <w:highlight w:val="none"/>
          <w:lang w:val="en-US" w:eastAsia="zh-CN"/>
        </w:rPr>
      </w:pPr>
    </w:p>
    <w:p w14:paraId="640C3FBD">
      <w:pPr>
        <w:tabs>
          <w:tab w:val="left" w:pos="6569"/>
        </w:tabs>
        <w:kinsoku/>
        <w:topLinePunct/>
        <w:spacing w:before="75" w:line="360" w:lineRule="auto"/>
        <w:ind w:right="27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投标人：（盖单位电子章）</w:t>
      </w:r>
    </w:p>
    <w:p w14:paraId="3BE9EF10">
      <w:pPr>
        <w:kinsoku/>
        <w:topLinePunct/>
        <w:spacing w:line="360" w:lineRule="auto"/>
        <w:rPr>
          <w:rFonts w:hint="eastAsia" w:ascii="宋体" w:hAnsi="宋体" w:eastAsia="宋体" w:cs="宋体"/>
          <w:color w:val="auto"/>
          <w:sz w:val="24"/>
          <w:szCs w:val="24"/>
          <w:highlight w:val="none"/>
        </w:rPr>
      </w:pPr>
    </w:p>
    <w:p w14:paraId="3BEB0C3B">
      <w:pPr>
        <w:pStyle w:val="13"/>
        <w:topLinePunct/>
        <w:spacing w:line="360" w:lineRule="auto"/>
        <w:rPr>
          <w:rFonts w:hint="eastAsia" w:ascii="宋体" w:hAnsi="宋体" w:eastAsia="宋体" w:cs="宋体"/>
          <w:color w:val="auto"/>
          <w:sz w:val="24"/>
          <w:szCs w:val="24"/>
          <w:highlight w:val="none"/>
        </w:rPr>
      </w:pPr>
    </w:p>
    <w:p w14:paraId="440AF9CC">
      <w:pPr>
        <w:spacing w:line="360" w:lineRule="auto"/>
        <w:outlineLvl w:val="1"/>
        <w:rPr>
          <w:rFonts w:hint="eastAsia" w:ascii="宋体" w:hAnsi="宋体" w:eastAsia="宋体" w:cs="宋体"/>
          <w:color w:val="auto"/>
          <w:sz w:val="24"/>
          <w:szCs w:val="24"/>
          <w:highlight w:val="none"/>
        </w:rPr>
      </w:pPr>
      <w:bookmarkStart w:id="1473" w:name="_Toc10200"/>
      <w:bookmarkStart w:id="1474" w:name="_Toc15033"/>
      <w:bookmarkStart w:id="1475" w:name="_Toc13478"/>
      <w:bookmarkStart w:id="1476" w:name="_Toc17255"/>
      <w:bookmarkStart w:id="1477" w:name="_Toc111"/>
      <w:bookmarkStart w:id="1478" w:name="_Toc30344"/>
      <w:bookmarkStart w:id="1479" w:name="_Toc17575"/>
      <w:bookmarkStart w:id="1480" w:name="_Toc23533"/>
      <w:bookmarkStart w:id="1481" w:name="_Toc531"/>
      <w:bookmarkStart w:id="1482" w:name="_Toc30493"/>
      <w:bookmarkStart w:id="1483" w:name="_Toc13253"/>
      <w:bookmarkStart w:id="1484" w:name="_Toc18148"/>
      <w:bookmarkStart w:id="1485" w:name="_Toc31255"/>
      <w:bookmarkStart w:id="1486" w:name="_Toc27009"/>
      <w:bookmarkStart w:id="1487" w:name="_Toc1605"/>
      <w:bookmarkStart w:id="1488" w:name="_Toc17304"/>
      <w:bookmarkStart w:id="1489" w:name="_Toc163"/>
      <w:bookmarkStart w:id="1490" w:name="_Toc3602"/>
      <w:bookmarkStart w:id="1491" w:name="_Toc23166"/>
      <w:bookmarkStart w:id="1492" w:name="_Toc6019"/>
      <w:bookmarkStart w:id="1493" w:name="_Toc8932"/>
      <w:bookmarkStart w:id="1494" w:name="_Toc21736"/>
      <w:bookmarkStart w:id="1495" w:name="_Toc18315"/>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九</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投入本项目的设备清单一览表</w:t>
      </w:r>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p>
    <w:tbl>
      <w:tblPr>
        <w:tblStyle w:val="23"/>
        <w:tblpPr w:leftFromText="180" w:rightFromText="180" w:vertAnchor="text" w:horzAnchor="page" w:tblpX="1454" w:tblpY="34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1"/>
        <w:gridCol w:w="860"/>
        <w:gridCol w:w="860"/>
        <w:gridCol w:w="860"/>
        <w:gridCol w:w="591"/>
        <w:gridCol w:w="1130"/>
        <w:gridCol w:w="1130"/>
        <w:gridCol w:w="2477"/>
        <w:gridCol w:w="591"/>
      </w:tblGrid>
      <w:tr w14:paraId="7B3E2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21998408">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0" w:type="auto"/>
            <w:noWrap w:val="0"/>
            <w:vAlign w:val="center"/>
          </w:tcPr>
          <w:p w14:paraId="60D6F290">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设备名称</w:t>
            </w:r>
          </w:p>
        </w:tc>
        <w:tc>
          <w:tcPr>
            <w:tcW w:w="0" w:type="auto"/>
            <w:noWrap w:val="0"/>
            <w:vAlign w:val="center"/>
          </w:tcPr>
          <w:p w14:paraId="11ACA100">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规格型号</w:t>
            </w:r>
          </w:p>
        </w:tc>
        <w:tc>
          <w:tcPr>
            <w:tcW w:w="0" w:type="auto"/>
            <w:noWrap w:val="0"/>
            <w:vAlign w:val="center"/>
          </w:tcPr>
          <w:p w14:paraId="316547C3">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设备能力</w:t>
            </w:r>
          </w:p>
        </w:tc>
        <w:tc>
          <w:tcPr>
            <w:tcW w:w="0" w:type="auto"/>
            <w:noWrap w:val="0"/>
            <w:vAlign w:val="center"/>
          </w:tcPr>
          <w:p w14:paraId="301C88CC">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数量</w:t>
            </w:r>
          </w:p>
        </w:tc>
        <w:tc>
          <w:tcPr>
            <w:tcW w:w="0" w:type="auto"/>
            <w:noWrap w:val="0"/>
            <w:vAlign w:val="center"/>
          </w:tcPr>
          <w:p w14:paraId="6D5CE46C">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设备生产厂家</w:t>
            </w:r>
          </w:p>
        </w:tc>
        <w:tc>
          <w:tcPr>
            <w:tcW w:w="0" w:type="auto"/>
            <w:noWrap w:val="0"/>
            <w:vAlign w:val="center"/>
          </w:tcPr>
          <w:p w14:paraId="7E777F91">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设备购置时间</w:t>
            </w:r>
          </w:p>
        </w:tc>
        <w:tc>
          <w:tcPr>
            <w:tcW w:w="0" w:type="auto"/>
            <w:noWrap w:val="0"/>
            <w:vAlign w:val="center"/>
          </w:tcPr>
          <w:p w14:paraId="163F9F5F">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是否为本单位自有设备及设备所在地</w:t>
            </w:r>
          </w:p>
        </w:tc>
        <w:tc>
          <w:tcPr>
            <w:tcW w:w="0" w:type="auto"/>
            <w:noWrap w:val="0"/>
            <w:vAlign w:val="center"/>
          </w:tcPr>
          <w:p w14:paraId="55B0FEA9">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01BF1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78979FD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27A1450">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37C857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DCB9C75">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43C91D5">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9ED67B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7D18EE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649ECA2">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5DF0BE7">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7486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404ABDA7">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51C1AABF">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D25FAB7">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A08EAF5">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4AC7B6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A1F211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1E3B00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466BD20">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061F1A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24D9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2BC1D08C">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18D1DC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FCDC262">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3978858">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BC50AA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596F5DF">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EB3520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812ADF5">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EA0B2C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34278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2B1C9677">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9C12638">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E315512">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12E12B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C6653D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6FE483C">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3B503A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5C74FFF">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891ADE6">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3A2E7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5EFE5968">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E8A94D2">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B6AB487">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4AF02A8">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F6A36A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6041AA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88B44E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EFD2A56">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770539B">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5A0D1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2CCF319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01A265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869ADEB">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87FD16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98FBB1C">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F4660B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D936F5F">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87F1472">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8B26EE6">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bl>
    <w:p w14:paraId="20FAD7F3">
      <w:pPr>
        <w:spacing w:line="360" w:lineRule="auto"/>
        <w:rPr>
          <w:rFonts w:hint="eastAsia" w:ascii="宋体" w:hAnsi="宋体" w:eastAsia="宋体" w:cs="宋体"/>
          <w:color w:val="auto"/>
          <w:sz w:val="24"/>
          <w:szCs w:val="24"/>
          <w:highlight w:val="none"/>
          <w:lang w:val="en-US" w:eastAsia="zh-CN"/>
        </w:rPr>
      </w:pPr>
    </w:p>
    <w:p w14:paraId="1AA40031">
      <w:pPr>
        <w:tabs>
          <w:tab w:val="left" w:pos="6569"/>
        </w:tabs>
        <w:kinsoku/>
        <w:topLinePunct/>
        <w:spacing w:before="75" w:line="360" w:lineRule="auto"/>
        <w:ind w:right="27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投标人：（盖单位电子章）</w:t>
      </w:r>
    </w:p>
    <w:p w14:paraId="127F5E82">
      <w:pPr>
        <w:spacing w:line="360" w:lineRule="auto"/>
        <w:rPr>
          <w:rFonts w:hint="eastAsia" w:ascii="宋体" w:hAnsi="宋体" w:eastAsia="宋体" w:cs="宋体"/>
          <w:color w:val="auto"/>
          <w:sz w:val="24"/>
          <w:szCs w:val="24"/>
          <w:highlight w:val="none"/>
          <w:lang w:val="en-US" w:eastAsia="zh-CN"/>
        </w:rPr>
      </w:pPr>
    </w:p>
    <w:p w14:paraId="51673A94">
      <w:pPr>
        <w:spacing w:line="360" w:lineRule="auto"/>
        <w:rPr>
          <w:rFonts w:hint="eastAsia" w:ascii="宋体" w:hAnsi="宋体" w:eastAsia="宋体" w:cs="宋体"/>
          <w:color w:val="auto"/>
          <w:sz w:val="24"/>
          <w:szCs w:val="24"/>
          <w:highlight w:val="none"/>
          <w:lang w:val="en-US" w:eastAsia="zh-CN"/>
        </w:rPr>
      </w:pPr>
    </w:p>
    <w:p w14:paraId="3043DC0F">
      <w:pPr>
        <w:spacing w:line="360" w:lineRule="auto"/>
        <w:rPr>
          <w:rFonts w:hint="eastAsia" w:ascii="宋体" w:hAnsi="宋体" w:eastAsia="宋体" w:cs="宋体"/>
          <w:color w:val="auto"/>
          <w:sz w:val="24"/>
          <w:szCs w:val="24"/>
          <w:highlight w:val="none"/>
          <w:lang w:val="en-US" w:eastAsia="zh-CN"/>
        </w:rPr>
      </w:pPr>
    </w:p>
    <w:p w14:paraId="4F3DBC79">
      <w:pPr>
        <w:spacing w:line="360" w:lineRule="auto"/>
        <w:rPr>
          <w:rFonts w:hint="eastAsia" w:ascii="宋体" w:hAnsi="宋体" w:eastAsia="宋体" w:cs="宋体"/>
          <w:color w:val="auto"/>
          <w:sz w:val="24"/>
          <w:szCs w:val="24"/>
          <w:highlight w:val="none"/>
          <w:lang w:val="en-US" w:eastAsia="zh-CN"/>
        </w:rPr>
      </w:pPr>
    </w:p>
    <w:p w14:paraId="68B35AFC">
      <w:pPr>
        <w:spacing w:line="360" w:lineRule="auto"/>
        <w:rPr>
          <w:rFonts w:hint="eastAsia" w:ascii="宋体" w:hAnsi="宋体" w:eastAsia="宋体" w:cs="宋体"/>
          <w:color w:val="auto"/>
          <w:sz w:val="24"/>
          <w:szCs w:val="24"/>
          <w:highlight w:val="none"/>
          <w:lang w:val="en-US" w:eastAsia="zh-CN"/>
        </w:rPr>
      </w:pPr>
    </w:p>
    <w:p w14:paraId="3B15DF44">
      <w:pPr>
        <w:spacing w:line="360" w:lineRule="auto"/>
        <w:rPr>
          <w:rFonts w:hint="eastAsia" w:ascii="宋体" w:hAnsi="宋体" w:eastAsia="宋体" w:cs="宋体"/>
          <w:color w:val="auto"/>
          <w:sz w:val="24"/>
          <w:szCs w:val="24"/>
          <w:highlight w:val="none"/>
          <w:lang w:val="en-US" w:eastAsia="zh-CN"/>
        </w:rPr>
      </w:pPr>
    </w:p>
    <w:p w14:paraId="5A7297FB">
      <w:pPr>
        <w:spacing w:line="360" w:lineRule="auto"/>
        <w:rPr>
          <w:rFonts w:hint="eastAsia" w:ascii="宋体" w:hAnsi="宋体" w:eastAsia="宋体" w:cs="宋体"/>
          <w:color w:val="auto"/>
          <w:sz w:val="24"/>
          <w:szCs w:val="24"/>
          <w:highlight w:val="none"/>
          <w:lang w:val="en-US" w:eastAsia="zh-CN"/>
        </w:rPr>
      </w:pPr>
    </w:p>
    <w:p w14:paraId="75E05248">
      <w:pPr>
        <w:spacing w:line="360" w:lineRule="auto"/>
        <w:rPr>
          <w:rFonts w:hint="eastAsia" w:ascii="宋体" w:hAnsi="宋体" w:eastAsia="宋体" w:cs="宋体"/>
          <w:color w:val="auto"/>
          <w:sz w:val="24"/>
          <w:szCs w:val="24"/>
          <w:highlight w:val="none"/>
          <w:lang w:val="en-US" w:eastAsia="zh-CN"/>
        </w:rPr>
      </w:pPr>
    </w:p>
    <w:p w14:paraId="054A02F2">
      <w:pPr>
        <w:spacing w:line="360" w:lineRule="auto"/>
        <w:rPr>
          <w:rFonts w:hint="eastAsia" w:ascii="宋体" w:hAnsi="宋体" w:eastAsia="宋体" w:cs="宋体"/>
          <w:color w:val="auto"/>
          <w:sz w:val="24"/>
          <w:szCs w:val="24"/>
          <w:highlight w:val="none"/>
          <w:lang w:val="en-US" w:eastAsia="zh-CN"/>
        </w:rPr>
      </w:pPr>
    </w:p>
    <w:p w14:paraId="0775B0AC">
      <w:pPr>
        <w:spacing w:line="360" w:lineRule="auto"/>
        <w:rPr>
          <w:rFonts w:hint="eastAsia" w:ascii="宋体" w:hAnsi="宋体" w:eastAsia="宋体" w:cs="宋体"/>
          <w:color w:val="auto"/>
          <w:sz w:val="24"/>
          <w:szCs w:val="24"/>
          <w:highlight w:val="none"/>
          <w:lang w:val="en-US" w:eastAsia="zh-CN"/>
        </w:rPr>
      </w:pPr>
    </w:p>
    <w:p w14:paraId="3E0670C1">
      <w:pPr>
        <w:spacing w:line="360" w:lineRule="auto"/>
        <w:rPr>
          <w:rFonts w:hint="eastAsia" w:ascii="宋体" w:hAnsi="宋体" w:eastAsia="宋体" w:cs="宋体"/>
          <w:color w:val="auto"/>
          <w:sz w:val="24"/>
          <w:szCs w:val="24"/>
          <w:highlight w:val="none"/>
          <w:lang w:val="en-US" w:eastAsia="zh-CN"/>
        </w:rPr>
      </w:pPr>
    </w:p>
    <w:p w14:paraId="4A52E3BD">
      <w:pPr>
        <w:spacing w:line="360" w:lineRule="auto"/>
        <w:rPr>
          <w:rFonts w:hint="eastAsia" w:ascii="宋体" w:hAnsi="宋体" w:eastAsia="宋体" w:cs="宋体"/>
          <w:color w:val="auto"/>
          <w:sz w:val="24"/>
          <w:szCs w:val="24"/>
          <w:highlight w:val="none"/>
          <w:lang w:val="en-US" w:eastAsia="zh-CN"/>
        </w:rPr>
      </w:pPr>
    </w:p>
    <w:p w14:paraId="59D0B733">
      <w:pPr>
        <w:spacing w:line="360" w:lineRule="auto"/>
        <w:rPr>
          <w:rFonts w:hint="eastAsia" w:ascii="宋体" w:hAnsi="宋体" w:eastAsia="宋体" w:cs="宋体"/>
          <w:color w:val="auto"/>
          <w:sz w:val="24"/>
          <w:szCs w:val="24"/>
          <w:highlight w:val="none"/>
          <w:lang w:val="en-US" w:eastAsia="zh-CN"/>
        </w:rPr>
      </w:pPr>
    </w:p>
    <w:p w14:paraId="60FD3F5E">
      <w:pPr>
        <w:spacing w:line="360" w:lineRule="auto"/>
        <w:rPr>
          <w:rFonts w:hint="eastAsia" w:ascii="宋体" w:hAnsi="宋体" w:eastAsia="宋体" w:cs="宋体"/>
          <w:color w:val="auto"/>
          <w:sz w:val="24"/>
          <w:szCs w:val="24"/>
          <w:highlight w:val="none"/>
          <w:lang w:val="en-US" w:eastAsia="zh-CN"/>
        </w:rPr>
      </w:pPr>
    </w:p>
    <w:p w14:paraId="7B1BF319">
      <w:pPr>
        <w:spacing w:line="360" w:lineRule="auto"/>
        <w:outlineLvl w:val="1"/>
        <w:rPr>
          <w:rFonts w:hint="eastAsia" w:ascii="宋体" w:hAnsi="宋体" w:eastAsia="宋体" w:cs="宋体"/>
          <w:color w:val="auto"/>
          <w:sz w:val="24"/>
          <w:szCs w:val="24"/>
          <w:highlight w:val="none"/>
        </w:rPr>
      </w:pPr>
      <w:bookmarkStart w:id="1496" w:name="_Toc27552"/>
      <w:bookmarkStart w:id="1497" w:name="_Toc488"/>
      <w:bookmarkStart w:id="1498" w:name="_Toc32408"/>
      <w:bookmarkStart w:id="1499" w:name="_Toc31890"/>
      <w:bookmarkStart w:id="1500" w:name="_Toc14186"/>
      <w:bookmarkStart w:id="1501" w:name="_Toc16776"/>
      <w:bookmarkStart w:id="1502" w:name="_Toc16319"/>
      <w:bookmarkStart w:id="1503" w:name="_Toc19596"/>
      <w:bookmarkStart w:id="1504" w:name="_Toc32094"/>
      <w:bookmarkStart w:id="1505" w:name="_Toc6065"/>
      <w:bookmarkStart w:id="1506" w:name="_Toc31980"/>
      <w:bookmarkStart w:id="1507" w:name="_Toc20538"/>
      <w:bookmarkStart w:id="1508" w:name="_Toc32014"/>
      <w:bookmarkStart w:id="1509" w:name="_Toc7948"/>
      <w:bookmarkStart w:id="1510" w:name="_Toc21412"/>
      <w:bookmarkStart w:id="1511" w:name="_Toc9199"/>
      <w:bookmarkStart w:id="1512" w:name="_Toc3211"/>
      <w:bookmarkStart w:id="1513" w:name="_Toc12614"/>
      <w:bookmarkStart w:id="1514" w:name="_Toc29544"/>
      <w:bookmarkStart w:id="1515" w:name="_Toc22705"/>
      <w:bookmarkStart w:id="1516" w:name="_Toc21193"/>
      <w:bookmarkStart w:id="1517" w:name="_Toc9622"/>
      <w:bookmarkStart w:id="1518" w:name="_Toc29605"/>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近年的类似业绩情况表</w:t>
      </w:r>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p>
    <w:tbl>
      <w:tblPr>
        <w:tblStyle w:val="23"/>
        <w:tblpPr w:leftFromText="180" w:rightFromText="180" w:vertAnchor="text" w:horzAnchor="page" w:tblpX="1454" w:tblpY="346"/>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48"/>
        <w:gridCol w:w="1031"/>
        <w:gridCol w:w="1031"/>
        <w:gridCol w:w="1031"/>
        <w:gridCol w:w="1415"/>
        <w:gridCol w:w="1031"/>
        <w:gridCol w:w="1223"/>
        <w:gridCol w:w="1031"/>
        <w:gridCol w:w="649"/>
      </w:tblGrid>
      <w:tr w14:paraId="3575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54AE9844">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序号</w:t>
            </w:r>
          </w:p>
        </w:tc>
        <w:tc>
          <w:tcPr>
            <w:tcW w:w="0" w:type="auto"/>
            <w:noWrap w:val="0"/>
            <w:vAlign w:val="center"/>
          </w:tcPr>
          <w:p w14:paraId="10B826EB">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w:t>
            </w:r>
          </w:p>
        </w:tc>
        <w:tc>
          <w:tcPr>
            <w:tcW w:w="0" w:type="auto"/>
            <w:noWrap w:val="0"/>
            <w:vAlign w:val="center"/>
          </w:tcPr>
          <w:p w14:paraId="04646106">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项目规模</w:t>
            </w:r>
          </w:p>
        </w:tc>
        <w:tc>
          <w:tcPr>
            <w:tcW w:w="0" w:type="auto"/>
            <w:noWrap w:val="0"/>
            <w:vAlign w:val="center"/>
          </w:tcPr>
          <w:p w14:paraId="6816512F">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合同金额</w:t>
            </w:r>
          </w:p>
        </w:tc>
        <w:tc>
          <w:tcPr>
            <w:tcW w:w="0" w:type="auto"/>
            <w:noWrap w:val="0"/>
            <w:vAlign w:val="center"/>
          </w:tcPr>
          <w:p w14:paraId="3A15E072">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合同签订时间</w:t>
            </w:r>
          </w:p>
        </w:tc>
        <w:tc>
          <w:tcPr>
            <w:tcW w:w="0" w:type="auto"/>
            <w:noWrap w:val="0"/>
            <w:vAlign w:val="center"/>
          </w:tcPr>
          <w:p w14:paraId="3C31BE45">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业主名称</w:t>
            </w:r>
          </w:p>
        </w:tc>
        <w:tc>
          <w:tcPr>
            <w:tcW w:w="0" w:type="auto"/>
            <w:noWrap w:val="0"/>
            <w:vAlign w:val="center"/>
          </w:tcPr>
          <w:p w14:paraId="43CD1A88">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业主联系人</w:t>
            </w:r>
          </w:p>
        </w:tc>
        <w:tc>
          <w:tcPr>
            <w:tcW w:w="0" w:type="auto"/>
            <w:noWrap w:val="0"/>
            <w:vAlign w:val="center"/>
          </w:tcPr>
          <w:p w14:paraId="3D965F1C">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w:t>
            </w:r>
          </w:p>
        </w:tc>
        <w:tc>
          <w:tcPr>
            <w:tcW w:w="0" w:type="auto"/>
            <w:noWrap w:val="0"/>
            <w:vAlign w:val="center"/>
          </w:tcPr>
          <w:p w14:paraId="67130263">
            <w:pPr>
              <w:widowControl w:val="0"/>
              <w:kinsoku/>
              <w:topLinePunct/>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3D822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01DF2FD5">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8B9439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A0DF1C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9C8ABC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FB334C6">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5AD4E2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A40CD4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D19AAD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508A3E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3BFDB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5228BF5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95F6235">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348E33C">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65A5B7A0">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FF0B127">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968988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937947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5BB3641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32FA2C9">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6C3CD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49F4574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C67FB90">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4CCC43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8C3A07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988A1F9">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C96F81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8D4B0F5">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51315D9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3918362">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32D87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4788446C">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5C8266A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9ACAEC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F986E18">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F458C8B">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2E79846">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60B7380">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352BDA4">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725398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15179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18C191D7">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CFA840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59F8C8EA">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16F58CAE">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DA13C43">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165170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D919BA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CDA142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41E356A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r w14:paraId="3CC3C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0" w:type="auto"/>
            <w:noWrap w:val="0"/>
            <w:vAlign w:val="center"/>
          </w:tcPr>
          <w:p w14:paraId="0F6AF98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9FC0059">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6F3AB70">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0A5D06E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70A47C11">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1F6E339">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331F942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591D4FBC">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c>
          <w:tcPr>
            <w:tcW w:w="0" w:type="auto"/>
            <w:noWrap w:val="0"/>
            <w:vAlign w:val="center"/>
          </w:tcPr>
          <w:p w14:paraId="271108CD">
            <w:pPr>
              <w:widowControl w:val="0"/>
              <w:kinsoku/>
              <w:topLinePunct/>
              <w:spacing w:line="360" w:lineRule="auto"/>
              <w:jc w:val="center"/>
              <w:rPr>
                <w:rFonts w:hint="eastAsia" w:ascii="宋体" w:hAnsi="宋体" w:eastAsia="宋体" w:cs="宋体"/>
                <w:color w:val="auto"/>
                <w:sz w:val="24"/>
                <w:szCs w:val="24"/>
                <w:highlight w:val="none"/>
                <w:lang w:val="en-US" w:eastAsia="zh-CN"/>
              </w:rPr>
            </w:pPr>
          </w:p>
        </w:tc>
      </w:tr>
    </w:tbl>
    <w:p w14:paraId="3F7D0381">
      <w:pPr>
        <w:spacing w:line="360" w:lineRule="auto"/>
        <w:rPr>
          <w:rFonts w:hint="eastAsia" w:ascii="宋体" w:hAnsi="宋体" w:eastAsia="宋体" w:cs="宋体"/>
          <w:color w:val="auto"/>
          <w:sz w:val="24"/>
          <w:szCs w:val="24"/>
          <w:highlight w:val="none"/>
          <w:lang w:val="en-US" w:eastAsia="zh-CN"/>
        </w:rPr>
      </w:pPr>
    </w:p>
    <w:p w14:paraId="7F087DF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投标人：（盖单位电子章）</w:t>
      </w:r>
    </w:p>
    <w:p w14:paraId="27C70AF2">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说明：1、上表应填写投标人自2021年1月1日以来的类似业绩；</w:t>
      </w:r>
    </w:p>
    <w:p w14:paraId="09546FA4">
      <w:pPr>
        <w:numPr>
          <w:ilvl w:val="0"/>
          <w:numId w:val="5"/>
        </w:numPr>
        <w:spacing w:line="360" w:lineRule="auto"/>
        <w:ind w:left="690" w:leftChars="0" w:firstLine="0" w:firstLineChars="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本表应附有相应项目的业绩证明材料；</w:t>
      </w:r>
    </w:p>
    <w:p w14:paraId="4C1F2E1F">
      <w:pPr>
        <w:numPr>
          <w:ilvl w:val="0"/>
          <w:numId w:val="5"/>
        </w:numPr>
        <w:spacing w:line="360" w:lineRule="auto"/>
        <w:ind w:left="69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本表应加盖单位公章，填写空间不足可根据需要另行文字说明，说明也应加盖单位公章。</w:t>
      </w:r>
    </w:p>
    <w:p w14:paraId="4AF42DE0">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34FB5981">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71AB51C9">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4247BC4F">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51EEDD27">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145EC41D">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716BBFD5">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1A85F64A">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7692ED96">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21E0F4C4">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161D5D20">
      <w:pPr>
        <w:numPr>
          <w:ilvl w:val="0"/>
          <w:numId w:val="0"/>
        </w:numPr>
        <w:kinsoku w:val="0"/>
        <w:autoSpaceDE w:val="0"/>
        <w:autoSpaceDN w:val="0"/>
        <w:adjustRightInd w:val="0"/>
        <w:snapToGrid w:val="0"/>
        <w:spacing w:line="360" w:lineRule="auto"/>
        <w:textAlignment w:val="baseline"/>
        <w:rPr>
          <w:rFonts w:hint="eastAsia" w:ascii="宋体" w:hAnsi="宋体" w:eastAsia="宋体" w:cs="宋体"/>
          <w:color w:val="auto"/>
          <w:sz w:val="24"/>
          <w:szCs w:val="24"/>
          <w:highlight w:val="none"/>
          <w:lang w:val="en-US" w:eastAsia="zh-CN"/>
        </w:rPr>
      </w:pPr>
    </w:p>
    <w:p w14:paraId="414AC27F">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outlineLvl w:val="1"/>
        <w:rPr>
          <w:rFonts w:hint="eastAsia" w:ascii="宋体" w:hAnsi="宋体" w:eastAsia="宋体" w:cs="宋体"/>
          <w:color w:val="auto"/>
          <w:sz w:val="24"/>
          <w:szCs w:val="24"/>
          <w:highlight w:val="none"/>
        </w:rPr>
        <w:sectPr>
          <w:pgSz w:w="11907" w:h="16840"/>
          <w:pgMar w:top="1418" w:right="1559" w:bottom="1418" w:left="1474" w:header="0" w:footer="723" w:gutter="0"/>
          <w:pgNumType w:fmt="decimal"/>
          <w:cols w:space="720" w:num="1"/>
        </w:sectPr>
      </w:pPr>
      <w:bookmarkStart w:id="1519" w:name="_Toc20254"/>
      <w:bookmarkStart w:id="1520" w:name="_Toc22368"/>
      <w:bookmarkStart w:id="1521" w:name="_Toc4921"/>
      <w:bookmarkStart w:id="1522" w:name="_Toc30779"/>
      <w:bookmarkStart w:id="1523" w:name="_Toc32635"/>
      <w:bookmarkStart w:id="1524" w:name="_Toc31147"/>
      <w:bookmarkStart w:id="1525" w:name="_Toc31085"/>
      <w:bookmarkStart w:id="1526" w:name="_Toc7621"/>
      <w:bookmarkStart w:id="1527" w:name="_Toc7848"/>
      <w:bookmarkStart w:id="1528" w:name="_Toc17273"/>
      <w:bookmarkStart w:id="1529" w:name="_Toc24829"/>
      <w:bookmarkStart w:id="1530" w:name="_Toc8482"/>
      <w:bookmarkStart w:id="1531" w:name="_Toc22190"/>
      <w:bookmarkStart w:id="1532" w:name="_Toc5879"/>
      <w:bookmarkStart w:id="1533" w:name="_Toc30933"/>
      <w:bookmarkStart w:id="1534" w:name="_Toc19265"/>
      <w:bookmarkStart w:id="1535" w:name="_Toc22312"/>
      <w:bookmarkStart w:id="1536" w:name="_Toc5441"/>
    </w:p>
    <w:p w14:paraId="29C151C6">
      <w:pPr>
        <w:keepNext w:val="0"/>
        <w:keepLines w:val="0"/>
        <w:pageBreakBefore w:val="0"/>
        <w:widowControl w:val="0"/>
        <w:kinsoku/>
        <w:wordWrap/>
        <w:overflowPunct/>
        <w:topLinePunct/>
        <w:autoSpaceDE/>
        <w:autoSpaceDN/>
        <w:bidi w:val="0"/>
        <w:adjustRightInd w:val="0"/>
        <w:snapToGrid w:val="0"/>
        <w:spacing w:line="360" w:lineRule="auto"/>
        <w:ind w:left="0" w:leftChars="0" w:right="0" w:rightChars="0" w:firstLine="480" w:firstLineChars="200"/>
        <w:jc w:val="both"/>
        <w:textAlignment w:val="baseline"/>
        <w:outlineLvl w:val="1"/>
        <w:rPr>
          <w:rFonts w:hint="eastAsia" w:ascii="宋体" w:hAnsi="宋体" w:eastAsia="宋体" w:cs="宋体"/>
          <w:color w:val="auto"/>
          <w:sz w:val="24"/>
          <w:szCs w:val="24"/>
          <w:highlight w:val="none"/>
          <w:lang w:val="en-US" w:eastAsia="zh-CN"/>
        </w:rPr>
      </w:pPr>
      <w:bookmarkStart w:id="1537" w:name="_Toc9687"/>
      <w:bookmarkStart w:id="1538" w:name="_Toc1195"/>
      <w:bookmarkStart w:id="1539" w:name="_Toc23055"/>
      <w:bookmarkStart w:id="1540" w:name="_Toc2866"/>
      <w:bookmarkStart w:id="1541" w:name="_Toc21031"/>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十一</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本项目主要设备品牌选用一览表</w:t>
      </w:r>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p>
    <w:p w14:paraId="79EA1BA4">
      <w:pPr>
        <w:keepNext w:val="0"/>
        <w:keepLines w:val="0"/>
        <w:pageBreakBefore w:val="0"/>
        <w:widowControl/>
        <w:kinsoku/>
        <w:wordWrap/>
        <w:overflowPunct/>
        <w:topLinePunct/>
        <w:autoSpaceDE w:val="0"/>
        <w:autoSpaceDN w:val="0"/>
        <w:bidi w:val="0"/>
        <w:adjustRightInd w:val="0"/>
        <w:snapToGrid w:val="0"/>
        <w:spacing w:line="360" w:lineRule="auto"/>
        <w:ind w:left="0" w:leftChars="0" w:right="0" w:rightChars="0" w:firstLine="0" w:firstLineChars="0"/>
        <w:jc w:val="center"/>
        <w:textAlignment w:val="baseline"/>
        <w:outlineLvl w:val="9"/>
        <w:rPr>
          <w:rFonts w:hint="eastAsia" w:ascii="华文中宋" w:hAnsi="华文中宋" w:eastAsia="华文中宋" w:cs="华文中宋"/>
          <w:b/>
          <w:bCs/>
          <w:color w:val="auto"/>
          <w:kern w:val="2"/>
          <w:sz w:val="28"/>
          <w:szCs w:val="28"/>
          <w:highlight w:val="none"/>
          <w:lang w:val="en-US" w:eastAsia="zh-CN"/>
        </w:rPr>
      </w:pPr>
      <w:r>
        <w:rPr>
          <w:rFonts w:hint="eastAsia" w:ascii="华文中宋" w:hAnsi="华文中宋" w:eastAsia="华文中宋" w:cs="华文中宋"/>
          <w:b/>
          <w:bCs/>
          <w:color w:val="auto"/>
          <w:kern w:val="2"/>
          <w:sz w:val="28"/>
          <w:szCs w:val="28"/>
          <w:highlight w:val="none"/>
          <w:lang w:val="en-US" w:eastAsia="zh-CN"/>
        </w:rPr>
        <w:t>本项目主要设备品牌选用一览表</w:t>
      </w:r>
    </w:p>
    <w:tbl>
      <w:tblPr>
        <w:tblStyle w:val="23"/>
        <w:tblpPr w:leftFromText="180" w:rightFromText="180" w:vertAnchor="text" w:horzAnchor="page" w:tblpX="1454" w:tblpY="346"/>
        <w:tblOverlap w:val="never"/>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6"/>
        <w:gridCol w:w="2241"/>
        <w:gridCol w:w="1501"/>
        <w:gridCol w:w="1257"/>
        <w:gridCol w:w="6304"/>
        <w:gridCol w:w="2150"/>
      </w:tblGrid>
      <w:tr w14:paraId="02039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blHeader/>
        </w:trPr>
        <w:tc>
          <w:tcPr>
            <w:tcW w:w="266" w:type="pct"/>
            <w:noWrap w:val="0"/>
            <w:vAlign w:val="center"/>
          </w:tcPr>
          <w:p w14:paraId="6EF842E3">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序号</w:t>
            </w:r>
          </w:p>
        </w:tc>
        <w:tc>
          <w:tcPr>
            <w:tcW w:w="788" w:type="pct"/>
            <w:noWrap w:val="0"/>
            <w:vAlign w:val="center"/>
          </w:tcPr>
          <w:p w14:paraId="34E85CBD">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主要设备类别/名称</w:t>
            </w:r>
          </w:p>
        </w:tc>
        <w:tc>
          <w:tcPr>
            <w:tcW w:w="528" w:type="pct"/>
            <w:noWrap w:val="0"/>
            <w:vAlign w:val="center"/>
          </w:tcPr>
          <w:p w14:paraId="46C9DFA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选用品牌</w:t>
            </w:r>
          </w:p>
        </w:tc>
        <w:tc>
          <w:tcPr>
            <w:tcW w:w="442" w:type="pct"/>
            <w:noWrap w:val="0"/>
            <w:vAlign w:val="center"/>
          </w:tcPr>
          <w:p w14:paraId="2003B26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产地</w:t>
            </w:r>
          </w:p>
        </w:tc>
        <w:tc>
          <w:tcPr>
            <w:tcW w:w="2217" w:type="pct"/>
            <w:noWrap w:val="0"/>
            <w:vAlign w:val="center"/>
          </w:tcPr>
          <w:p w14:paraId="29C2B117">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品牌要求（投标人可选用除3个已明确品牌之外的其他同等档次及以上品牌）</w:t>
            </w:r>
          </w:p>
        </w:tc>
        <w:tc>
          <w:tcPr>
            <w:tcW w:w="756" w:type="pct"/>
            <w:noWrap w:val="0"/>
            <w:vAlign w:val="center"/>
          </w:tcPr>
          <w:p w14:paraId="56AE629C">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备注</w:t>
            </w:r>
          </w:p>
        </w:tc>
      </w:tr>
      <w:tr w14:paraId="2A1E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66" w:type="pct"/>
            <w:noWrap w:val="0"/>
            <w:vAlign w:val="center"/>
          </w:tcPr>
          <w:p w14:paraId="5172CAE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788" w:type="pct"/>
            <w:noWrap w:val="0"/>
            <w:vAlign w:val="center"/>
          </w:tcPr>
          <w:p w14:paraId="1632EF37">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蝶阀</w:t>
            </w:r>
          </w:p>
        </w:tc>
        <w:tc>
          <w:tcPr>
            <w:tcW w:w="528" w:type="pct"/>
            <w:noWrap w:val="0"/>
            <w:vAlign w:val="center"/>
          </w:tcPr>
          <w:p w14:paraId="77B30161">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55FB1ADC">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rPr>
            </w:pPr>
          </w:p>
        </w:tc>
        <w:tc>
          <w:tcPr>
            <w:tcW w:w="2217" w:type="pct"/>
            <w:noWrap w:val="0"/>
            <w:vAlign w:val="center"/>
          </w:tcPr>
          <w:p w14:paraId="2414989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VAG、AVK、</w:t>
            </w:r>
            <w:r>
              <w:rPr>
                <w:rFonts w:hint="eastAsia" w:ascii="宋体" w:hAnsi="宋体" w:eastAsia="宋体" w:cs="宋体"/>
                <w:b w:val="0"/>
                <w:bCs w:val="0"/>
                <w:color w:val="auto"/>
                <w:sz w:val="24"/>
                <w:szCs w:val="24"/>
                <w:highlight w:val="none"/>
                <w:lang w:eastAsia="zh-CN"/>
              </w:rPr>
              <w:t>上海冠龙</w:t>
            </w:r>
            <w:r>
              <w:rPr>
                <w:rFonts w:hint="eastAsia" w:ascii="宋体" w:hAnsi="宋体" w:eastAsia="宋体" w:cs="宋体"/>
                <w:b w:val="0"/>
                <w:bCs w:val="0"/>
                <w:color w:val="auto"/>
                <w:sz w:val="24"/>
                <w:szCs w:val="24"/>
                <w:highlight w:val="none"/>
                <w:lang w:val="en-US" w:eastAsia="zh-CN"/>
              </w:rPr>
              <w:t>、湖北洪城、中核苏阀或其他同等档次及以上品牌</w:t>
            </w:r>
          </w:p>
        </w:tc>
        <w:tc>
          <w:tcPr>
            <w:tcW w:w="756" w:type="pct"/>
            <w:noWrap w:val="0"/>
            <w:vAlign w:val="center"/>
          </w:tcPr>
          <w:p w14:paraId="64495D6D">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须提供选用品牌设备制造商授权书</w:t>
            </w:r>
          </w:p>
        </w:tc>
      </w:tr>
      <w:tr w14:paraId="1756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266" w:type="pct"/>
            <w:noWrap w:val="0"/>
            <w:vAlign w:val="center"/>
          </w:tcPr>
          <w:p w14:paraId="3A73A456">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788" w:type="pct"/>
            <w:noWrap w:val="0"/>
            <w:vAlign w:val="center"/>
          </w:tcPr>
          <w:p w14:paraId="5DAD308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偏心半球阀</w:t>
            </w:r>
          </w:p>
        </w:tc>
        <w:tc>
          <w:tcPr>
            <w:tcW w:w="528" w:type="pct"/>
            <w:noWrap w:val="0"/>
            <w:vAlign w:val="center"/>
          </w:tcPr>
          <w:p w14:paraId="15EF8B9B">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1BF1C661">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319B42D9">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株洲南方、上海冠龙、VAG、武汉大禹、安徽红星或其他同等档次及以上品牌</w:t>
            </w:r>
          </w:p>
        </w:tc>
        <w:tc>
          <w:tcPr>
            <w:tcW w:w="756" w:type="pct"/>
            <w:noWrap w:val="0"/>
            <w:vAlign w:val="center"/>
          </w:tcPr>
          <w:p w14:paraId="1030C967">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须提供选用品牌设备制造商授权书</w:t>
            </w:r>
          </w:p>
        </w:tc>
      </w:tr>
      <w:tr w14:paraId="66A81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66" w:type="pct"/>
            <w:noWrap w:val="0"/>
            <w:vAlign w:val="center"/>
          </w:tcPr>
          <w:p w14:paraId="58496B8D">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788" w:type="pct"/>
            <w:noWrap w:val="0"/>
            <w:vAlign w:val="center"/>
          </w:tcPr>
          <w:p w14:paraId="001791B4">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活塞（调流）阀</w:t>
            </w:r>
          </w:p>
        </w:tc>
        <w:tc>
          <w:tcPr>
            <w:tcW w:w="528" w:type="pct"/>
            <w:noWrap w:val="0"/>
            <w:vAlign w:val="center"/>
          </w:tcPr>
          <w:p w14:paraId="49E6052B">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69051BD4">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04D303D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VAG、AVK、上海冠龙、易华德、湖北洪城或其他同等档次及以上品牌</w:t>
            </w:r>
          </w:p>
        </w:tc>
        <w:tc>
          <w:tcPr>
            <w:tcW w:w="756" w:type="pct"/>
            <w:noWrap w:val="0"/>
            <w:vAlign w:val="center"/>
          </w:tcPr>
          <w:p w14:paraId="1AA7249D">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须提供选用品牌设备制造商授权书</w:t>
            </w:r>
          </w:p>
        </w:tc>
      </w:tr>
      <w:tr w14:paraId="55CE4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266" w:type="pct"/>
            <w:noWrap w:val="0"/>
            <w:vAlign w:val="center"/>
          </w:tcPr>
          <w:p w14:paraId="01EAE8EC">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788" w:type="pct"/>
            <w:noWrap w:val="0"/>
            <w:vAlign w:val="center"/>
          </w:tcPr>
          <w:p w14:paraId="5105AC94">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固定锥阀</w:t>
            </w:r>
          </w:p>
        </w:tc>
        <w:tc>
          <w:tcPr>
            <w:tcW w:w="528" w:type="pct"/>
            <w:noWrap w:val="0"/>
            <w:vAlign w:val="center"/>
          </w:tcPr>
          <w:p w14:paraId="167EE77B">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7A9A113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031F788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AVK、上海冠龙、VAG、湖北洪城、武汉大禹或其他同等档次及以上品牌</w:t>
            </w:r>
          </w:p>
        </w:tc>
        <w:tc>
          <w:tcPr>
            <w:tcW w:w="756" w:type="pct"/>
            <w:noWrap w:val="0"/>
            <w:vAlign w:val="center"/>
          </w:tcPr>
          <w:p w14:paraId="46C02B06">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须提供选用品牌设备制造商授权书</w:t>
            </w:r>
          </w:p>
        </w:tc>
      </w:tr>
      <w:tr w14:paraId="2368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266" w:type="pct"/>
            <w:noWrap w:val="0"/>
            <w:vAlign w:val="center"/>
          </w:tcPr>
          <w:p w14:paraId="697A6EA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snapToGrid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5</w:t>
            </w:r>
          </w:p>
        </w:tc>
        <w:tc>
          <w:tcPr>
            <w:tcW w:w="788" w:type="pct"/>
            <w:noWrap w:val="0"/>
            <w:vAlign w:val="center"/>
          </w:tcPr>
          <w:p w14:paraId="4C68A04D">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snapToGrid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复合式空气阀</w:t>
            </w:r>
          </w:p>
        </w:tc>
        <w:tc>
          <w:tcPr>
            <w:tcW w:w="528" w:type="pct"/>
            <w:noWrap w:val="0"/>
            <w:vAlign w:val="center"/>
          </w:tcPr>
          <w:p w14:paraId="27290A3B">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snapToGrid w:val="0"/>
                <w:color w:val="auto"/>
                <w:sz w:val="24"/>
                <w:szCs w:val="24"/>
                <w:highlight w:val="none"/>
                <w:lang w:val="en-US" w:eastAsia="zh-CN" w:bidi="ar-SA"/>
              </w:rPr>
            </w:pPr>
          </w:p>
        </w:tc>
        <w:tc>
          <w:tcPr>
            <w:tcW w:w="442" w:type="pct"/>
            <w:noWrap w:val="0"/>
            <w:vAlign w:val="center"/>
          </w:tcPr>
          <w:p w14:paraId="5E83C1E4">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3D5D4D61">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snapToGrid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安徽天海流体、安徽红星、安徽铜都、株洲南方、武汉大禹或其他同等档次及以上品牌</w:t>
            </w:r>
          </w:p>
        </w:tc>
        <w:tc>
          <w:tcPr>
            <w:tcW w:w="756" w:type="pct"/>
            <w:noWrap w:val="0"/>
            <w:vAlign w:val="center"/>
          </w:tcPr>
          <w:p w14:paraId="47FD1B38">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snapToGrid w:val="0"/>
                <w:color w:val="auto"/>
                <w:sz w:val="24"/>
                <w:szCs w:val="24"/>
                <w:highlight w:val="none"/>
                <w:lang w:val="en-US" w:eastAsia="zh-CN" w:bidi="ar-SA"/>
              </w:rPr>
            </w:pPr>
          </w:p>
        </w:tc>
      </w:tr>
      <w:tr w14:paraId="2C33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266" w:type="pct"/>
            <w:noWrap w:val="0"/>
            <w:vAlign w:val="center"/>
          </w:tcPr>
          <w:p w14:paraId="06867358">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p>
        </w:tc>
        <w:tc>
          <w:tcPr>
            <w:tcW w:w="788" w:type="pct"/>
            <w:noWrap w:val="0"/>
            <w:vAlign w:val="center"/>
          </w:tcPr>
          <w:p w14:paraId="7CC285B0">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多功能斜板阀</w:t>
            </w:r>
          </w:p>
        </w:tc>
        <w:tc>
          <w:tcPr>
            <w:tcW w:w="528" w:type="pct"/>
            <w:noWrap w:val="0"/>
            <w:vAlign w:val="center"/>
          </w:tcPr>
          <w:p w14:paraId="5CE25E67">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49B65E2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00CF0324">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株洲南方、安徽红星、武汉大禹、安徽天海流体、湖北洪城或其他同等档次及以上品牌</w:t>
            </w:r>
          </w:p>
        </w:tc>
        <w:tc>
          <w:tcPr>
            <w:tcW w:w="756" w:type="pct"/>
            <w:noWrap w:val="0"/>
            <w:vAlign w:val="center"/>
          </w:tcPr>
          <w:p w14:paraId="01A56169">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p>
        </w:tc>
      </w:tr>
      <w:tr w14:paraId="2D5B4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266" w:type="pct"/>
            <w:noWrap w:val="0"/>
            <w:vAlign w:val="center"/>
          </w:tcPr>
          <w:p w14:paraId="3247D6FE">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p>
        </w:tc>
        <w:tc>
          <w:tcPr>
            <w:tcW w:w="788" w:type="pct"/>
            <w:noWrap w:val="0"/>
            <w:vAlign w:val="center"/>
          </w:tcPr>
          <w:p w14:paraId="37004210">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闸阀</w:t>
            </w:r>
          </w:p>
        </w:tc>
        <w:tc>
          <w:tcPr>
            <w:tcW w:w="528" w:type="pct"/>
            <w:noWrap w:val="0"/>
            <w:vAlign w:val="center"/>
          </w:tcPr>
          <w:p w14:paraId="04CAC1FB">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56103ED1">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color w:val="auto"/>
                <w:sz w:val="24"/>
                <w:szCs w:val="24"/>
                <w:highlight w:val="none"/>
              </w:rPr>
            </w:pPr>
          </w:p>
        </w:tc>
        <w:tc>
          <w:tcPr>
            <w:tcW w:w="2217" w:type="pct"/>
            <w:noWrap w:val="0"/>
            <w:vAlign w:val="center"/>
          </w:tcPr>
          <w:p w14:paraId="39A03696">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安徽天海流体、安徽红星、安徽铜都、武汉大禹、株洲南方或其他同等档次及以上品牌</w:t>
            </w:r>
          </w:p>
        </w:tc>
        <w:tc>
          <w:tcPr>
            <w:tcW w:w="756" w:type="pct"/>
            <w:noWrap w:val="0"/>
            <w:vAlign w:val="center"/>
          </w:tcPr>
          <w:p w14:paraId="3F450E2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p>
        </w:tc>
      </w:tr>
      <w:tr w14:paraId="55576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266" w:type="pct"/>
            <w:noWrap w:val="0"/>
            <w:vAlign w:val="center"/>
          </w:tcPr>
          <w:p w14:paraId="4A507EE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w:t>
            </w:r>
          </w:p>
        </w:tc>
        <w:tc>
          <w:tcPr>
            <w:tcW w:w="788" w:type="pct"/>
            <w:noWrap w:val="0"/>
            <w:vAlign w:val="center"/>
          </w:tcPr>
          <w:p w14:paraId="7E16219A">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止回阀</w:t>
            </w:r>
          </w:p>
        </w:tc>
        <w:tc>
          <w:tcPr>
            <w:tcW w:w="528" w:type="pct"/>
            <w:noWrap w:val="0"/>
            <w:vAlign w:val="center"/>
          </w:tcPr>
          <w:p w14:paraId="3F79EFD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44355EA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4835B34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安徽天海流体、安徽红星、安徽铜都、武汉大禹、株洲南方或其他同等档次及以上品牌</w:t>
            </w:r>
          </w:p>
        </w:tc>
        <w:tc>
          <w:tcPr>
            <w:tcW w:w="756" w:type="pct"/>
            <w:noWrap w:val="0"/>
            <w:vAlign w:val="center"/>
          </w:tcPr>
          <w:p w14:paraId="3DC9FF09">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p>
        </w:tc>
      </w:tr>
      <w:tr w14:paraId="387D6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266" w:type="pct"/>
            <w:noWrap w:val="0"/>
            <w:vAlign w:val="center"/>
          </w:tcPr>
          <w:p w14:paraId="7E31AB6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9</w:t>
            </w:r>
          </w:p>
        </w:tc>
        <w:tc>
          <w:tcPr>
            <w:tcW w:w="788" w:type="pct"/>
            <w:noWrap w:val="0"/>
            <w:vAlign w:val="center"/>
          </w:tcPr>
          <w:p w14:paraId="6C14A866">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流量调节阀状态监测系统硬件</w:t>
            </w:r>
          </w:p>
        </w:tc>
        <w:tc>
          <w:tcPr>
            <w:tcW w:w="528" w:type="pct"/>
            <w:noWrap w:val="0"/>
            <w:vAlign w:val="center"/>
          </w:tcPr>
          <w:p w14:paraId="43AD9E8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36873EC1">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color w:val="auto"/>
                <w:sz w:val="24"/>
                <w:szCs w:val="24"/>
                <w:highlight w:val="none"/>
              </w:rPr>
            </w:pPr>
          </w:p>
        </w:tc>
        <w:tc>
          <w:tcPr>
            <w:tcW w:w="2217" w:type="pct"/>
            <w:noWrap w:val="0"/>
            <w:vAlign w:val="center"/>
          </w:tcPr>
          <w:p w14:paraId="551BEF80">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本系统的数据采集器采用可扩展插槽式数据采集器，不低于德国申克VC-8000、美国Bently3500、瑞士Vibro-meter VM600、爱默生ams6500、西门子dps6500。</w:t>
            </w:r>
          </w:p>
        </w:tc>
        <w:tc>
          <w:tcPr>
            <w:tcW w:w="756" w:type="pct"/>
            <w:noWrap w:val="0"/>
            <w:vAlign w:val="center"/>
          </w:tcPr>
          <w:p w14:paraId="4725134A">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p>
        </w:tc>
      </w:tr>
      <w:tr w14:paraId="1F7F1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trPr>
        <w:tc>
          <w:tcPr>
            <w:tcW w:w="266" w:type="pct"/>
            <w:noWrap w:val="0"/>
            <w:vAlign w:val="center"/>
          </w:tcPr>
          <w:p w14:paraId="339EAF42">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snapToGrid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10</w:t>
            </w:r>
          </w:p>
        </w:tc>
        <w:tc>
          <w:tcPr>
            <w:tcW w:w="788" w:type="pct"/>
            <w:noWrap w:val="0"/>
            <w:vAlign w:val="center"/>
          </w:tcPr>
          <w:p w14:paraId="2F74A61E">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电动双梁桥式起重机</w:t>
            </w:r>
          </w:p>
        </w:tc>
        <w:tc>
          <w:tcPr>
            <w:tcW w:w="528" w:type="pct"/>
            <w:noWrap w:val="0"/>
            <w:vAlign w:val="center"/>
          </w:tcPr>
          <w:p w14:paraId="7458D094">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1BA2F618">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28B5C98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卫华、振华重工、大连重工、法兰泰克、奥力通或其他同等档次及以上品牌</w:t>
            </w:r>
          </w:p>
        </w:tc>
        <w:tc>
          <w:tcPr>
            <w:tcW w:w="756" w:type="pct"/>
            <w:noWrap w:val="0"/>
            <w:vAlign w:val="center"/>
          </w:tcPr>
          <w:p w14:paraId="4197DA27">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p>
        </w:tc>
      </w:tr>
      <w:tr w14:paraId="0AE8E9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266" w:type="pct"/>
            <w:noWrap w:val="0"/>
            <w:vAlign w:val="center"/>
          </w:tcPr>
          <w:p w14:paraId="1271DFD0">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snapToGrid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11</w:t>
            </w:r>
          </w:p>
        </w:tc>
        <w:tc>
          <w:tcPr>
            <w:tcW w:w="788" w:type="pct"/>
            <w:noWrap w:val="0"/>
            <w:vAlign w:val="center"/>
          </w:tcPr>
          <w:p w14:paraId="53A47B9A">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超声波流量计</w:t>
            </w:r>
          </w:p>
        </w:tc>
        <w:tc>
          <w:tcPr>
            <w:tcW w:w="528" w:type="pct"/>
            <w:noWrap w:val="0"/>
            <w:vAlign w:val="center"/>
          </w:tcPr>
          <w:p w14:paraId="6E62DA1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55BF1EC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3D121038">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AAccusonic（阿克索尼）、Hydrovision（哈着威）、Ultraflux（优创）、E+H（恩德斯豪斯）、SIEMENS（西门子）或其他同等档次及以上品牌</w:t>
            </w:r>
          </w:p>
        </w:tc>
        <w:tc>
          <w:tcPr>
            <w:tcW w:w="756" w:type="pct"/>
            <w:noWrap w:val="0"/>
            <w:vAlign w:val="center"/>
          </w:tcPr>
          <w:p w14:paraId="1D22FBD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须提供选用品牌设备制造商授权书</w:t>
            </w:r>
          </w:p>
        </w:tc>
      </w:tr>
      <w:tr w14:paraId="7FF7B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trPr>
        <w:tc>
          <w:tcPr>
            <w:tcW w:w="266" w:type="pct"/>
            <w:noWrap w:val="0"/>
            <w:vAlign w:val="center"/>
          </w:tcPr>
          <w:p w14:paraId="331BA50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snapToGrid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12</w:t>
            </w:r>
          </w:p>
        </w:tc>
        <w:tc>
          <w:tcPr>
            <w:tcW w:w="788" w:type="pct"/>
            <w:noWrap w:val="0"/>
            <w:vAlign w:val="center"/>
          </w:tcPr>
          <w:p w14:paraId="14D0D8B6">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电磁流量计</w:t>
            </w:r>
          </w:p>
        </w:tc>
        <w:tc>
          <w:tcPr>
            <w:tcW w:w="528" w:type="pct"/>
            <w:noWrap w:val="0"/>
            <w:vAlign w:val="center"/>
          </w:tcPr>
          <w:p w14:paraId="20B7DDBF">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2C6F4079">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74CDCE63">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KROHNE(科隆)、E+H（恩德斯豪斯）、ABB、SIEMENS（西门子）、EMERSON（爱默生）或其他同等档次及以上品牌</w:t>
            </w:r>
          </w:p>
        </w:tc>
        <w:tc>
          <w:tcPr>
            <w:tcW w:w="756" w:type="pct"/>
            <w:noWrap w:val="0"/>
            <w:vAlign w:val="center"/>
          </w:tcPr>
          <w:p w14:paraId="21C1933C">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须提供选用品牌设备制造商授权书</w:t>
            </w:r>
          </w:p>
        </w:tc>
      </w:tr>
      <w:tr w14:paraId="184BE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266" w:type="pct"/>
            <w:noWrap w:val="0"/>
            <w:vAlign w:val="center"/>
          </w:tcPr>
          <w:p w14:paraId="7D22BE53">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snapToGrid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13</w:t>
            </w:r>
          </w:p>
        </w:tc>
        <w:tc>
          <w:tcPr>
            <w:tcW w:w="788" w:type="pct"/>
            <w:noWrap w:val="0"/>
            <w:vAlign w:val="center"/>
          </w:tcPr>
          <w:p w14:paraId="169BD52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水泵</w:t>
            </w:r>
          </w:p>
        </w:tc>
        <w:tc>
          <w:tcPr>
            <w:tcW w:w="528" w:type="pct"/>
            <w:noWrap w:val="0"/>
            <w:vAlign w:val="center"/>
          </w:tcPr>
          <w:p w14:paraId="54442C70">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442" w:type="pct"/>
            <w:noWrap w:val="0"/>
            <w:vAlign w:val="center"/>
          </w:tcPr>
          <w:p w14:paraId="72DD62B5">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p>
        </w:tc>
        <w:tc>
          <w:tcPr>
            <w:tcW w:w="2217" w:type="pct"/>
            <w:noWrap w:val="0"/>
            <w:vAlign w:val="center"/>
          </w:tcPr>
          <w:p w14:paraId="3A677027">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利欧、飞力、格兰富、安德里茨、赛莱默或其他同等档次及以上品牌</w:t>
            </w:r>
          </w:p>
        </w:tc>
        <w:tc>
          <w:tcPr>
            <w:tcW w:w="756" w:type="pct"/>
            <w:noWrap w:val="0"/>
            <w:vAlign w:val="center"/>
          </w:tcPr>
          <w:p w14:paraId="4A1298F9">
            <w:pPr>
              <w:keepNext w:val="0"/>
              <w:keepLines w:val="0"/>
              <w:pageBreakBefore w:val="0"/>
              <w:widowControl/>
              <w:kinsoku/>
              <w:wordWrap/>
              <w:overflowPunct/>
              <w:topLinePunct/>
              <w:autoSpaceDE w:val="0"/>
              <w:autoSpaceDN w:val="0"/>
              <w:bidi w:val="0"/>
              <w:adjustRightInd w:val="0"/>
              <w:snapToGrid w:val="0"/>
              <w:spacing w:line="240" w:lineRule="auto"/>
              <w:jc w:val="center"/>
              <w:textAlignment w:val="baseline"/>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须提供选用品牌设备制造商授权书</w:t>
            </w:r>
          </w:p>
        </w:tc>
      </w:tr>
    </w:tbl>
    <w:p w14:paraId="19D967D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填写说明：本表所选品牌须与报价清单保持一致，</w:t>
      </w:r>
      <w:r>
        <w:rPr>
          <w:rFonts w:hint="eastAsia" w:ascii="宋体" w:hAnsi="宋体" w:eastAsia="宋体" w:cs="宋体"/>
          <w:b/>
          <w:bCs/>
          <w:color w:val="auto"/>
          <w:sz w:val="24"/>
          <w:szCs w:val="24"/>
          <w:highlight w:val="none"/>
          <w:lang w:val="en-US" w:eastAsia="zh-CN"/>
        </w:rPr>
        <w:t>此表须附在技术标中</w:t>
      </w:r>
      <w:r>
        <w:rPr>
          <w:rFonts w:hint="eastAsia" w:ascii="宋体" w:hAnsi="宋体" w:eastAsia="宋体" w:cs="宋体"/>
          <w:color w:val="auto"/>
          <w:sz w:val="24"/>
          <w:szCs w:val="24"/>
          <w:highlight w:val="none"/>
          <w:lang w:val="en-US" w:eastAsia="zh-CN"/>
        </w:rPr>
        <w:t>。</w:t>
      </w:r>
    </w:p>
    <w:p w14:paraId="21A826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4CE3E995">
      <w:pPr>
        <w:spacing w:line="360" w:lineRule="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投标人：（盖单位电子章）</w:t>
      </w:r>
    </w:p>
    <w:p w14:paraId="181E7647">
      <w:pPr>
        <w:spacing w:line="360" w:lineRule="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r>
    </w:p>
    <w:p w14:paraId="3DC519E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val="en-US" w:eastAsia="zh-CN"/>
        </w:rPr>
        <w:t>备注：</w:t>
      </w:r>
      <w:r>
        <w:rPr>
          <w:rFonts w:hint="eastAsia" w:ascii="宋体" w:hAnsi="宋体" w:eastAsia="宋体" w:cs="宋体"/>
          <w:b/>
          <w:bCs/>
          <w:color w:val="auto"/>
          <w:sz w:val="24"/>
          <w:szCs w:val="24"/>
          <w:highlight w:val="none"/>
        </w:rPr>
        <w:t>对本项目蝶阀、偏心半球阀、活塞(调流)阀、固定锥阀、超声波流量计、电磁流量计、水泵等7类设备，投标人须在投标文件中提供选用品牌设备制造商出具的授权书(投标人是选用品牌设备制造商的除外)</w:t>
      </w:r>
      <w:r>
        <w:rPr>
          <w:rFonts w:hint="eastAsia" w:ascii="宋体" w:hAnsi="宋体" w:eastAsia="宋体" w:cs="宋体"/>
          <w:b/>
          <w:bCs/>
          <w:color w:val="auto"/>
          <w:sz w:val="24"/>
          <w:szCs w:val="24"/>
          <w:highlight w:val="none"/>
          <w:lang w:eastAsia="zh-CN"/>
        </w:rPr>
        <w:t>。</w:t>
      </w:r>
    </w:p>
    <w:p w14:paraId="2DB9EA70">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进口品牌：可由制造商境内代理商出具授权，同时提供制造商给代理商的代理授权</w:t>
      </w:r>
      <w:r>
        <w:rPr>
          <w:rFonts w:hint="eastAsia" w:ascii="宋体" w:hAnsi="宋体" w:eastAsia="宋体" w:cs="宋体"/>
          <w:b/>
          <w:bCs/>
          <w:color w:val="auto"/>
          <w:sz w:val="24"/>
          <w:szCs w:val="24"/>
          <w:highlight w:val="none"/>
          <w:lang w:val="en-US" w:eastAsia="zh-CN"/>
        </w:rPr>
        <w:t>材料</w:t>
      </w:r>
      <w:r>
        <w:rPr>
          <w:rFonts w:hint="eastAsia" w:ascii="宋体" w:hAnsi="宋体" w:eastAsia="宋体" w:cs="宋体"/>
          <w:b/>
          <w:bCs/>
          <w:color w:val="auto"/>
          <w:sz w:val="24"/>
          <w:szCs w:val="24"/>
          <w:highlight w:val="none"/>
        </w:rPr>
        <w:t>。</w:t>
      </w:r>
    </w:p>
    <w:p w14:paraId="7D1D2C10">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国产品牌：</w:t>
      </w:r>
      <w:r>
        <w:rPr>
          <w:rFonts w:hint="eastAsia" w:ascii="宋体" w:hAnsi="宋体" w:eastAsia="宋体" w:cs="宋体"/>
          <w:b/>
          <w:bCs/>
          <w:color w:val="auto"/>
          <w:sz w:val="24"/>
          <w:szCs w:val="24"/>
          <w:highlight w:val="none"/>
        </w:rPr>
        <w:t>应提供制造商出具的授权书。</w:t>
      </w:r>
      <w:r>
        <w:rPr>
          <w:rFonts w:hint="eastAsia" w:ascii="宋体" w:hAnsi="宋体" w:eastAsia="宋体" w:cs="宋体"/>
          <w:b/>
          <w:bCs/>
          <w:color w:val="auto"/>
          <w:sz w:val="24"/>
          <w:szCs w:val="24"/>
          <w:highlight w:val="none"/>
          <w:lang w:val="en-US" w:eastAsia="zh-CN"/>
        </w:rPr>
        <w:t>国产品牌</w:t>
      </w:r>
      <w:r>
        <w:rPr>
          <w:rFonts w:hint="eastAsia" w:ascii="宋体" w:hAnsi="宋体" w:eastAsia="宋体" w:cs="宋体"/>
          <w:b/>
          <w:bCs/>
          <w:color w:val="auto"/>
          <w:sz w:val="24"/>
          <w:szCs w:val="24"/>
          <w:highlight w:val="none"/>
        </w:rPr>
        <w:t>出具的授权书格式按招标文件第七章格式十二“制造商授权书”</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其他授权书格式自拟，授权书如非中文版，投标人应翻译为中文并盖投标人章连同授权书一并提供。</w:t>
      </w:r>
    </w:p>
    <w:p w14:paraId="09A06F7E">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eastAsia="宋体" w:cs="宋体"/>
          <w:color w:val="auto"/>
          <w:sz w:val="24"/>
          <w:szCs w:val="24"/>
          <w:highlight w:val="none"/>
          <w:lang w:val="en-US" w:eastAsia="zh-CN"/>
        </w:rPr>
      </w:pPr>
    </w:p>
    <w:p w14:paraId="1A715E69">
      <w:pPr>
        <w:keepNext w:val="0"/>
        <w:keepLines w:val="0"/>
        <w:pageBreakBefore w:val="0"/>
        <w:widowControl/>
        <w:kinsoku w:val="0"/>
        <w:wordWrap/>
        <w:overflowPunct/>
        <w:topLinePunct w:val="0"/>
        <w:autoSpaceDE w:val="0"/>
        <w:autoSpaceDN w:val="0"/>
        <w:bidi w:val="0"/>
        <w:adjustRightInd w:val="0"/>
        <w:snapToGrid w:val="0"/>
        <w:spacing w:after="0" w:afterLines="120" w:line="360" w:lineRule="auto"/>
        <w:textAlignment w:val="baseline"/>
        <w:outlineLvl w:val="1"/>
        <w:rPr>
          <w:rFonts w:hint="eastAsia" w:ascii="宋体" w:hAnsi="宋体" w:eastAsia="宋体" w:cs="宋体"/>
          <w:color w:val="auto"/>
          <w:sz w:val="24"/>
          <w:szCs w:val="24"/>
          <w:highlight w:val="none"/>
        </w:rPr>
        <w:sectPr>
          <w:pgSz w:w="16840" w:h="11907" w:orient="landscape"/>
          <w:pgMar w:top="1474" w:right="1418" w:bottom="1559" w:left="1418" w:header="0" w:footer="723" w:gutter="0"/>
          <w:pgNumType w:fmt="decimal"/>
          <w:cols w:space="720" w:num="1"/>
        </w:sectPr>
      </w:pPr>
      <w:bookmarkStart w:id="1542" w:name="_Toc32279"/>
      <w:bookmarkStart w:id="1543" w:name="_Toc9355"/>
      <w:bookmarkStart w:id="1544" w:name="_Toc28246"/>
      <w:bookmarkStart w:id="1545" w:name="_Toc28552"/>
      <w:bookmarkStart w:id="1546" w:name="_Toc22064"/>
      <w:bookmarkStart w:id="1547" w:name="_Toc28520"/>
      <w:bookmarkStart w:id="1548" w:name="_Toc659"/>
      <w:bookmarkStart w:id="1549" w:name="_Toc17222"/>
      <w:bookmarkStart w:id="1550" w:name="_Toc30323"/>
      <w:bookmarkStart w:id="1551" w:name="_Toc21906"/>
      <w:bookmarkStart w:id="1552" w:name="_Toc26285"/>
      <w:bookmarkStart w:id="1553" w:name="_Toc14070"/>
      <w:bookmarkStart w:id="1554" w:name="_Toc12529"/>
      <w:bookmarkStart w:id="1555" w:name="_Toc27519"/>
      <w:bookmarkStart w:id="1556" w:name="_Toc26153"/>
      <w:bookmarkStart w:id="1557" w:name="_Toc8820"/>
      <w:bookmarkStart w:id="1558" w:name="_Toc15007"/>
      <w:bookmarkStart w:id="1559" w:name="_Toc31744"/>
    </w:p>
    <w:p w14:paraId="61D025D7">
      <w:pPr>
        <w:keepNext w:val="0"/>
        <w:keepLines w:val="0"/>
        <w:pageBreakBefore w:val="0"/>
        <w:widowControl/>
        <w:kinsoku w:val="0"/>
        <w:wordWrap/>
        <w:overflowPunct/>
        <w:topLinePunct w:val="0"/>
        <w:autoSpaceDE w:val="0"/>
        <w:autoSpaceDN w:val="0"/>
        <w:bidi w:val="0"/>
        <w:adjustRightInd w:val="0"/>
        <w:snapToGrid w:val="0"/>
        <w:spacing w:after="0" w:afterLines="120" w:line="360" w:lineRule="auto"/>
        <w:textAlignment w:val="baseline"/>
        <w:outlineLvl w:val="1"/>
        <w:rPr>
          <w:rFonts w:hint="default" w:ascii="宋体" w:hAnsi="宋体" w:eastAsia="宋体" w:cs="宋体"/>
          <w:color w:val="auto"/>
          <w:sz w:val="24"/>
          <w:szCs w:val="24"/>
          <w:highlight w:val="none"/>
          <w:lang w:val="en-US"/>
        </w:rPr>
      </w:pPr>
      <w:bookmarkStart w:id="1560" w:name="_Toc32081"/>
      <w:bookmarkStart w:id="1561" w:name="_Toc3496"/>
      <w:bookmarkStart w:id="1562" w:name="_Toc2908"/>
      <w:bookmarkStart w:id="1563" w:name="_Toc23062"/>
      <w:bookmarkStart w:id="1564" w:name="_Toc31695"/>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十二</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制造商授权书</w:t>
      </w:r>
      <w:bookmarkEnd w:id="1560"/>
      <w:bookmarkEnd w:id="1561"/>
      <w:bookmarkEnd w:id="1562"/>
      <w:bookmarkEnd w:id="1563"/>
      <w:bookmarkEnd w:id="1564"/>
    </w:p>
    <w:p w14:paraId="2D49E3F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312EA462">
      <w:pPr>
        <w:keepNext w:val="0"/>
        <w:keepLines w:val="0"/>
        <w:pageBreakBefore w:val="0"/>
        <w:widowControl/>
        <w:kinsoku/>
        <w:wordWrap/>
        <w:overflowPunct/>
        <w:topLinePunct/>
        <w:autoSpaceDE w:val="0"/>
        <w:autoSpaceDN w:val="0"/>
        <w:bidi w:val="0"/>
        <w:adjustRightInd w:val="0"/>
        <w:snapToGrid w:val="0"/>
        <w:spacing w:line="360" w:lineRule="auto"/>
        <w:ind w:firstLine="0" w:firstLineChars="0"/>
        <w:jc w:val="center"/>
        <w:textAlignment w:val="baseline"/>
        <w:rPr>
          <w:rFonts w:hint="eastAsia" w:ascii="华文中宋" w:hAnsi="华文中宋" w:eastAsia="华文中宋" w:cs="华文中宋"/>
          <w:b/>
          <w:bCs/>
          <w:color w:val="auto"/>
          <w:kern w:val="2"/>
          <w:sz w:val="28"/>
          <w:szCs w:val="28"/>
          <w:highlight w:val="none"/>
          <w:lang w:val="en-US" w:eastAsia="zh-CN"/>
        </w:rPr>
      </w:pPr>
      <w:r>
        <w:rPr>
          <w:rFonts w:hint="eastAsia" w:ascii="华文中宋" w:hAnsi="华文中宋" w:eastAsia="华文中宋" w:cs="华文中宋"/>
          <w:b/>
          <w:bCs/>
          <w:color w:val="auto"/>
          <w:kern w:val="2"/>
          <w:sz w:val="28"/>
          <w:szCs w:val="28"/>
          <w:highlight w:val="none"/>
          <w:lang w:val="en-US" w:eastAsia="zh-CN"/>
        </w:rPr>
        <w:t>制造商授权书</w:t>
      </w:r>
    </w:p>
    <w:p w14:paraId="61E33B3A">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684772C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致：浙江镜岭水库有限公司（招标人）</w:t>
      </w:r>
    </w:p>
    <w:p w14:paraId="65F9233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我单位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（制造商名称）是按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（国家/地区名称）法律成立的一家制造商，主要营业地点设在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（制造商地址）。兹授权按</w:t>
      </w:r>
      <w:r>
        <w:rPr>
          <w:rFonts w:hint="eastAsia" w:ascii="宋体" w:hAnsi="宋体" w:eastAsia="宋体" w:cs="宋体"/>
          <w:color w:val="auto"/>
          <w:sz w:val="24"/>
          <w:szCs w:val="24"/>
          <w:highlight w:val="none"/>
          <w:u w:val="single"/>
          <w:lang w:val="en-US" w:eastAsia="zh-CN"/>
        </w:rPr>
        <w:t>中华人民共和国/     （</w:t>
      </w:r>
      <w:r>
        <w:rPr>
          <w:rFonts w:hint="eastAsia" w:ascii="宋体" w:hAnsi="宋体" w:eastAsia="宋体" w:cs="宋体"/>
          <w:color w:val="auto"/>
          <w:sz w:val="24"/>
          <w:szCs w:val="24"/>
          <w:highlight w:val="none"/>
          <w:u w:val="none"/>
          <w:lang w:val="en-US" w:eastAsia="zh-CN"/>
        </w:rPr>
        <w:t>地区名称）</w:t>
      </w:r>
      <w:r>
        <w:rPr>
          <w:rFonts w:hint="eastAsia" w:ascii="宋体" w:hAnsi="宋体" w:eastAsia="宋体" w:cs="宋体"/>
          <w:color w:val="auto"/>
          <w:sz w:val="24"/>
          <w:szCs w:val="24"/>
          <w:highlight w:val="none"/>
          <w:lang w:val="en-US" w:eastAsia="zh-CN"/>
        </w:rPr>
        <w:t>的法律正式成立的，主要营业地点设在</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（投标人的单位地址）</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（投标人名称）</w:t>
      </w:r>
      <w:r>
        <w:rPr>
          <w:rFonts w:hint="eastAsia" w:ascii="宋体" w:hAnsi="宋体" w:eastAsia="宋体" w:cs="宋体"/>
          <w:color w:val="auto"/>
          <w:sz w:val="24"/>
          <w:szCs w:val="24"/>
          <w:highlight w:val="none"/>
          <w:lang w:val="en-US" w:eastAsia="zh-CN"/>
        </w:rPr>
        <w:t>以我单位制造的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（货物名称）进行</w:t>
      </w:r>
      <w:r>
        <w:rPr>
          <w:rFonts w:hint="eastAsia" w:ascii="宋体" w:hAnsi="宋体" w:eastAsia="宋体" w:cs="宋体"/>
          <w:color w:val="auto"/>
          <w:sz w:val="24"/>
          <w:szCs w:val="24"/>
          <w:highlight w:val="none"/>
          <w:u w:val="single"/>
          <w:lang w:val="en-US" w:eastAsia="zh-CN"/>
        </w:rPr>
        <w:t xml:space="preserve"> 浙江镜岭水库工程阀门等设备采购  </w:t>
      </w:r>
      <w:r>
        <w:rPr>
          <w:rFonts w:hint="eastAsia" w:ascii="宋体" w:hAnsi="宋体" w:eastAsia="宋体" w:cs="宋体"/>
          <w:color w:val="auto"/>
          <w:sz w:val="24"/>
          <w:szCs w:val="24"/>
          <w:highlight w:val="none"/>
          <w:u w:val="none"/>
          <w:lang w:val="en-US" w:eastAsia="zh-CN"/>
        </w:rPr>
        <w:t>（项目/标段名称）</w:t>
      </w:r>
      <w:r>
        <w:rPr>
          <w:rFonts w:hint="eastAsia" w:ascii="宋体" w:hAnsi="宋体" w:eastAsia="宋体" w:cs="宋体"/>
          <w:color w:val="auto"/>
          <w:sz w:val="24"/>
          <w:szCs w:val="24"/>
          <w:highlight w:val="none"/>
          <w:lang w:val="en-US" w:eastAsia="zh-CN"/>
        </w:rPr>
        <w:t>投标活动，我单位同意按照中标合同供货，并对产品质量和售后服务承担责任。我单位同时授权和承诺如下：</w:t>
      </w:r>
    </w:p>
    <w:p w14:paraId="28A0C9E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(1)授权</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（投标人名称）</w:t>
      </w:r>
      <w:r>
        <w:rPr>
          <w:rFonts w:hint="eastAsia" w:ascii="宋体" w:hAnsi="宋体" w:eastAsia="宋体" w:cs="宋体"/>
          <w:color w:val="auto"/>
          <w:sz w:val="24"/>
          <w:szCs w:val="24"/>
          <w:highlight w:val="none"/>
          <w:lang w:val="en-US" w:eastAsia="zh-CN"/>
        </w:rPr>
        <w:t>代表我单位在中华人民共和国办理贵方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浙江镜岭水库工程阀门等设备采购</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（项目/标段名称）</w:t>
      </w:r>
      <w:r>
        <w:rPr>
          <w:rFonts w:hint="eastAsia" w:ascii="宋体" w:hAnsi="宋体" w:eastAsia="宋体" w:cs="宋体"/>
          <w:color w:val="auto"/>
          <w:sz w:val="24"/>
          <w:szCs w:val="24"/>
          <w:highlight w:val="none"/>
          <w:lang w:val="en-US" w:eastAsia="zh-CN"/>
        </w:rPr>
        <w:t>要求提供的由我单位制造的货物的有关事宜，并对我单位具有约束力。</w:t>
      </w:r>
    </w:p>
    <w:p w14:paraId="3DFA3F1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(2)我单位保证以投标合作者来约束自己，并对该投标共同和分别承担招标文件中所规定的义务。</w:t>
      </w:r>
    </w:p>
    <w:p w14:paraId="55A62C4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(3)我单位兹授予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（投标人名称）</w:t>
      </w:r>
      <w:r>
        <w:rPr>
          <w:rFonts w:hint="eastAsia" w:ascii="宋体" w:hAnsi="宋体" w:eastAsia="宋体" w:cs="宋体"/>
          <w:color w:val="auto"/>
          <w:sz w:val="24"/>
          <w:szCs w:val="24"/>
          <w:highlight w:val="none"/>
          <w:lang w:val="en-US" w:eastAsia="zh-CN"/>
        </w:rPr>
        <w:t>全权办理和履行上述我单位为完成上述各点所必须的事宜，具有替换或撤消的全权。兹确认</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（投标人名称）</w:t>
      </w:r>
      <w:r>
        <w:rPr>
          <w:rFonts w:hint="eastAsia" w:ascii="宋体" w:hAnsi="宋体" w:eastAsia="宋体" w:cs="宋体"/>
          <w:color w:val="auto"/>
          <w:sz w:val="24"/>
          <w:szCs w:val="24"/>
          <w:highlight w:val="none"/>
          <w:lang w:val="en-US" w:eastAsia="zh-CN"/>
        </w:rPr>
        <w:t>或其正式授权代表依此合法地办理一切事宜。</w:t>
      </w:r>
    </w:p>
    <w:p w14:paraId="1963EE9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568CE74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0F595369">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制造商名称（盖章）：</w:t>
      </w:r>
      <w:r>
        <w:rPr>
          <w:rFonts w:hint="eastAsia" w:ascii="宋体" w:hAnsi="宋体" w:eastAsia="宋体" w:cs="宋体"/>
          <w:color w:val="auto"/>
          <w:sz w:val="24"/>
          <w:szCs w:val="24"/>
          <w:highlight w:val="none"/>
          <w:u w:val="single"/>
          <w:lang w:val="en-US" w:eastAsia="zh-CN"/>
        </w:rPr>
        <w:t xml:space="preserve">                           </w:t>
      </w:r>
    </w:p>
    <w:p w14:paraId="30BF303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17CB15C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投标人名称（盖章）：</w:t>
      </w:r>
      <w:r>
        <w:rPr>
          <w:rFonts w:hint="eastAsia" w:ascii="宋体" w:hAnsi="宋体" w:eastAsia="宋体" w:cs="宋体"/>
          <w:color w:val="auto"/>
          <w:sz w:val="24"/>
          <w:szCs w:val="24"/>
          <w:highlight w:val="none"/>
          <w:u w:val="single"/>
          <w:lang w:val="en-US" w:eastAsia="zh-CN"/>
        </w:rPr>
        <w:t xml:space="preserve">                           </w:t>
      </w:r>
    </w:p>
    <w:p w14:paraId="44F096F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49A017ED">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日期：2026年   月   日</w:t>
      </w:r>
    </w:p>
    <w:p w14:paraId="701FABA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p w14:paraId="0D99C7E6">
      <w:pPr>
        <w:keepNext w:val="0"/>
        <w:keepLines w:val="0"/>
        <w:pageBreakBefore w:val="0"/>
        <w:widowControl/>
        <w:kinsoku w:val="0"/>
        <w:wordWrap/>
        <w:overflowPunct/>
        <w:topLinePunct w:val="0"/>
        <w:autoSpaceDE w:val="0"/>
        <w:autoSpaceDN w:val="0"/>
        <w:bidi w:val="0"/>
        <w:adjustRightInd w:val="0"/>
        <w:snapToGrid w:val="0"/>
        <w:spacing w:after="0" w:afterLines="120" w:line="360" w:lineRule="auto"/>
        <w:textAlignment w:val="baseline"/>
        <w:outlineLvl w:val="1"/>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br w:type="page"/>
      </w:r>
      <w:bookmarkStart w:id="1565" w:name="_Toc10770"/>
      <w:bookmarkStart w:id="1566" w:name="_Toc6662"/>
      <w:bookmarkStart w:id="1567" w:name="_Toc15729"/>
      <w:bookmarkStart w:id="1568" w:name="_Toc32307"/>
      <w:bookmarkStart w:id="1569" w:name="_Toc29811"/>
      <w:r>
        <w:rPr>
          <w:rFonts w:hint="eastAsia" w:ascii="宋体" w:hAnsi="宋体" w:eastAsia="宋体" w:cs="宋体"/>
          <w:color w:val="auto"/>
          <w:sz w:val="24"/>
          <w:szCs w:val="24"/>
          <w:highlight w:val="none"/>
        </w:rPr>
        <w:t>格式</w:t>
      </w:r>
      <w:r>
        <w:rPr>
          <w:rFonts w:hint="eastAsia" w:ascii="宋体" w:hAnsi="宋体" w:eastAsia="宋体" w:cs="宋体"/>
          <w:color w:val="auto"/>
          <w:sz w:val="24"/>
          <w:szCs w:val="24"/>
          <w:highlight w:val="none"/>
          <w:lang w:val="en-US" w:eastAsia="zh-CN"/>
        </w:rPr>
        <w:t>十三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其他需要递交的资料</w:t>
      </w:r>
      <w:bookmarkEnd w:id="1565"/>
      <w:bookmarkEnd w:id="1566"/>
      <w:bookmarkEnd w:id="1567"/>
      <w:bookmarkEnd w:id="1568"/>
      <w:bookmarkEnd w:id="1569"/>
    </w:p>
    <w:p w14:paraId="152F20B3">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1、投标人认为需要递交的其他材料，格式自拟。</w:t>
      </w:r>
    </w:p>
    <w:p w14:paraId="327A6092">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6191160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31B19BD4">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04D5E55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6B5243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70BF7C9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color w:val="auto"/>
          <w:sz w:val="24"/>
          <w:szCs w:val="24"/>
          <w:highlight w:val="none"/>
          <w:lang w:val="en-US" w:eastAsia="zh-CN"/>
        </w:rPr>
      </w:pPr>
    </w:p>
    <w:p w14:paraId="2D60E5C2">
      <w:pPr>
        <w:spacing w:line="360" w:lineRule="auto"/>
        <w:rPr>
          <w:rFonts w:hint="eastAsia" w:ascii="宋体" w:hAnsi="宋体" w:eastAsia="宋体" w:cs="宋体"/>
          <w:color w:val="auto"/>
          <w:sz w:val="24"/>
          <w:szCs w:val="24"/>
          <w:highlight w:val="none"/>
          <w:lang w:val="en-US" w:eastAsia="zh-CN"/>
        </w:rPr>
      </w:pPr>
    </w:p>
    <w:p w14:paraId="5F4A1240"/>
    <w:p w14:paraId="0C906B98"/>
    <w:p w14:paraId="23DE8049"/>
    <w:p w14:paraId="40E7A570"/>
    <w:p w14:paraId="1067779A"/>
    <w:p w14:paraId="5A6DB669"/>
    <w:p w14:paraId="2F5FBB28"/>
    <w:p w14:paraId="6B2B12F6"/>
    <w:p w14:paraId="1C500A58"/>
    <w:p w14:paraId="2FC21CD3"/>
    <w:p w14:paraId="2ED92EFD"/>
    <w:p w14:paraId="0126EDC6"/>
    <w:p w14:paraId="255328D3"/>
    <w:p w14:paraId="365BBBD4"/>
    <w:p w14:paraId="7CB5CF3D"/>
    <w:p w14:paraId="23AD09F6"/>
    <w:p w14:paraId="7759FFF8"/>
    <w:p w14:paraId="1633D1F7"/>
    <w:p w14:paraId="66382E2A"/>
    <w:p w14:paraId="72BAA83D"/>
    <w:p w14:paraId="4A46D3CC"/>
    <w:p w14:paraId="6CE2CB66"/>
    <w:p w14:paraId="7851F94E"/>
    <w:p w14:paraId="3BBD97BD"/>
    <w:p w14:paraId="47DFA37A"/>
    <w:p w14:paraId="6D5F761F"/>
    <w:p w14:paraId="1423EF9D"/>
    <w:p w14:paraId="6A784F99"/>
    <w:p w14:paraId="23F1C3E0"/>
    <w:p w14:paraId="48EC26B8"/>
    <w:p w14:paraId="67EB89BC"/>
    <w:p w14:paraId="42F9D9DD"/>
    <w:p w14:paraId="781542CF"/>
    <w:p w14:paraId="4CB61875"/>
    <w:p w14:paraId="469C5987"/>
    <w:p w14:paraId="477058F3"/>
    <w:p w14:paraId="490241B2"/>
    <w:p w14:paraId="2C399872"/>
    <w:p w14:paraId="1F2BAEB9"/>
    <w:p w14:paraId="01C5A74C">
      <w:pPr>
        <w:rPr>
          <w:rFonts w:hint="eastAsia" w:eastAsia="宋体"/>
          <w:lang w:eastAsia="zh-CN"/>
        </w:rPr>
      </w:pPr>
      <w:r>
        <w:rPr>
          <w:rFonts w:hint="eastAsia" w:eastAsia="宋体"/>
          <w:lang w:eastAsia="zh-CN"/>
        </w:rPr>
        <w:drawing>
          <wp:inline distT="0" distB="0" distL="114300" distR="114300">
            <wp:extent cx="5562600" cy="7867650"/>
            <wp:effectExtent l="0" t="0" r="0" b="0"/>
            <wp:docPr id="5" name="图片 5" descr="82cab1e7-8a3e-4242-9295-76842a7243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82cab1e7-8a3e-4242-9295-76842a72439c"/>
                    <pic:cNvPicPr>
                      <a:picLocks noChangeAspect="1"/>
                    </pic:cNvPicPr>
                  </pic:nvPicPr>
                  <pic:blipFill>
                    <a:blip r:embed="rId7"/>
                    <a:stretch>
                      <a:fillRect/>
                    </a:stretch>
                  </pic:blipFill>
                  <pic:spPr>
                    <a:xfrm>
                      <a:off x="0" y="0"/>
                      <a:ext cx="5562600" cy="7867650"/>
                    </a:xfrm>
                    <a:prstGeom prst="rect">
                      <a:avLst/>
                    </a:prstGeom>
                  </pic:spPr>
                </pic:pic>
              </a:graphicData>
            </a:graphic>
          </wp:inline>
        </w:drawing>
      </w:r>
      <w:bookmarkStart w:id="1570" w:name="_GoBack"/>
      <w:bookmarkEnd w:id="1570"/>
    </w:p>
    <w:sectPr>
      <w:pgSz w:w="11907" w:h="16840"/>
      <w:pgMar w:top="1418" w:right="1559" w:bottom="1418" w:left="1474" w:header="0" w:footer="723"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0002A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B10C6">
    <w:pPr>
      <w:spacing w:line="188" w:lineRule="auto"/>
      <w:ind w:left="4195"/>
      <w:rPr>
        <w:rFonts w:ascii="Calibri" w:hAnsi="Calibri" w:eastAsia="Calibri" w:cs="Calibri"/>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14786">
    <w:pPr>
      <w:keepNext w:val="0"/>
      <w:keepLines w:val="0"/>
      <w:pageBreakBefore w:val="0"/>
      <w:widowControl/>
      <w:kinsoku w:val="0"/>
      <w:wordWrap/>
      <w:overflowPunct/>
      <w:topLinePunct w:val="0"/>
      <w:bidi w:val="0"/>
      <w:adjustRightInd w:val="0"/>
      <w:snapToGrid w:val="0"/>
      <w:spacing w:line="240" w:lineRule="auto"/>
      <w:ind w:left="0"/>
      <w:textAlignment w:val="baseline"/>
      <w:rPr>
        <w:rFonts w:ascii="Calibri" w:hAnsi="Calibri" w:eastAsia="Calibri" w:cs="Calibri"/>
        <w:sz w:val="17"/>
        <w:szCs w:val="17"/>
      </w:rPr>
    </w:pPr>
    <w:r>
      <w:rPr>
        <w:sz w:val="1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DCEB04D">
                          <w:pPr>
                            <w:pStyle w:val="11"/>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6</w:t>
                          </w:r>
                          <w:r>
                            <w:rPr>
                              <w:rFonts w:hint="eastAsia" w:ascii="宋体" w:hAnsi="宋体" w:eastAsia="宋体" w:cs="宋体"/>
                              <w:sz w:val="21"/>
                              <w:szCs w:val="21"/>
                            </w:rPr>
                            <w:fldChar w:fldCharType="end"/>
                          </w:r>
                        </w:p>
                      </w:txbxContent>
                    </wps:txbx>
                    <wps:bodyPr vert="horz" wrap="none" lIns="0" tIns="0" rIns="0" bIns="0" anchor="t" anchorCtr="0" upright="0">
                      <a:spAutoFit/>
                    </wps:bodyPr>
                  </wps:wsp>
                </a:graphicData>
              </a:graphic>
            </wp:anchor>
          </w:drawing>
        </mc:Choice>
        <mc:Fallback>
          <w:pict>
            <v:shape id="文本框 105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M6pebnPAAAABQEAAA8AAAAAAAAA&#10;AQAgAAAAIgAAAGRycy9kb3ducmV2LnhtbFBLAQIUABQAAAAIAIdO4kDF4n2j4QEAAMEDAAAOAAAA&#10;AAAAAAEAIAAAAB4BAABkcnMvZTJvRG9jLnhtbFBLBQYAAAAABgAGAFkBAABxBQAAAAA=&#10;">
              <v:fill on="f" focussize="0,0"/>
              <v:stroke on="f"/>
              <v:imagedata o:title=""/>
              <o:lock v:ext="edit" aspectratio="f"/>
              <v:textbox inset="0mm,0mm,0mm,0mm" style="mso-fit-shape-to-text:t;">
                <w:txbxContent>
                  <w:p w14:paraId="4DCEB04D">
                    <w:pPr>
                      <w:pStyle w:val="11"/>
                    </w:pP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6</w:t>
                    </w:r>
                    <w:r>
                      <w:rPr>
                        <w:rFonts w:hint="eastAsia" w:ascii="宋体" w:hAnsi="宋体" w:eastAsia="宋体" w:cs="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C79B5B">
    <w:pPr>
      <w:pStyle w:val="12"/>
      <w:pBdr>
        <w:top w:val="none" w:color="auto" w:sz="0" w:space="0"/>
        <w:left w:val="none" w:color="auto" w:sz="0" w:space="0"/>
        <w:bottom w:val="none" w:color="auto" w:sz="0" w:space="1"/>
        <w:right w:val="none" w:color="auto" w:sz="0" w:space="0"/>
        <w:between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9E4278"/>
    <w:multiLevelType w:val="singleLevel"/>
    <w:tmpl w:val="C39E4278"/>
    <w:lvl w:ilvl="0" w:tentative="0">
      <w:start w:val="1"/>
      <w:numFmt w:val="decimal"/>
      <w:suff w:val="nothing"/>
      <w:lvlText w:val="（%1）"/>
      <w:lvlJc w:val="left"/>
    </w:lvl>
  </w:abstractNum>
  <w:abstractNum w:abstractNumId="1">
    <w:nsid w:val="DEDF2DC5"/>
    <w:multiLevelType w:val="singleLevel"/>
    <w:tmpl w:val="DEDF2DC5"/>
    <w:lvl w:ilvl="0" w:tentative="0">
      <w:start w:val="1"/>
      <w:numFmt w:val="decimal"/>
      <w:suff w:val="nothing"/>
      <w:lvlText w:val="（%1）"/>
      <w:lvlJc w:val="left"/>
    </w:lvl>
  </w:abstractNum>
  <w:abstractNum w:abstractNumId="2">
    <w:nsid w:val="FFD415E1"/>
    <w:multiLevelType w:val="singleLevel"/>
    <w:tmpl w:val="FFD415E1"/>
    <w:lvl w:ilvl="0" w:tentative="0">
      <w:start w:val="2"/>
      <w:numFmt w:val="decimal"/>
      <w:suff w:val="nothing"/>
      <w:lvlText w:val="%1、"/>
      <w:lvlJc w:val="left"/>
      <w:pPr>
        <w:ind w:left="690" w:firstLine="0"/>
      </w:pPr>
    </w:lvl>
  </w:abstractNum>
  <w:abstractNum w:abstractNumId="3">
    <w:nsid w:val="083AC1EE"/>
    <w:multiLevelType w:val="singleLevel"/>
    <w:tmpl w:val="083AC1EE"/>
    <w:lvl w:ilvl="0" w:tentative="0">
      <w:start w:val="1"/>
      <w:numFmt w:val="decimal"/>
      <w:suff w:val="nothing"/>
      <w:lvlText w:val="（%1）"/>
      <w:lvlJc w:val="left"/>
      <w:pPr>
        <w:ind w:left="480" w:firstLine="0"/>
      </w:pPr>
    </w:lvl>
  </w:abstractNum>
  <w:abstractNum w:abstractNumId="4">
    <w:nsid w:val="270BDCF9"/>
    <w:multiLevelType w:val="singleLevel"/>
    <w:tmpl w:val="270BDCF9"/>
    <w:lvl w:ilvl="0" w:tentative="0">
      <w:start w:val="1"/>
      <w:numFmt w:val="decimal"/>
      <w:suff w:val="nothing"/>
      <w:lvlText w:val="（%1）"/>
      <w:lvlJc w:val="left"/>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isplayBackgroundShape w:val="1"/>
  <w:bordersDoNotSurroundHeader w:val="0"/>
  <w:bordersDoNotSurroundFooter w:val="0"/>
  <w:documentProtection w:enforcement="0"/>
  <w:defaultTabStop w:val="420"/>
  <w:hyphenationZone w:val="360"/>
  <w:displayHorizontalDrawingGridEvery w:val="1"/>
  <w:displayVerticalDrawingGridEvery w:val="1"/>
  <w:noPunctuationKerning w:val="1"/>
  <w:characterSpacingControl w:val="doNotCompress"/>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JkNzUwODU3YmQwNWZlMmM2YTg2M2EwYjM4NDQ2YzIifQ=="/>
  </w:docVars>
  <w:rsids>
    <w:rsidRoot w:val="00172A27"/>
    <w:rsid w:val="00055130"/>
    <w:rsid w:val="00060497"/>
    <w:rsid w:val="00064B23"/>
    <w:rsid w:val="00074692"/>
    <w:rsid w:val="000A6356"/>
    <w:rsid w:val="000B3A92"/>
    <w:rsid w:val="000E44F2"/>
    <w:rsid w:val="000E4CB5"/>
    <w:rsid w:val="000F6453"/>
    <w:rsid w:val="00113FF6"/>
    <w:rsid w:val="00141809"/>
    <w:rsid w:val="00165366"/>
    <w:rsid w:val="00195915"/>
    <w:rsid w:val="001B77A0"/>
    <w:rsid w:val="001C2B10"/>
    <w:rsid w:val="001C3966"/>
    <w:rsid w:val="001C4F49"/>
    <w:rsid w:val="001E4522"/>
    <w:rsid w:val="001E675A"/>
    <w:rsid w:val="001E69D3"/>
    <w:rsid w:val="002117B2"/>
    <w:rsid w:val="00211E3B"/>
    <w:rsid w:val="00224277"/>
    <w:rsid w:val="00225EBA"/>
    <w:rsid w:val="0023617D"/>
    <w:rsid w:val="002363AC"/>
    <w:rsid w:val="002721BB"/>
    <w:rsid w:val="0027596A"/>
    <w:rsid w:val="00285F6C"/>
    <w:rsid w:val="00295364"/>
    <w:rsid w:val="002C3AC3"/>
    <w:rsid w:val="002F1197"/>
    <w:rsid w:val="002F16F5"/>
    <w:rsid w:val="002F1733"/>
    <w:rsid w:val="002F4D4C"/>
    <w:rsid w:val="00310156"/>
    <w:rsid w:val="0031567A"/>
    <w:rsid w:val="003340F8"/>
    <w:rsid w:val="00336164"/>
    <w:rsid w:val="00352B65"/>
    <w:rsid w:val="00363B93"/>
    <w:rsid w:val="003A5A8B"/>
    <w:rsid w:val="003B2432"/>
    <w:rsid w:val="003B4F63"/>
    <w:rsid w:val="003C3100"/>
    <w:rsid w:val="003C57EF"/>
    <w:rsid w:val="003E2060"/>
    <w:rsid w:val="003E6637"/>
    <w:rsid w:val="003F7FF4"/>
    <w:rsid w:val="00404B6B"/>
    <w:rsid w:val="00442846"/>
    <w:rsid w:val="004534ED"/>
    <w:rsid w:val="004744D6"/>
    <w:rsid w:val="004857AB"/>
    <w:rsid w:val="004A40FC"/>
    <w:rsid w:val="004A5C0A"/>
    <w:rsid w:val="004B321D"/>
    <w:rsid w:val="004B63E0"/>
    <w:rsid w:val="004D6462"/>
    <w:rsid w:val="004E1221"/>
    <w:rsid w:val="00505F50"/>
    <w:rsid w:val="00517719"/>
    <w:rsid w:val="0052392E"/>
    <w:rsid w:val="00535583"/>
    <w:rsid w:val="0055058D"/>
    <w:rsid w:val="00596F50"/>
    <w:rsid w:val="005974DB"/>
    <w:rsid w:val="005B1814"/>
    <w:rsid w:val="005E46AE"/>
    <w:rsid w:val="005F7FCB"/>
    <w:rsid w:val="006237C7"/>
    <w:rsid w:val="00633E75"/>
    <w:rsid w:val="00637A03"/>
    <w:rsid w:val="00661ADD"/>
    <w:rsid w:val="006629CA"/>
    <w:rsid w:val="006629E1"/>
    <w:rsid w:val="00664EC4"/>
    <w:rsid w:val="00665145"/>
    <w:rsid w:val="00695F6A"/>
    <w:rsid w:val="006A202E"/>
    <w:rsid w:val="006A2DDD"/>
    <w:rsid w:val="006A4113"/>
    <w:rsid w:val="006A4998"/>
    <w:rsid w:val="006B5715"/>
    <w:rsid w:val="006C5E78"/>
    <w:rsid w:val="006C62F2"/>
    <w:rsid w:val="00702EC5"/>
    <w:rsid w:val="00707744"/>
    <w:rsid w:val="00707EEE"/>
    <w:rsid w:val="007369E8"/>
    <w:rsid w:val="00761332"/>
    <w:rsid w:val="007854FB"/>
    <w:rsid w:val="007A29CA"/>
    <w:rsid w:val="007D5CB5"/>
    <w:rsid w:val="007D6130"/>
    <w:rsid w:val="007D733A"/>
    <w:rsid w:val="0081079F"/>
    <w:rsid w:val="00844A95"/>
    <w:rsid w:val="00845837"/>
    <w:rsid w:val="00851C97"/>
    <w:rsid w:val="00854820"/>
    <w:rsid w:val="00881540"/>
    <w:rsid w:val="008D3ED5"/>
    <w:rsid w:val="00914972"/>
    <w:rsid w:val="0092089C"/>
    <w:rsid w:val="00924094"/>
    <w:rsid w:val="00942A60"/>
    <w:rsid w:val="00953DA3"/>
    <w:rsid w:val="0097383F"/>
    <w:rsid w:val="0097490A"/>
    <w:rsid w:val="00996B87"/>
    <w:rsid w:val="009B0DEE"/>
    <w:rsid w:val="009D1D05"/>
    <w:rsid w:val="009D78B5"/>
    <w:rsid w:val="009E03DA"/>
    <w:rsid w:val="009E0AF8"/>
    <w:rsid w:val="009E42B7"/>
    <w:rsid w:val="00A200B0"/>
    <w:rsid w:val="00A54ED8"/>
    <w:rsid w:val="00A570A3"/>
    <w:rsid w:val="00A656E6"/>
    <w:rsid w:val="00A80CD8"/>
    <w:rsid w:val="00AA5562"/>
    <w:rsid w:val="00AA603F"/>
    <w:rsid w:val="00AC51F4"/>
    <w:rsid w:val="00AC544D"/>
    <w:rsid w:val="00AC5EB2"/>
    <w:rsid w:val="00AD43DB"/>
    <w:rsid w:val="00AD5BBD"/>
    <w:rsid w:val="00AF4B12"/>
    <w:rsid w:val="00AF621B"/>
    <w:rsid w:val="00B062A7"/>
    <w:rsid w:val="00B17FC1"/>
    <w:rsid w:val="00B23CD9"/>
    <w:rsid w:val="00B27DBE"/>
    <w:rsid w:val="00B3096B"/>
    <w:rsid w:val="00B3153B"/>
    <w:rsid w:val="00B36BE4"/>
    <w:rsid w:val="00B42DD7"/>
    <w:rsid w:val="00B65DB0"/>
    <w:rsid w:val="00B8171D"/>
    <w:rsid w:val="00B8778E"/>
    <w:rsid w:val="00B93FE8"/>
    <w:rsid w:val="00B94061"/>
    <w:rsid w:val="00BA2D12"/>
    <w:rsid w:val="00BC6842"/>
    <w:rsid w:val="00BD64EE"/>
    <w:rsid w:val="00C0077D"/>
    <w:rsid w:val="00C0176B"/>
    <w:rsid w:val="00C135C9"/>
    <w:rsid w:val="00C223D0"/>
    <w:rsid w:val="00C4692C"/>
    <w:rsid w:val="00C92566"/>
    <w:rsid w:val="00C95E01"/>
    <w:rsid w:val="00CB45B8"/>
    <w:rsid w:val="00CC0E0C"/>
    <w:rsid w:val="00CF6F87"/>
    <w:rsid w:val="00D15922"/>
    <w:rsid w:val="00D30C95"/>
    <w:rsid w:val="00D348D5"/>
    <w:rsid w:val="00D42191"/>
    <w:rsid w:val="00D42ECF"/>
    <w:rsid w:val="00D44B95"/>
    <w:rsid w:val="00D50A34"/>
    <w:rsid w:val="00D55A1B"/>
    <w:rsid w:val="00D60E98"/>
    <w:rsid w:val="00D6553D"/>
    <w:rsid w:val="00D72134"/>
    <w:rsid w:val="00D8309E"/>
    <w:rsid w:val="00D93FD8"/>
    <w:rsid w:val="00D96289"/>
    <w:rsid w:val="00DB199B"/>
    <w:rsid w:val="00DB3DF9"/>
    <w:rsid w:val="00DD773A"/>
    <w:rsid w:val="00DE725A"/>
    <w:rsid w:val="00E230ED"/>
    <w:rsid w:val="00E2643D"/>
    <w:rsid w:val="00E2659F"/>
    <w:rsid w:val="00E44905"/>
    <w:rsid w:val="00E77AEE"/>
    <w:rsid w:val="00EA368A"/>
    <w:rsid w:val="00EA672E"/>
    <w:rsid w:val="00EC25C7"/>
    <w:rsid w:val="00ED3341"/>
    <w:rsid w:val="00EF0426"/>
    <w:rsid w:val="00F3189B"/>
    <w:rsid w:val="00F323A3"/>
    <w:rsid w:val="00F55E9F"/>
    <w:rsid w:val="00F565CB"/>
    <w:rsid w:val="00F83E99"/>
    <w:rsid w:val="00F97B09"/>
    <w:rsid w:val="00FD5E49"/>
    <w:rsid w:val="00FD6761"/>
    <w:rsid w:val="00FE00D0"/>
    <w:rsid w:val="00FE1A17"/>
    <w:rsid w:val="00FE4755"/>
    <w:rsid w:val="00FF4145"/>
    <w:rsid w:val="00FF4B2D"/>
    <w:rsid w:val="01141165"/>
    <w:rsid w:val="011C626C"/>
    <w:rsid w:val="012670EA"/>
    <w:rsid w:val="01514860"/>
    <w:rsid w:val="015679D0"/>
    <w:rsid w:val="021F4265"/>
    <w:rsid w:val="027109A4"/>
    <w:rsid w:val="02CB7654"/>
    <w:rsid w:val="03483348"/>
    <w:rsid w:val="037979A5"/>
    <w:rsid w:val="038766BE"/>
    <w:rsid w:val="038C76D9"/>
    <w:rsid w:val="03EE3EEF"/>
    <w:rsid w:val="03FA4742"/>
    <w:rsid w:val="040D00EE"/>
    <w:rsid w:val="044B1342"/>
    <w:rsid w:val="04A24CDA"/>
    <w:rsid w:val="04C52EB3"/>
    <w:rsid w:val="04F33787"/>
    <w:rsid w:val="053E4A03"/>
    <w:rsid w:val="06391410"/>
    <w:rsid w:val="065B3392"/>
    <w:rsid w:val="065D535C"/>
    <w:rsid w:val="066C1A43"/>
    <w:rsid w:val="06E30A67"/>
    <w:rsid w:val="0730481F"/>
    <w:rsid w:val="074C16C1"/>
    <w:rsid w:val="07577971"/>
    <w:rsid w:val="07C1191B"/>
    <w:rsid w:val="08114650"/>
    <w:rsid w:val="0822685D"/>
    <w:rsid w:val="0865674A"/>
    <w:rsid w:val="087B7D1C"/>
    <w:rsid w:val="088A4403"/>
    <w:rsid w:val="088A6DBB"/>
    <w:rsid w:val="08A52FEB"/>
    <w:rsid w:val="08B8283A"/>
    <w:rsid w:val="08D8048D"/>
    <w:rsid w:val="09120680"/>
    <w:rsid w:val="09242161"/>
    <w:rsid w:val="093D1475"/>
    <w:rsid w:val="09C000DC"/>
    <w:rsid w:val="09E813E1"/>
    <w:rsid w:val="0ABB08A3"/>
    <w:rsid w:val="0B3A5C6C"/>
    <w:rsid w:val="0B835865"/>
    <w:rsid w:val="0B9C2483"/>
    <w:rsid w:val="0BC83278"/>
    <w:rsid w:val="0C06291C"/>
    <w:rsid w:val="0C843ED8"/>
    <w:rsid w:val="0C8A2C23"/>
    <w:rsid w:val="0CB101B0"/>
    <w:rsid w:val="0CCD00B0"/>
    <w:rsid w:val="0CE17C85"/>
    <w:rsid w:val="0CF34325"/>
    <w:rsid w:val="0D3A01A5"/>
    <w:rsid w:val="0D73160A"/>
    <w:rsid w:val="0D755681"/>
    <w:rsid w:val="0DDA3736"/>
    <w:rsid w:val="0E083E00"/>
    <w:rsid w:val="0E0F1CCC"/>
    <w:rsid w:val="0E25242F"/>
    <w:rsid w:val="0E2D5C6F"/>
    <w:rsid w:val="0E392569"/>
    <w:rsid w:val="0E4D215A"/>
    <w:rsid w:val="0E4F3208"/>
    <w:rsid w:val="0E8A0CB9"/>
    <w:rsid w:val="0E966C21"/>
    <w:rsid w:val="0F0740B7"/>
    <w:rsid w:val="0F203B72"/>
    <w:rsid w:val="0F7B6853"/>
    <w:rsid w:val="0F827BE2"/>
    <w:rsid w:val="10036F54"/>
    <w:rsid w:val="10234F21"/>
    <w:rsid w:val="10327B81"/>
    <w:rsid w:val="103B70AE"/>
    <w:rsid w:val="109E4EEF"/>
    <w:rsid w:val="10A63B4A"/>
    <w:rsid w:val="10EE19D3"/>
    <w:rsid w:val="112E0021"/>
    <w:rsid w:val="1178129C"/>
    <w:rsid w:val="11902A8A"/>
    <w:rsid w:val="11D24E50"/>
    <w:rsid w:val="11D706B9"/>
    <w:rsid w:val="123C4A44"/>
    <w:rsid w:val="124B69B1"/>
    <w:rsid w:val="12957C2C"/>
    <w:rsid w:val="130F5C30"/>
    <w:rsid w:val="13141499"/>
    <w:rsid w:val="13392CAD"/>
    <w:rsid w:val="13444CE1"/>
    <w:rsid w:val="134F24D1"/>
    <w:rsid w:val="134F427F"/>
    <w:rsid w:val="13904FC3"/>
    <w:rsid w:val="13AA7707"/>
    <w:rsid w:val="13F53078"/>
    <w:rsid w:val="14CB202B"/>
    <w:rsid w:val="14E354AE"/>
    <w:rsid w:val="15AF7257"/>
    <w:rsid w:val="15C947BC"/>
    <w:rsid w:val="15D60C87"/>
    <w:rsid w:val="16866209"/>
    <w:rsid w:val="168D57EA"/>
    <w:rsid w:val="169F551D"/>
    <w:rsid w:val="16D50F3F"/>
    <w:rsid w:val="17005FBC"/>
    <w:rsid w:val="170535D2"/>
    <w:rsid w:val="17132F99"/>
    <w:rsid w:val="1752433D"/>
    <w:rsid w:val="17604886"/>
    <w:rsid w:val="176E561B"/>
    <w:rsid w:val="17A2005D"/>
    <w:rsid w:val="17B44FF8"/>
    <w:rsid w:val="18441ED8"/>
    <w:rsid w:val="18AA2E4C"/>
    <w:rsid w:val="18F002B2"/>
    <w:rsid w:val="18FA6A3B"/>
    <w:rsid w:val="19017DC9"/>
    <w:rsid w:val="193E37E1"/>
    <w:rsid w:val="19880FE1"/>
    <w:rsid w:val="19C77265"/>
    <w:rsid w:val="1ACF3EB6"/>
    <w:rsid w:val="1ADE406C"/>
    <w:rsid w:val="1AF8344E"/>
    <w:rsid w:val="1B662AAD"/>
    <w:rsid w:val="1BA45562"/>
    <w:rsid w:val="1BDD5652"/>
    <w:rsid w:val="1C36422E"/>
    <w:rsid w:val="1C3D55BC"/>
    <w:rsid w:val="1C5823F6"/>
    <w:rsid w:val="1C76287C"/>
    <w:rsid w:val="1CC47A8B"/>
    <w:rsid w:val="1D6152DA"/>
    <w:rsid w:val="1D682B0D"/>
    <w:rsid w:val="1DF75C3F"/>
    <w:rsid w:val="1E412702"/>
    <w:rsid w:val="1E7948A6"/>
    <w:rsid w:val="1EA26C94"/>
    <w:rsid w:val="1EF503D0"/>
    <w:rsid w:val="1F2F75EE"/>
    <w:rsid w:val="1F4965AB"/>
    <w:rsid w:val="1F8A4FBC"/>
    <w:rsid w:val="1FA32AFF"/>
    <w:rsid w:val="1FBF453A"/>
    <w:rsid w:val="20166C70"/>
    <w:rsid w:val="20B41BC5"/>
    <w:rsid w:val="21033805"/>
    <w:rsid w:val="210E43CA"/>
    <w:rsid w:val="211908F7"/>
    <w:rsid w:val="214473ED"/>
    <w:rsid w:val="21617F9F"/>
    <w:rsid w:val="219263AA"/>
    <w:rsid w:val="219B1DC8"/>
    <w:rsid w:val="21BD2579"/>
    <w:rsid w:val="21C674F5"/>
    <w:rsid w:val="21D066C5"/>
    <w:rsid w:val="21E64000"/>
    <w:rsid w:val="220D3C83"/>
    <w:rsid w:val="22456F79"/>
    <w:rsid w:val="224F7DF7"/>
    <w:rsid w:val="22715569"/>
    <w:rsid w:val="22EF5136"/>
    <w:rsid w:val="230503DB"/>
    <w:rsid w:val="23056708"/>
    <w:rsid w:val="2357364F"/>
    <w:rsid w:val="23B64D47"/>
    <w:rsid w:val="23E5465A"/>
    <w:rsid w:val="24217571"/>
    <w:rsid w:val="24373239"/>
    <w:rsid w:val="2455491A"/>
    <w:rsid w:val="24594F5D"/>
    <w:rsid w:val="246C1EEC"/>
    <w:rsid w:val="24783253"/>
    <w:rsid w:val="24BC729A"/>
    <w:rsid w:val="24D46CDA"/>
    <w:rsid w:val="250A44A9"/>
    <w:rsid w:val="253928DA"/>
    <w:rsid w:val="25401D12"/>
    <w:rsid w:val="25822292"/>
    <w:rsid w:val="25A93CC2"/>
    <w:rsid w:val="25CE3729"/>
    <w:rsid w:val="25E1520A"/>
    <w:rsid w:val="25F25669"/>
    <w:rsid w:val="2610789E"/>
    <w:rsid w:val="26151358"/>
    <w:rsid w:val="261F20D3"/>
    <w:rsid w:val="26543C2E"/>
    <w:rsid w:val="26687ABC"/>
    <w:rsid w:val="26971D6D"/>
    <w:rsid w:val="26B16828"/>
    <w:rsid w:val="26B446CD"/>
    <w:rsid w:val="26D62895"/>
    <w:rsid w:val="26FF0060"/>
    <w:rsid w:val="2705317A"/>
    <w:rsid w:val="271208AF"/>
    <w:rsid w:val="271214F2"/>
    <w:rsid w:val="272950BB"/>
    <w:rsid w:val="27602AA7"/>
    <w:rsid w:val="281875F6"/>
    <w:rsid w:val="281D62A2"/>
    <w:rsid w:val="281F64BE"/>
    <w:rsid w:val="282B09BF"/>
    <w:rsid w:val="28A80261"/>
    <w:rsid w:val="28BC77E2"/>
    <w:rsid w:val="290A2CCA"/>
    <w:rsid w:val="29183639"/>
    <w:rsid w:val="294100A6"/>
    <w:rsid w:val="296C74E1"/>
    <w:rsid w:val="29C76E0D"/>
    <w:rsid w:val="29F64FFC"/>
    <w:rsid w:val="2A0239A1"/>
    <w:rsid w:val="2A6B7798"/>
    <w:rsid w:val="2AE148B4"/>
    <w:rsid w:val="2AF45F55"/>
    <w:rsid w:val="2B072453"/>
    <w:rsid w:val="2B0A6FB1"/>
    <w:rsid w:val="2B38058F"/>
    <w:rsid w:val="2B9F3B9D"/>
    <w:rsid w:val="2BC8504C"/>
    <w:rsid w:val="2BE9423E"/>
    <w:rsid w:val="2C22032B"/>
    <w:rsid w:val="2C2C2F57"/>
    <w:rsid w:val="2C98347C"/>
    <w:rsid w:val="2CAD4098"/>
    <w:rsid w:val="2CE13D42"/>
    <w:rsid w:val="2CE76689"/>
    <w:rsid w:val="2D0C509E"/>
    <w:rsid w:val="2D1265F1"/>
    <w:rsid w:val="2D412A32"/>
    <w:rsid w:val="2D452523"/>
    <w:rsid w:val="2D536693"/>
    <w:rsid w:val="2DB63420"/>
    <w:rsid w:val="2DEC299E"/>
    <w:rsid w:val="2E0328A6"/>
    <w:rsid w:val="2E082BD7"/>
    <w:rsid w:val="2E3305CD"/>
    <w:rsid w:val="2E656606"/>
    <w:rsid w:val="2E697C2A"/>
    <w:rsid w:val="2E8D23D3"/>
    <w:rsid w:val="2EA11CF3"/>
    <w:rsid w:val="2ED51684"/>
    <w:rsid w:val="2EDC0C65"/>
    <w:rsid w:val="2F041F69"/>
    <w:rsid w:val="2F10090E"/>
    <w:rsid w:val="2F363D8C"/>
    <w:rsid w:val="2F4F7689"/>
    <w:rsid w:val="2F566C69"/>
    <w:rsid w:val="2F694C84"/>
    <w:rsid w:val="2F7610B9"/>
    <w:rsid w:val="2FFC35F4"/>
    <w:rsid w:val="303F6390"/>
    <w:rsid w:val="30474804"/>
    <w:rsid w:val="30546F8C"/>
    <w:rsid w:val="30B65B99"/>
    <w:rsid w:val="30CB10F8"/>
    <w:rsid w:val="30D37E45"/>
    <w:rsid w:val="30D82FBA"/>
    <w:rsid w:val="310F3573"/>
    <w:rsid w:val="312B203C"/>
    <w:rsid w:val="31461C62"/>
    <w:rsid w:val="317477B4"/>
    <w:rsid w:val="3183186B"/>
    <w:rsid w:val="31A35A6A"/>
    <w:rsid w:val="31AB2B70"/>
    <w:rsid w:val="31DB13D9"/>
    <w:rsid w:val="31E8051E"/>
    <w:rsid w:val="32011BB7"/>
    <w:rsid w:val="32020ED9"/>
    <w:rsid w:val="32133CF7"/>
    <w:rsid w:val="324C7EAF"/>
    <w:rsid w:val="3260465F"/>
    <w:rsid w:val="32607DFF"/>
    <w:rsid w:val="32BB6DE3"/>
    <w:rsid w:val="32CC5FA8"/>
    <w:rsid w:val="32FD73FC"/>
    <w:rsid w:val="330B1B18"/>
    <w:rsid w:val="33B2468A"/>
    <w:rsid w:val="346E6803"/>
    <w:rsid w:val="34712E8E"/>
    <w:rsid w:val="34C603ED"/>
    <w:rsid w:val="34E952E6"/>
    <w:rsid w:val="34ED75C6"/>
    <w:rsid w:val="34F75387"/>
    <w:rsid w:val="3518676F"/>
    <w:rsid w:val="35335357"/>
    <w:rsid w:val="35683252"/>
    <w:rsid w:val="35702107"/>
    <w:rsid w:val="35747E49"/>
    <w:rsid w:val="35A41DB0"/>
    <w:rsid w:val="36721EAF"/>
    <w:rsid w:val="3684230E"/>
    <w:rsid w:val="36B1614A"/>
    <w:rsid w:val="36E7464B"/>
    <w:rsid w:val="376161AB"/>
    <w:rsid w:val="378123A9"/>
    <w:rsid w:val="378325C5"/>
    <w:rsid w:val="3827329A"/>
    <w:rsid w:val="38883C0B"/>
    <w:rsid w:val="38A722E3"/>
    <w:rsid w:val="3901263E"/>
    <w:rsid w:val="396665B7"/>
    <w:rsid w:val="396E5040"/>
    <w:rsid w:val="39DE05A0"/>
    <w:rsid w:val="39DF5AAD"/>
    <w:rsid w:val="3A231125"/>
    <w:rsid w:val="3A4F49E1"/>
    <w:rsid w:val="3A606BEE"/>
    <w:rsid w:val="3A661D2A"/>
    <w:rsid w:val="3AD35612"/>
    <w:rsid w:val="3AEE1163"/>
    <w:rsid w:val="3B44206B"/>
    <w:rsid w:val="3B6444BC"/>
    <w:rsid w:val="3B7641EF"/>
    <w:rsid w:val="3B902A6D"/>
    <w:rsid w:val="3B96663F"/>
    <w:rsid w:val="3BA448B8"/>
    <w:rsid w:val="3BC27434"/>
    <w:rsid w:val="3BF375EE"/>
    <w:rsid w:val="3C0435A9"/>
    <w:rsid w:val="3C095063"/>
    <w:rsid w:val="3C6B187A"/>
    <w:rsid w:val="3C887370"/>
    <w:rsid w:val="3CA1529C"/>
    <w:rsid w:val="3CF25AF7"/>
    <w:rsid w:val="3D001FC2"/>
    <w:rsid w:val="3D583BAC"/>
    <w:rsid w:val="3D606F05"/>
    <w:rsid w:val="3D670293"/>
    <w:rsid w:val="3D932E36"/>
    <w:rsid w:val="3DBE346C"/>
    <w:rsid w:val="3DC94AAA"/>
    <w:rsid w:val="3DCB6A74"/>
    <w:rsid w:val="3DE47B36"/>
    <w:rsid w:val="3E416D36"/>
    <w:rsid w:val="3E7C7D6E"/>
    <w:rsid w:val="3EDF3E59"/>
    <w:rsid w:val="3EE4111D"/>
    <w:rsid w:val="3F057D64"/>
    <w:rsid w:val="3F0A7128"/>
    <w:rsid w:val="3F3348D1"/>
    <w:rsid w:val="3F7722E4"/>
    <w:rsid w:val="3FAD2648"/>
    <w:rsid w:val="3FC306F2"/>
    <w:rsid w:val="3FD65034"/>
    <w:rsid w:val="400C6ED0"/>
    <w:rsid w:val="406E7B8B"/>
    <w:rsid w:val="407778AF"/>
    <w:rsid w:val="411249BA"/>
    <w:rsid w:val="41166258"/>
    <w:rsid w:val="412231BB"/>
    <w:rsid w:val="41434B73"/>
    <w:rsid w:val="41A53138"/>
    <w:rsid w:val="41C061C4"/>
    <w:rsid w:val="41EF2605"/>
    <w:rsid w:val="42042555"/>
    <w:rsid w:val="426923B8"/>
    <w:rsid w:val="42784CF1"/>
    <w:rsid w:val="427E7AA4"/>
    <w:rsid w:val="42F36125"/>
    <w:rsid w:val="432F2F04"/>
    <w:rsid w:val="432F53AF"/>
    <w:rsid w:val="43463922"/>
    <w:rsid w:val="43766A72"/>
    <w:rsid w:val="43AC0516"/>
    <w:rsid w:val="43C24475"/>
    <w:rsid w:val="44223166"/>
    <w:rsid w:val="443F1622"/>
    <w:rsid w:val="44BA339E"/>
    <w:rsid w:val="44C94B61"/>
    <w:rsid w:val="44CB55E0"/>
    <w:rsid w:val="44DC1567"/>
    <w:rsid w:val="4517259F"/>
    <w:rsid w:val="453B44DF"/>
    <w:rsid w:val="4574354D"/>
    <w:rsid w:val="45CF2E79"/>
    <w:rsid w:val="45DA1917"/>
    <w:rsid w:val="45EC1959"/>
    <w:rsid w:val="45EC773C"/>
    <w:rsid w:val="46007705"/>
    <w:rsid w:val="46431172"/>
    <w:rsid w:val="47144EF5"/>
    <w:rsid w:val="47D429C9"/>
    <w:rsid w:val="48074B4D"/>
    <w:rsid w:val="48325659"/>
    <w:rsid w:val="483376F0"/>
    <w:rsid w:val="487C42CB"/>
    <w:rsid w:val="489932CB"/>
    <w:rsid w:val="489D725F"/>
    <w:rsid w:val="48A04659"/>
    <w:rsid w:val="48B977CA"/>
    <w:rsid w:val="48DF3009"/>
    <w:rsid w:val="48E36E24"/>
    <w:rsid w:val="48E44E8E"/>
    <w:rsid w:val="48E628B9"/>
    <w:rsid w:val="49340600"/>
    <w:rsid w:val="494C4EF6"/>
    <w:rsid w:val="494D53C7"/>
    <w:rsid w:val="49667651"/>
    <w:rsid w:val="49AE31D0"/>
    <w:rsid w:val="49B435F8"/>
    <w:rsid w:val="49D56585"/>
    <w:rsid w:val="49ED7D72"/>
    <w:rsid w:val="49F52AAB"/>
    <w:rsid w:val="49F927E9"/>
    <w:rsid w:val="4A914BA1"/>
    <w:rsid w:val="4ACE3700"/>
    <w:rsid w:val="4AF8077D"/>
    <w:rsid w:val="4B1C090F"/>
    <w:rsid w:val="4B9D1922"/>
    <w:rsid w:val="4BC43CEF"/>
    <w:rsid w:val="4BD45878"/>
    <w:rsid w:val="4C1C5069"/>
    <w:rsid w:val="4C2443DA"/>
    <w:rsid w:val="4C394EB9"/>
    <w:rsid w:val="4C510490"/>
    <w:rsid w:val="4C71246E"/>
    <w:rsid w:val="4C7E15B6"/>
    <w:rsid w:val="4D292E6F"/>
    <w:rsid w:val="4D573F89"/>
    <w:rsid w:val="4D6F35FD"/>
    <w:rsid w:val="4D93478D"/>
    <w:rsid w:val="4D987FB0"/>
    <w:rsid w:val="4DDE1EAC"/>
    <w:rsid w:val="4E806FD0"/>
    <w:rsid w:val="4EBB6EAB"/>
    <w:rsid w:val="4EDE412D"/>
    <w:rsid w:val="4F390F4D"/>
    <w:rsid w:val="4FA96F84"/>
    <w:rsid w:val="501A1195"/>
    <w:rsid w:val="501A73E7"/>
    <w:rsid w:val="50285660"/>
    <w:rsid w:val="503A35E5"/>
    <w:rsid w:val="50504BB7"/>
    <w:rsid w:val="506D7517"/>
    <w:rsid w:val="50B11AF9"/>
    <w:rsid w:val="50BA0734"/>
    <w:rsid w:val="50E33C7D"/>
    <w:rsid w:val="515401B2"/>
    <w:rsid w:val="518C436B"/>
    <w:rsid w:val="51B178D7"/>
    <w:rsid w:val="51E101BC"/>
    <w:rsid w:val="51EA0BFE"/>
    <w:rsid w:val="5208399B"/>
    <w:rsid w:val="528F7C18"/>
    <w:rsid w:val="52C5363A"/>
    <w:rsid w:val="52F83A10"/>
    <w:rsid w:val="538002D3"/>
    <w:rsid w:val="53A96AB8"/>
    <w:rsid w:val="53B4545D"/>
    <w:rsid w:val="53B72BF1"/>
    <w:rsid w:val="545D78A2"/>
    <w:rsid w:val="5479292E"/>
    <w:rsid w:val="54B716A8"/>
    <w:rsid w:val="54EB4EAE"/>
    <w:rsid w:val="55106780"/>
    <w:rsid w:val="55144405"/>
    <w:rsid w:val="555C5E19"/>
    <w:rsid w:val="559B4B26"/>
    <w:rsid w:val="559D264C"/>
    <w:rsid w:val="55F06C20"/>
    <w:rsid w:val="561D19DF"/>
    <w:rsid w:val="56490020"/>
    <w:rsid w:val="56847492"/>
    <w:rsid w:val="568D0913"/>
    <w:rsid w:val="56DF6C95"/>
    <w:rsid w:val="57106E4E"/>
    <w:rsid w:val="57212E09"/>
    <w:rsid w:val="573A30EA"/>
    <w:rsid w:val="57521214"/>
    <w:rsid w:val="579E26AC"/>
    <w:rsid w:val="57DB0B51"/>
    <w:rsid w:val="57EE53E1"/>
    <w:rsid w:val="5806097D"/>
    <w:rsid w:val="583D1EC5"/>
    <w:rsid w:val="587626B0"/>
    <w:rsid w:val="588E44CE"/>
    <w:rsid w:val="58913FBE"/>
    <w:rsid w:val="58AB32D2"/>
    <w:rsid w:val="58D72319"/>
    <w:rsid w:val="58E25576"/>
    <w:rsid w:val="5934151A"/>
    <w:rsid w:val="595B0854"/>
    <w:rsid w:val="59B30690"/>
    <w:rsid w:val="5A902780"/>
    <w:rsid w:val="5A92474A"/>
    <w:rsid w:val="5A9D7F6D"/>
    <w:rsid w:val="5AAE70AA"/>
    <w:rsid w:val="5ABC0B62"/>
    <w:rsid w:val="5AF745AD"/>
    <w:rsid w:val="5B020368"/>
    <w:rsid w:val="5B6559BA"/>
    <w:rsid w:val="5B745980"/>
    <w:rsid w:val="5BA02E96"/>
    <w:rsid w:val="5BEC7E8A"/>
    <w:rsid w:val="5C427AAA"/>
    <w:rsid w:val="5C657C3C"/>
    <w:rsid w:val="5C6E49F6"/>
    <w:rsid w:val="5D0905C7"/>
    <w:rsid w:val="5D990B34"/>
    <w:rsid w:val="5E352B6B"/>
    <w:rsid w:val="5EAC56AE"/>
    <w:rsid w:val="5EBE6F5C"/>
    <w:rsid w:val="5EC7446D"/>
    <w:rsid w:val="5ED00A8F"/>
    <w:rsid w:val="5EED05F3"/>
    <w:rsid w:val="5F4120BC"/>
    <w:rsid w:val="5F9A3EA5"/>
    <w:rsid w:val="5FA171DD"/>
    <w:rsid w:val="5FA2254F"/>
    <w:rsid w:val="5FAD5B82"/>
    <w:rsid w:val="60A32AE1"/>
    <w:rsid w:val="60FE7AB7"/>
    <w:rsid w:val="6115578D"/>
    <w:rsid w:val="613A02BC"/>
    <w:rsid w:val="615C33BC"/>
    <w:rsid w:val="61A04593"/>
    <w:rsid w:val="620852F1"/>
    <w:rsid w:val="62361E5F"/>
    <w:rsid w:val="626C3AD2"/>
    <w:rsid w:val="629923ED"/>
    <w:rsid w:val="62A274F4"/>
    <w:rsid w:val="62A3326C"/>
    <w:rsid w:val="62BF00A6"/>
    <w:rsid w:val="630E4B89"/>
    <w:rsid w:val="634405AB"/>
    <w:rsid w:val="637F0593"/>
    <w:rsid w:val="63BF40D6"/>
    <w:rsid w:val="63FF02C9"/>
    <w:rsid w:val="641F50FB"/>
    <w:rsid w:val="64371EBE"/>
    <w:rsid w:val="644A1BF1"/>
    <w:rsid w:val="645B0C4B"/>
    <w:rsid w:val="648C7723"/>
    <w:rsid w:val="64925346"/>
    <w:rsid w:val="64B11C70"/>
    <w:rsid w:val="64F5A826"/>
    <w:rsid w:val="653E18F5"/>
    <w:rsid w:val="65605BC5"/>
    <w:rsid w:val="65674A25"/>
    <w:rsid w:val="656C2F8E"/>
    <w:rsid w:val="65CD0D2C"/>
    <w:rsid w:val="65EB2F60"/>
    <w:rsid w:val="663C1A0D"/>
    <w:rsid w:val="664F1741"/>
    <w:rsid w:val="66830900"/>
    <w:rsid w:val="669E0497"/>
    <w:rsid w:val="66A77F16"/>
    <w:rsid w:val="66CA7019"/>
    <w:rsid w:val="66CC233B"/>
    <w:rsid w:val="66FE6CC3"/>
    <w:rsid w:val="674A1F08"/>
    <w:rsid w:val="678D0849"/>
    <w:rsid w:val="679B2ADC"/>
    <w:rsid w:val="679B6CD3"/>
    <w:rsid w:val="67AA29F5"/>
    <w:rsid w:val="67AE06E9"/>
    <w:rsid w:val="67B74397"/>
    <w:rsid w:val="67C65A33"/>
    <w:rsid w:val="67D8655F"/>
    <w:rsid w:val="67DC6388"/>
    <w:rsid w:val="67F72090"/>
    <w:rsid w:val="680A6658"/>
    <w:rsid w:val="682B1D3A"/>
    <w:rsid w:val="68512F45"/>
    <w:rsid w:val="68A613C0"/>
    <w:rsid w:val="68B9617C"/>
    <w:rsid w:val="68BD04F2"/>
    <w:rsid w:val="694573C8"/>
    <w:rsid w:val="69A37E59"/>
    <w:rsid w:val="6A222CC8"/>
    <w:rsid w:val="6A266C5C"/>
    <w:rsid w:val="6A641790"/>
    <w:rsid w:val="6A6F3190"/>
    <w:rsid w:val="6A75729C"/>
    <w:rsid w:val="6ADF6E0B"/>
    <w:rsid w:val="6AE10DD5"/>
    <w:rsid w:val="6AE82164"/>
    <w:rsid w:val="6B144D07"/>
    <w:rsid w:val="6B8974A3"/>
    <w:rsid w:val="6BA20565"/>
    <w:rsid w:val="6BAC0C74"/>
    <w:rsid w:val="6BC56001"/>
    <w:rsid w:val="6BF749FD"/>
    <w:rsid w:val="6C0905E4"/>
    <w:rsid w:val="6C7374F6"/>
    <w:rsid w:val="6C8E16FF"/>
    <w:rsid w:val="6CA86DC7"/>
    <w:rsid w:val="6CE4274E"/>
    <w:rsid w:val="6CF412DE"/>
    <w:rsid w:val="6CFA617E"/>
    <w:rsid w:val="6D28114A"/>
    <w:rsid w:val="6D322F47"/>
    <w:rsid w:val="6D3C22F3"/>
    <w:rsid w:val="6D46692B"/>
    <w:rsid w:val="6D576158"/>
    <w:rsid w:val="6D7C6B93"/>
    <w:rsid w:val="6D904215"/>
    <w:rsid w:val="6DBB76C7"/>
    <w:rsid w:val="6E54640D"/>
    <w:rsid w:val="6E72625A"/>
    <w:rsid w:val="6EC145AA"/>
    <w:rsid w:val="6F162191"/>
    <w:rsid w:val="6F301B1C"/>
    <w:rsid w:val="6F387D65"/>
    <w:rsid w:val="6F67671B"/>
    <w:rsid w:val="6FAC3760"/>
    <w:rsid w:val="6FDE7692"/>
    <w:rsid w:val="7016507D"/>
    <w:rsid w:val="702F7EED"/>
    <w:rsid w:val="705838E8"/>
    <w:rsid w:val="70613490"/>
    <w:rsid w:val="70C16E68"/>
    <w:rsid w:val="71025602"/>
    <w:rsid w:val="712B6906"/>
    <w:rsid w:val="71397275"/>
    <w:rsid w:val="716B13F9"/>
    <w:rsid w:val="719170B1"/>
    <w:rsid w:val="71AD37BF"/>
    <w:rsid w:val="71CA611F"/>
    <w:rsid w:val="72090A3F"/>
    <w:rsid w:val="7226750C"/>
    <w:rsid w:val="7311571E"/>
    <w:rsid w:val="732950C8"/>
    <w:rsid w:val="73352CD6"/>
    <w:rsid w:val="73353A6C"/>
    <w:rsid w:val="736B6BCD"/>
    <w:rsid w:val="742D4A93"/>
    <w:rsid w:val="74321EB0"/>
    <w:rsid w:val="743401C8"/>
    <w:rsid w:val="747D1B6F"/>
    <w:rsid w:val="74B904F2"/>
    <w:rsid w:val="74BC0002"/>
    <w:rsid w:val="750C2BEC"/>
    <w:rsid w:val="750E0A19"/>
    <w:rsid w:val="751B4EE4"/>
    <w:rsid w:val="75640639"/>
    <w:rsid w:val="757A60AE"/>
    <w:rsid w:val="757C3BD5"/>
    <w:rsid w:val="757D20DB"/>
    <w:rsid w:val="75FB6989"/>
    <w:rsid w:val="76183B8B"/>
    <w:rsid w:val="766703E1"/>
    <w:rsid w:val="769E3C4D"/>
    <w:rsid w:val="76BD6253"/>
    <w:rsid w:val="76BE1FCB"/>
    <w:rsid w:val="76E23ABA"/>
    <w:rsid w:val="771D13E7"/>
    <w:rsid w:val="7762555F"/>
    <w:rsid w:val="77815D46"/>
    <w:rsid w:val="779F004E"/>
    <w:rsid w:val="77A17922"/>
    <w:rsid w:val="77E26D50"/>
    <w:rsid w:val="77FE2FC7"/>
    <w:rsid w:val="780B7492"/>
    <w:rsid w:val="781C69F9"/>
    <w:rsid w:val="781E5417"/>
    <w:rsid w:val="78212811"/>
    <w:rsid w:val="78365B2C"/>
    <w:rsid w:val="785250C1"/>
    <w:rsid w:val="785D294D"/>
    <w:rsid w:val="7883171E"/>
    <w:rsid w:val="788A6608"/>
    <w:rsid w:val="78A3591C"/>
    <w:rsid w:val="78FE2B52"/>
    <w:rsid w:val="79393B8B"/>
    <w:rsid w:val="793B7903"/>
    <w:rsid w:val="79704C89"/>
    <w:rsid w:val="79B871A5"/>
    <w:rsid w:val="79C124FE"/>
    <w:rsid w:val="79DF33A0"/>
    <w:rsid w:val="7A4B40F7"/>
    <w:rsid w:val="7AD324E9"/>
    <w:rsid w:val="7AD41DBD"/>
    <w:rsid w:val="7AE2272C"/>
    <w:rsid w:val="7B2722CE"/>
    <w:rsid w:val="7B5778E5"/>
    <w:rsid w:val="7B7F1B7E"/>
    <w:rsid w:val="7BC02341"/>
    <w:rsid w:val="7BFE1DCD"/>
    <w:rsid w:val="7C7F3FAA"/>
    <w:rsid w:val="7C945CA8"/>
    <w:rsid w:val="7CA176EF"/>
    <w:rsid w:val="7CE87DA1"/>
    <w:rsid w:val="7D186EDC"/>
    <w:rsid w:val="7D2F3C22"/>
    <w:rsid w:val="7D4D5E56"/>
    <w:rsid w:val="7D4F6073"/>
    <w:rsid w:val="7D717D97"/>
    <w:rsid w:val="7DFD787D"/>
    <w:rsid w:val="7E094473"/>
    <w:rsid w:val="7E195E61"/>
    <w:rsid w:val="7E8D0A6B"/>
    <w:rsid w:val="7ED3386A"/>
    <w:rsid w:val="7ED625A7"/>
    <w:rsid w:val="7F17496E"/>
    <w:rsid w:val="7FEA3E31"/>
    <w:rsid w:val="CFDF19C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qFormat="1" w:uiPriority="39"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29"/>
    <w:qFormat/>
    <w:uiPriority w:val="0"/>
    <w:pPr>
      <w:keepNext/>
      <w:keepLines/>
      <w:spacing w:before="340" w:after="330" w:line="578" w:lineRule="auto"/>
      <w:outlineLvl w:val="0"/>
    </w:pPr>
    <w:rPr>
      <w:b/>
      <w:bCs/>
      <w:kern w:val="44"/>
      <w:sz w:val="44"/>
      <w:szCs w:val="44"/>
    </w:rPr>
  </w:style>
  <w:style w:type="paragraph" w:styleId="3">
    <w:name w:val="heading 3"/>
    <w:basedOn w:val="1"/>
    <w:next w:val="1"/>
    <w:unhideWhenUsed/>
    <w:qFormat/>
    <w:uiPriority w:val="0"/>
    <w:pPr>
      <w:widowControl w:val="0"/>
      <w:adjustRightInd/>
      <w:spacing w:line="460" w:lineRule="exact"/>
      <w:contextualSpacing/>
      <w:jc w:val="both"/>
      <w:outlineLvl w:val="2"/>
    </w:pPr>
    <w:rPr>
      <w:rFonts w:eastAsia="方正小标宋_GBK"/>
      <w:bCs/>
      <w:sz w:val="24"/>
      <w:szCs w:val="32"/>
    </w:rPr>
  </w:style>
  <w:style w:type="paragraph" w:styleId="4">
    <w:name w:val="heading 4"/>
    <w:basedOn w:val="1"/>
    <w:next w:val="1"/>
    <w:unhideWhenUsed/>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5">
    <w:name w:val="annotation text"/>
    <w:basedOn w:val="1"/>
    <w:link w:val="30"/>
    <w:qFormat/>
    <w:uiPriority w:val="0"/>
    <w:pPr>
      <w:widowControl w:val="0"/>
    </w:pPr>
    <w:rPr>
      <w:rFonts w:ascii="Times New Roman" w:hAnsi="Times New Roman" w:eastAsia="宋体" w:cs="Times New Roman"/>
      <w:kern w:val="2"/>
      <w:szCs w:val="24"/>
    </w:rPr>
  </w:style>
  <w:style w:type="paragraph" w:styleId="6">
    <w:name w:val="Body Text"/>
    <w:basedOn w:val="1"/>
    <w:qFormat/>
    <w:uiPriority w:val="0"/>
    <w:pPr>
      <w:spacing w:after="120"/>
    </w:pPr>
    <w:rPr>
      <w:sz w:val="20"/>
    </w:rPr>
  </w:style>
  <w:style w:type="paragraph" w:styleId="7">
    <w:name w:val="Body Text Indent"/>
    <w:basedOn w:val="1"/>
    <w:next w:val="6"/>
    <w:qFormat/>
    <w:uiPriority w:val="0"/>
    <w:pPr>
      <w:spacing w:line="500" w:lineRule="atLeast"/>
      <w:ind w:firstLine="510"/>
    </w:pPr>
    <w:rPr>
      <w:rFonts w:ascii="仿宋_GB2312" w:eastAsia="仿宋_GB2312"/>
      <w:sz w:val="24"/>
      <w:szCs w:val="20"/>
    </w:rPr>
  </w:style>
  <w:style w:type="paragraph" w:styleId="8">
    <w:name w:val="toc 3"/>
    <w:basedOn w:val="1"/>
    <w:next w:val="1"/>
    <w:unhideWhenUsed/>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9">
    <w:name w:val="Date"/>
    <w:basedOn w:val="1"/>
    <w:next w:val="1"/>
    <w:qFormat/>
    <w:uiPriority w:val="0"/>
    <w:rPr>
      <w:rFonts w:ascii="宋体"/>
      <w:szCs w:val="20"/>
    </w:rPr>
  </w:style>
  <w:style w:type="paragraph" w:styleId="10">
    <w:name w:val="Balloon Text"/>
    <w:basedOn w:val="1"/>
    <w:link w:val="31"/>
    <w:qFormat/>
    <w:uiPriority w:val="0"/>
    <w:rPr>
      <w:sz w:val="18"/>
      <w:szCs w:val="18"/>
    </w:rPr>
  </w:style>
  <w:style w:type="paragraph" w:styleId="11">
    <w:name w:val="footer"/>
    <w:basedOn w:val="1"/>
    <w:link w:val="32"/>
    <w:qFormat/>
    <w:uiPriority w:val="0"/>
    <w:pPr>
      <w:tabs>
        <w:tab w:val="center" w:pos="4153"/>
        <w:tab w:val="right" w:pos="8306"/>
      </w:tabs>
    </w:pPr>
    <w:rPr>
      <w:sz w:val="18"/>
      <w:szCs w:val="18"/>
    </w:rPr>
  </w:style>
  <w:style w:type="paragraph" w:styleId="12">
    <w:name w:val="header"/>
    <w:basedOn w:val="1"/>
    <w:link w:val="33"/>
    <w:qFormat/>
    <w:uiPriority w:val="0"/>
    <w:pPr>
      <w:pBdr>
        <w:bottom w:val="single" w:color="auto" w:sz="6" w:space="1"/>
      </w:pBdr>
      <w:tabs>
        <w:tab w:val="center" w:pos="4153"/>
        <w:tab w:val="right" w:pos="8306"/>
      </w:tabs>
      <w:jc w:val="center"/>
    </w:pPr>
    <w:rPr>
      <w:sz w:val="18"/>
      <w:szCs w:val="18"/>
    </w:rPr>
  </w:style>
  <w:style w:type="paragraph" w:styleId="13">
    <w:name w:val="toc 1"/>
    <w:basedOn w:val="1"/>
    <w:next w:val="1"/>
    <w:unhideWhenUsed/>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14">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5">
    <w:name w:val="toc 6"/>
    <w:next w:val="1"/>
    <w:unhideWhenUsed/>
    <w:qFormat/>
    <w:uiPriority w:val="39"/>
    <w:pPr>
      <w:widowControl w:val="0"/>
      <w:autoSpaceDE w:val="0"/>
      <w:autoSpaceDN w:val="0"/>
      <w:adjustRightInd w:val="0"/>
      <w:ind w:left="2100" w:leftChars="1000"/>
    </w:pPr>
    <w:rPr>
      <w:rFonts w:ascii="Calibri" w:hAnsi="Calibri" w:eastAsia="宋体" w:cs="Times New Roman"/>
      <w:sz w:val="24"/>
      <w:szCs w:val="24"/>
      <w:lang w:val="en-US" w:eastAsia="zh-CN" w:bidi="ar-SA"/>
    </w:rPr>
  </w:style>
  <w:style w:type="paragraph" w:styleId="16">
    <w:name w:val="toc 2"/>
    <w:basedOn w:val="1"/>
    <w:next w:val="1"/>
    <w:unhideWhenUsed/>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7">
    <w:name w:val="Body Text 2"/>
    <w:basedOn w:val="1"/>
    <w:qFormat/>
    <w:uiPriority w:val="0"/>
    <w:pPr>
      <w:spacing w:after="120" w:line="480" w:lineRule="auto"/>
      <w:jc w:val="both"/>
    </w:pPr>
    <w:rPr>
      <w:rFonts w:ascii="Calibri" w:hAnsi="Calibri" w:eastAsia="宋体" w:cs="Times New Roman"/>
      <w:szCs w:val="24"/>
    </w:rPr>
  </w:style>
  <w:style w:type="paragraph" w:styleId="18">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19">
    <w:name w:val="annotation subject"/>
    <w:basedOn w:val="5"/>
    <w:next w:val="5"/>
    <w:link w:val="34"/>
    <w:qFormat/>
    <w:uiPriority w:val="0"/>
    <w:rPr>
      <w:b/>
      <w:bCs/>
    </w:rPr>
  </w:style>
  <w:style w:type="paragraph" w:styleId="20">
    <w:name w:val="Body Text First Indent"/>
    <w:basedOn w:val="6"/>
    <w:next w:val="15"/>
    <w:unhideWhenUsed/>
    <w:qFormat/>
    <w:uiPriority w:val="99"/>
    <w:pPr>
      <w:ind w:firstLine="420" w:firstLineChars="100"/>
    </w:pPr>
  </w:style>
  <w:style w:type="paragraph" w:styleId="21">
    <w:name w:val="Body Text First Indent 2"/>
    <w:basedOn w:val="7"/>
    <w:next w:val="1"/>
    <w:unhideWhenUsed/>
    <w:qFormat/>
    <w:uiPriority w:val="99"/>
    <w:pPr>
      <w:spacing w:line="200" w:lineRule="atLeast"/>
      <w:ind w:firstLine="420"/>
    </w:pPr>
    <w:rPr>
      <w:rFonts w:ascii="宋体" w:hAnsi="Courier New"/>
      <w:spacing w:val="-4"/>
      <w:sz w:val="18"/>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qFormat/>
    <w:uiPriority w:val="0"/>
    <w:rPr>
      <w:b/>
      <w:bCs/>
    </w:rPr>
  </w:style>
  <w:style w:type="character" w:styleId="26">
    <w:name w:val="FollowedHyperlink"/>
    <w:basedOn w:val="24"/>
    <w:qFormat/>
    <w:uiPriority w:val="0"/>
    <w:rPr>
      <w:color w:val="800080"/>
      <w:u w:val="none"/>
    </w:rPr>
  </w:style>
  <w:style w:type="character" w:styleId="27">
    <w:name w:val="Hyperlink"/>
    <w:basedOn w:val="24"/>
    <w:qFormat/>
    <w:uiPriority w:val="0"/>
    <w:rPr>
      <w:color w:val="0000FF"/>
      <w:u w:val="single"/>
    </w:rPr>
  </w:style>
  <w:style w:type="character" w:styleId="28">
    <w:name w:val="annotation reference"/>
    <w:basedOn w:val="24"/>
    <w:qFormat/>
    <w:uiPriority w:val="0"/>
    <w:rPr>
      <w:sz w:val="21"/>
      <w:szCs w:val="21"/>
    </w:rPr>
  </w:style>
  <w:style w:type="character" w:customStyle="1" w:styleId="29">
    <w:name w:val="标题 1 Char"/>
    <w:basedOn w:val="24"/>
    <w:link w:val="2"/>
    <w:qFormat/>
    <w:uiPriority w:val="0"/>
    <w:rPr>
      <w:rFonts w:ascii="Arial" w:hAnsi="Arial" w:eastAsia="Arial" w:cs="Arial"/>
      <w:b/>
      <w:bCs/>
      <w:snapToGrid w:val="0"/>
      <w:color w:val="000000"/>
      <w:kern w:val="44"/>
      <w:sz w:val="44"/>
      <w:szCs w:val="44"/>
    </w:rPr>
  </w:style>
  <w:style w:type="character" w:customStyle="1" w:styleId="30">
    <w:name w:val="批注文字 Char1"/>
    <w:basedOn w:val="24"/>
    <w:link w:val="5"/>
    <w:qFormat/>
    <w:uiPriority w:val="0"/>
    <w:rPr>
      <w:kern w:val="2"/>
      <w:sz w:val="21"/>
      <w:szCs w:val="24"/>
    </w:rPr>
  </w:style>
  <w:style w:type="character" w:customStyle="1" w:styleId="31">
    <w:name w:val="批注框文本 Char"/>
    <w:basedOn w:val="24"/>
    <w:link w:val="10"/>
    <w:qFormat/>
    <w:uiPriority w:val="0"/>
    <w:rPr>
      <w:rFonts w:ascii="Arial" w:hAnsi="Arial" w:eastAsia="Arial" w:cs="Arial"/>
      <w:snapToGrid w:val="0"/>
      <w:color w:val="000000"/>
      <w:sz w:val="18"/>
      <w:szCs w:val="18"/>
    </w:rPr>
  </w:style>
  <w:style w:type="character" w:customStyle="1" w:styleId="32">
    <w:name w:val="页脚 Char"/>
    <w:basedOn w:val="24"/>
    <w:link w:val="11"/>
    <w:qFormat/>
    <w:uiPriority w:val="0"/>
    <w:rPr>
      <w:rFonts w:ascii="Arial" w:hAnsi="Arial" w:eastAsia="Arial" w:cs="Arial"/>
      <w:snapToGrid w:val="0"/>
      <w:color w:val="000000"/>
      <w:sz w:val="18"/>
      <w:szCs w:val="18"/>
    </w:rPr>
  </w:style>
  <w:style w:type="character" w:customStyle="1" w:styleId="33">
    <w:name w:val="页眉 Char"/>
    <w:basedOn w:val="24"/>
    <w:link w:val="12"/>
    <w:qFormat/>
    <w:uiPriority w:val="0"/>
    <w:rPr>
      <w:rFonts w:ascii="Arial" w:hAnsi="Arial" w:eastAsia="Arial" w:cs="Arial"/>
      <w:snapToGrid w:val="0"/>
      <w:color w:val="000000"/>
      <w:sz w:val="18"/>
      <w:szCs w:val="18"/>
    </w:rPr>
  </w:style>
  <w:style w:type="character" w:customStyle="1" w:styleId="34">
    <w:name w:val="批注主题 Char"/>
    <w:basedOn w:val="35"/>
    <w:link w:val="19"/>
    <w:qFormat/>
    <w:uiPriority w:val="0"/>
    <w:rPr>
      <w:rFonts w:ascii="Arial" w:hAnsi="Arial" w:eastAsia="Arial" w:cs="Arial"/>
      <w:b/>
      <w:bCs/>
      <w:snapToGrid w:val="0"/>
      <w:color w:val="000000"/>
      <w:sz w:val="21"/>
      <w:szCs w:val="21"/>
    </w:rPr>
  </w:style>
  <w:style w:type="character" w:customStyle="1" w:styleId="35">
    <w:name w:val="批注文字 Char"/>
    <w:basedOn w:val="24"/>
    <w:qFormat/>
    <w:uiPriority w:val="0"/>
    <w:rPr>
      <w:rFonts w:ascii="Arial" w:hAnsi="Arial" w:eastAsia="Arial" w:cs="Arial"/>
      <w:snapToGrid w:val="0"/>
      <w:color w:val="000000"/>
      <w:sz w:val="21"/>
      <w:szCs w:val="21"/>
    </w:rPr>
  </w:style>
  <w:style w:type="paragraph" w:customStyle="1" w:styleId="36">
    <w:name w:val="Heading1"/>
    <w:basedOn w:val="1"/>
    <w:next w:val="1"/>
    <w:qFormat/>
    <w:uiPriority w:val="0"/>
    <w:pPr>
      <w:keepNext/>
      <w:keepLines/>
      <w:spacing w:before="340" w:after="330" w:line="576" w:lineRule="auto"/>
    </w:pPr>
    <w:rPr>
      <w:b/>
      <w:bCs/>
      <w:kern w:val="44"/>
      <w:sz w:val="44"/>
      <w:szCs w:val="44"/>
    </w:rPr>
  </w:style>
  <w:style w:type="table" w:customStyle="1" w:styleId="37">
    <w:name w:val="Table Normal"/>
    <w:unhideWhenUsed/>
    <w:qFormat/>
    <w:uiPriority w:val="0"/>
    <w:tblPr>
      <w:tblCellMar>
        <w:top w:w="0" w:type="dxa"/>
        <w:left w:w="0" w:type="dxa"/>
        <w:bottom w:w="0" w:type="dxa"/>
        <w:right w:w="0" w:type="dxa"/>
      </w:tblCellMar>
    </w:tblPr>
  </w:style>
  <w:style w:type="paragraph" w:customStyle="1" w:styleId="38">
    <w:name w:val="TOC 标题1"/>
    <w:basedOn w:val="2"/>
    <w:next w:val="1"/>
    <w:unhideWhenUsed/>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39">
    <w:name w:val="正文，首行缩进:"/>
    <w:basedOn w:val="1"/>
    <w:qFormat/>
    <w:uiPriority w:val="0"/>
    <w:pPr>
      <w:spacing w:line="460" w:lineRule="exact"/>
      <w:ind w:firstLine="480" w:firstLineChars="200"/>
    </w:pPr>
    <w:rPr>
      <w:rFonts w:ascii="宋体" w:hAnsi="宋体" w:cs="宋体"/>
    </w:rPr>
  </w:style>
  <w:style w:type="paragraph" w:customStyle="1" w:styleId="40">
    <w:name w:val="Table Paragraph"/>
    <w:basedOn w:val="1"/>
    <w:qFormat/>
    <w:uiPriority w:val="1"/>
    <w:pPr>
      <w:ind w:firstLine="126" w:firstLineChars="60"/>
    </w:pPr>
  </w:style>
  <w:style w:type="paragraph" w:styleId="41">
    <w:name w:val="List Paragraph"/>
    <w:basedOn w:val="1"/>
    <w:qFormat/>
    <w:uiPriority w:val="0"/>
    <w:pPr>
      <w:spacing w:line="440" w:lineRule="exact"/>
      <w:ind w:firstLine="420" w:firstLineChars="200"/>
    </w:pPr>
    <w:rPr>
      <w:szCs w:val="20"/>
    </w:rPr>
  </w:style>
  <w:style w:type="paragraph" w:customStyle="1" w:styleId="42">
    <w:name w:val="正文1"/>
    <w:qFormat/>
    <w:uiPriority w:val="0"/>
    <w:pPr>
      <w:jc w:val="both"/>
    </w:pPr>
    <w:rPr>
      <w:rFonts w:ascii="Calibri" w:hAnsi="Calibri" w:eastAsia="宋体" w:cs="Calibri"/>
      <w:kern w:val="2"/>
      <w:sz w:val="21"/>
      <w:szCs w:val="21"/>
      <w:lang w:val="en-US" w:eastAsia="zh-CN" w:bidi="ar-SA"/>
    </w:rPr>
  </w:style>
  <w:style w:type="paragraph" w:customStyle="1" w:styleId="43">
    <w:name w:val="修订1"/>
    <w:unhideWhenUsed/>
    <w:qFormat/>
    <w:uiPriority w:val="99"/>
    <w:rPr>
      <w:rFonts w:ascii="Arial" w:hAnsi="Arial" w:eastAsia="Arial" w:cs="Arial"/>
      <w:snapToGrid w:val="0"/>
      <w:color w:val="000000"/>
      <w:sz w:val="21"/>
      <w:szCs w:val="21"/>
      <w:lang w:val="en-US" w:eastAsia="zh-CN" w:bidi="ar-SA"/>
    </w:rPr>
  </w:style>
  <w:style w:type="paragraph" w:customStyle="1" w:styleId="44">
    <w:name w:val="样式 样式 (西文) 宋体 (中文) 宋体 小四 两端对齐 行距: 固定值 23 磅 首行缩进:  2 字符 + 自动设置 首..."/>
    <w:basedOn w:val="45"/>
    <w:qFormat/>
    <w:uiPriority w:val="0"/>
    <w:pPr>
      <w:widowControl w:val="0"/>
    </w:pPr>
    <w:rPr>
      <w:color w:val="auto"/>
    </w:rPr>
  </w:style>
  <w:style w:type="paragraph" w:customStyle="1" w:styleId="45">
    <w:name w:val="样式 (西文) 宋体 (中文) 宋体 小四 两端对齐 行距: 固定值 23 磅 首行缩进:  2 字符"/>
    <w:basedOn w:val="1"/>
    <w:qFormat/>
    <w:uiPriority w:val="0"/>
    <w:pPr>
      <w:spacing w:line="460" w:lineRule="exact"/>
      <w:ind w:firstLine="200" w:firstLineChars="200"/>
      <w:jc w:val="both"/>
    </w:pPr>
    <w:rPr>
      <w:rFonts w:ascii="宋体" w:hAnsi="宋体" w:eastAsia="宋体" w:cs="宋体"/>
      <w:kern w:val="2"/>
      <w:sz w:val="24"/>
      <w:szCs w:val="20"/>
    </w:rPr>
  </w:style>
  <w:style w:type="paragraph" w:customStyle="1" w:styleId="46">
    <w:name w:val="正文_0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7">
    <w:name w:val="正文_0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8">
    <w:name w:val="列出段落_0"/>
    <w:qFormat/>
    <w:uiPriority w:val="0"/>
    <w:pPr>
      <w:widowControl w:val="0"/>
      <w:ind w:firstLine="420" w:firstLineChars="200"/>
      <w:jc w:val="both"/>
    </w:pPr>
    <w:rPr>
      <w:rFonts w:ascii="Times New Roman" w:hAnsi="Times New Roman" w:eastAsia="宋体" w:cs="Times New Roman"/>
      <w:kern w:val="2"/>
      <w:sz w:val="21"/>
      <w:szCs w:val="22"/>
      <w:lang w:val="en-US" w:eastAsia="zh-CN" w:bidi="ar-SA"/>
    </w:rPr>
  </w:style>
  <w:style w:type="paragraph" w:customStyle="1" w:styleId="49">
    <w:name w:val="正文文本_0"/>
    <w:basedOn w:val="50"/>
    <w:qFormat/>
    <w:uiPriority w:val="0"/>
    <w:pPr>
      <w:spacing w:after="120" w:afterLines="0"/>
    </w:pPr>
    <w:rPr>
      <w:rFonts w:ascii="Calibri" w:hAnsi="Calibri"/>
    </w:rPr>
  </w:style>
  <w:style w:type="paragraph" w:customStyle="1" w:styleId="50">
    <w:name w:val="正文_0"/>
    <w:next w:val="5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51">
    <w:name w:val="BodyText1I2"/>
    <w:basedOn w:val="52"/>
    <w:qFormat/>
    <w:uiPriority w:val="0"/>
    <w:pPr>
      <w:spacing w:after="120" w:line="240" w:lineRule="auto"/>
      <w:ind w:left="420" w:leftChars="200" w:firstLine="420"/>
    </w:pPr>
    <w:rPr>
      <w:rFonts w:ascii="Calibri" w:hAnsi="Calibri" w:eastAsia="宋体"/>
      <w:sz w:val="28"/>
    </w:rPr>
  </w:style>
  <w:style w:type="paragraph" w:customStyle="1" w:styleId="52">
    <w:name w:val="BodyTextIndent"/>
    <w:basedOn w:val="53"/>
    <w:qFormat/>
    <w:uiPriority w:val="0"/>
    <w:pPr>
      <w:spacing w:line="440" w:lineRule="atLeast"/>
      <w:ind w:firstLine="465" w:firstLineChars="200"/>
    </w:pPr>
    <w:rPr>
      <w:spacing w:val="12"/>
    </w:rPr>
  </w:style>
  <w:style w:type="paragraph" w:customStyle="1" w:styleId="53">
    <w:name w:val="正文_12"/>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4">
    <w:name w:val="纯文本_0"/>
    <w:basedOn w:val="50"/>
    <w:unhideWhenUsed/>
    <w:qFormat/>
    <w:uiPriority w:val="0"/>
    <w:rPr>
      <w:rFonts w:ascii="宋体" w:hAnsi="Courier New" w:eastAsia="Times New Roman"/>
      <w:szCs w:val="21"/>
    </w:rPr>
  </w:style>
  <w:style w:type="paragraph" w:customStyle="1" w:styleId="55">
    <w:name w:val="正文_1_0_0"/>
    <w:basedOn w:val="56"/>
    <w:qFormat/>
    <w:uiPriority w:val="0"/>
    <w:rPr>
      <w:rFonts w:ascii="Calibri" w:hAnsi="Calibri" w:cs="宋体"/>
      <w:szCs w:val="21"/>
    </w:rPr>
  </w:style>
  <w:style w:type="paragraph" w:customStyle="1" w:styleId="56">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57">
    <w:name w:val="n.n"/>
    <w:basedOn w:val="1"/>
    <w:next w:val="1"/>
    <w:qFormat/>
    <w:uiPriority w:val="4"/>
    <w:pPr>
      <w:ind w:firstLine="0" w:firstLineChars="0"/>
      <w:jc w:val="left"/>
      <w:outlineLvl w:val="2"/>
    </w:pPr>
    <w:rPr>
      <w:rFonts w:eastAsia="黑体"/>
      <w:b/>
      <w:snapToGrid w:val="0"/>
      <w:sz w:val="28"/>
    </w:rPr>
  </w:style>
  <w:style w:type="paragraph" w:customStyle="1" w:styleId="58">
    <w:name w:val="n.n.n"/>
    <w:basedOn w:val="1"/>
    <w:next w:val="1"/>
    <w:qFormat/>
    <w:uiPriority w:val="5"/>
    <w:pPr>
      <w:ind w:firstLine="0" w:firstLineChars="0"/>
      <w:jc w:val="left"/>
      <w:outlineLvl w:val="3"/>
    </w:pPr>
    <w:rPr>
      <w:rFonts w:eastAsia="楷体_GB2312"/>
      <w:b/>
      <w:snapToGrid w:val="0"/>
      <w:sz w:val="28"/>
    </w:rPr>
  </w:style>
  <w:style w:type="paragraph" w:customStyle="1" w:styleId="59">
    <w:name w:val="正文_1_0_0_0"/>
    <w:basedOn w:val="56"/>
    <w:qFormat/>
    <w:uiPriority w:val="0"/>
    <w:rPr>
      <w:rFonts w:ascii="Calibri" w:hAnsi="Calibri" w:cs="宋体"/>
      <w:szCs w:val="21"/>
    </w:rPr>
  </w:style>
  <w:style w:type="paragraph" w:customStyle="1" w:styleId="60">
    <w:name w:val="纯文本_1"/>
    <w:basedOn w:val="55"/>
    <w:qFormat/>
    <w:uiPriority w:val="0"/>
    <w:pPr>
      <w:spacing w:line="440" w:lineRule="exact"/>
      <w:ind w:firstLine="100" w:firstLineChars="100"/>
    </w:pPr>
    <w:rPr>
      <w:rFonts w:ascii="宋体" w:hAnsi="Courier New"/>
    </w:rPr>
  </w:style>
  <w:style w:type="paragraph" w:customStyle="1" w:styleId="61">
    <w:name w:val="正文_2_0"/>
    <w:basedOn w:val="56"/>
    <w:qFormat/>
    <w:uiPriority w:val="0"/>
    <w:rPr>
      <w:rFonts w:ascii="Calibri" w:hAnsi="Calibri" w:cs="宋体"/>
      <w:szCs w:val="21"/>
    </w:rPr>
  </w:style>
  <w:style w:type="paragraph" w:customStyle="1" w:styleId="62">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63">
    <w:name w:val="标题 41"/>
    <w:qFormat/>
    <w:uiPriority w:val="0"/>
    <w:rPr>
      <w:rFonts w:hint="default" w:ascii="Arial" w:hAnsi="Arial" w:eastAsia="宋体" w:cs="Arial"/>
      <w:b/>
      <w:spacing w:val="10"/>
      <w:kern w:val="24"/>
      <w:sz w:val="24"/>
      <w:lang w:val="en-US" w:eastAsia="zh-CN" w:bidi="ar-SA"/>
    </w:rPr>
  </w:style>
  <w:style w:type="paragraph" w:customStyle="1" w:styleId="64">
    <w:name w:val="WPSOffice手动目录 1"/>
    <w:qFormat/>
    <w:uiPriority w:val="0"/>
    <w:pPr>
      <w:ind w:leftChars="0"/>
    </w:pPr>
    <w:rPr>
      <w:rFonts w:ascii="Times New Roman" w:hAnsi="Times New Roman" w:eastAsia="宋体" w:cs="Times New Roman"/>
      <w:sz w:val="20"/>
      <w:szCs w:val="20"/>
    </w:rPr>
  </w:style>
  <w:style w:type="paragraph" w:customStyle="1" w:styleId="65">
    <w:name w:val="WPSOffice手动目录 2"/>
    <w:qFormat/>
    <w:uiPriority w:val="0"/>
    <w:pPr>
      <w:ind w:leftChars="200"/>
    </w:pPr>
    <w:rPr>
      <w:rFonts w:ascii="Times New Roman" w:hAnsi="Times New Roman" w:eastAsia="宋体" w:cs="Times New Roman"/>
      <w:sz w:val="20"/>
      <w:szCs w:val="20"/>
    </w:rPr>
  </w:style>
  <w:style w:type="character" w:customStyle="1" w:styleId="66">
    <w:name w:val="font11"/>
    <w:basedOn w:val="24"/>
    <w:qFormat/>
    <w:uiPriority w:val="0"/>
    <w:rPr>
      <w:rFonts w:hint="eastAsia" w:ascii="宋体" w:hAnsi="宋体" w:eastAsia="宋体" w:cs="宋体"/>
      <w:color w:val="000000"/>
      <w:sz w:val="20"/>
      <w:szCs w:val="20"/>
      <w:u w:val="none"/>
    </w:rPr>
  </w:style>
  <w:style w:type="character" w:customStyle="1" w:styleId="67">
    <w:name w:val="font51"/>
    <w:basedOn w:val="24"/>
    <w:qFormat/>
    <w:uiPriority w:val="0"/>
    <w:rPr>
      <w:rFonts w:hint="eastAsia" w:ascii="宋体" w:hAnsi="宋体" w:eastAsia="宋体" w:cs="宋体"/>
      <w:color w:val="000000"/>
      <w:sz w:val="20"/>
      <w:szCs w:val="20"/>
      <w:u w:val="none"/>
      <w:vertAlign w:val="subscript"/>
    </w:rPr>
  </w:style>
  <w:style w:type="character" w:customStyle="1" w:styleId="68">
    <w:name w:val="font31"/>
    <w:basedOn w:val="24"/>
    <w:qFormat/>
    <w:uiPriority w:val="0"/>
    <w:rPr>
      <w:rFonts w:hint="eastAsia" w:ascii="宋体" w:hAnsi="宋体" w:eastAsia="宋体" w:cs="宋体"/>
      <w:color w:val="000000"/>
      <w:sz w:val="20"/>
      <w:szCs w:val="20"/>
      <w:u w:val="none"/>
    </w:rPr>
  </w:style>
  <w:style w:type="character" w:customStyle="1" w:styleId="69">
    <w:name w:val="font61"/>
    <w:basedOn w:val="24"/>
    <w:qFormat/>
    <w:uiPriority w:val="0"/>
    <w:rPr>
      <w:rFonts w:hint="eastAsia" w:ascii="宋体" w:hAnsi="宋体" w:eastAsia="宋体" w:cs="宋体"/>
      <w:color w:val="000000"/>
      <w:sz w:val="20"/>
      <w:szCs w:val="20"/>
      <w:u w:val="none"/>
      <w:vertAlign w:val="superscript"/>
    </w:rPr>
  </w:style>
  <w:style w:type="character" w:customStyle="1" w:styleId="70">
    <w:name w:val="font41"/>
    <w:basedOn w:val="24"/>
    <w:qFormat/>
    <w:uiPriority w:val="0"/>
    <w:rPr>
      <w:rFonts w:hint="eastAsia" w:ascii="宋体" w:hAnsi="宋体" w:eastAsia="宋体" w:cs="宋体"/>
      <w:color w:val="000000"/>
      <w:sz w:val="20"/>
      <w:szCs w:val="20"/>
      <w:u w:val="none"/>
    </w:rPr>
  </w:style>
  <w:style w:type="paragraph" w:customStyle="1" w:styleId="71">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0d2074e6-3a69-4704-8fbd-7e50cb0ca288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50459B46</paraID>
      <start>0</start>
      <end>3</end>
      <status>unmodified</status>
      <modifiedWord/>
      <trackRevisions>false</trackRevisions>
    </reviewItem>
    <reviewItem>
      <errorID>a7c58e0c-d43b-4757-984f-ed334d2b9eba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3349729D</paraID>
      <start>0</start>
      <end>3</end>
      <status>unmodified</status>
      <modifiedWord/>
      <trackRevisions>false</trackRevisions>
    </reviewItem>
    <reviewItem>
      <errorID>ef051c0d-8a0a-4687-9936-b785c74a2176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737B00C1</paraID>
      <start>0</start>
      <end>3</end>
      <status>unmodified</status>
      <modifiedWord/>
      <trackRevisions>false</trackRevisions>
    </reviewItem>
    <reviewItem>
      <errorID>84cff450-2240-449a-a83d-872fc8d5403d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72799AEF</paraID>
      <start>0</start>
      <end>3</end>
      <status>unmodified</status>
      <modifiedWord/>
      <trackRevisions>false</trackRevisions>
    </reviewItem>
    <reviewItem>
      <errorID>33ffee67-2ad0-4c2b-9eda-93bd402ded92</errorID>
      <errorWord>,</errorWord>
      <group>L1_Format</group>
      <groupName>格式问题</groupName>
      <ability>L2_HalfPunc</ability>
      <abilityName>全半角检查</abilityName>
      <candidateList>
        <item>，</item>
      </candidateList>
      <explain>文本全半角错误。</explain>
      <paraID>72799AEF</paraID>
      <start>23</start>
      <end>24</end>
      <status>unmodified</status>
      <modifiedWord/>
      <trackRevisions>false</trackRevisions>
    </reviewItem>
    <reviewItem>
      <errorID>f2890db1-afd9-4508-acbe-50dc0039b8b0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6A8D498</paraID>
      <start>0</start>
      <end>3</end>
      <status>unmodified</status>
      <modifiedWord/>
      <trackRevisions>false</trackRevisions>
    </reviewItem>
    <reviewItem>
      <errorID>a2f17695-3a92-4d7a-882c-7024cd00846e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7ACD01EC</paraID>
      <start>0</start>
      <end>3</end>
      <status>unmodified</status>
      <modifiedWord/>
      <trackRevisions>false</trackRevisions>
    </reviewItem>
    <reviewItem>
      <errorID>164ae9ed-ccfb-49be-a3e1-fa851754c9bf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185848B3</paraID>
      <start>0</start>
      <end>3</end>
      <status>unmodified</status>
      <modifiedWord/>
      <trackRevisions>false</trackRevisions>
    </reviewItem>
    <reviewItem>
      <errorID>482845a8-b592-4a9b-b5ea-f3775acaf979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6B0C9690</paraID>
      <start>0</start>
      <end>3</end>
      <status>unmodified</status>
      <modifiedWord/>
      <trackRevisions>false</trackRevisions>
    </reviewItem>
    <reviewItem>
      <errorID>3fe38f43-1f5c-472f-b344-a119d527b885</errorID>
      <errorWord>全</errorWord>
      <group>L1_Word</group>
      <groupName>字词问题</groupName>
      <ability>L2_Typo</ability>
      <abilityName>字词错误</abilityName>
      <candidateList>
        <item>全过</item>
      </candidateList>
      <explain/>
      <paraID>6B0C9690</paraID>
      <start>92</start>
      <end>93</end>
      <status>unmodified</status>
      <modifiedWord/>
      <trackRevisions>false</trackRevisions>
    </reviewItem>
    <reviewItem>
      <errorID>5a424694-42b9-4b28-8045-753fdd49573c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A2B99B3</paraID>
      <start>0</start>
      <end>3</end>
      <status>unmodified</status>
      <modifiedWord/>
      <trackRevisions>false</trackRevisions>
    </reviewItem>
    <reviewItem>
      <errorID>40287f8f-36a2-4e07-884c-1b0580d34098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25B2DE</paraID>
      <start>0</start>
      <end>4</end>
      <status>unmodified</status>
      <modifiedWord/>
      <trackRevisions>false</trackRevisions>
    </reviewItem>
    <reviewItem>
      <errorID>fbe700f3-760f-45cb-9cce-f0fcc471b52e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5C29AFAC</paraID>
      <start>0</start>
      <end>4</end>
      <status>unmodified</status>
      <modifiedWord/>
      <trackRevisions>false</trackRevisions>
    </reviewItem>
    <reviewItem>
      <errorID>76f504f4-ed30-43ec-ac03-186871e005c4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408C5DD5</paraID>
      <start>0</start>
      <end>4</end>
      <status>unmodified</status>
      <modifiedWord/>
      <trackRevisions>false</trackRevisions>
    </reviewItem>
    <reviewItem>
      <errorID>80b85907-ccf5-41bb-ab00-0785d9ebfb00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72AC1BEC</paraID>
      <start>0</start>
      <end>4</end>
      <status>unmodified</status>
      <modifiedWord/>
      <trackRevisions>false</trackRevisions>
    </reviewItem>
    <reviewItem>
      <errorID>8ddb8881-b637-4af0-b9e4-5a74db9899c5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36D10E6</paraID>
      <start>0</start>
      <end>4</end>
      <status>unmodified</status>
      <modifiedWord/>
      <trackRevisions>false</trackRevisions>
    </reviewItem>
    <reviewItem>
      <errorID>e1fd4f47-1858-46d0-9cf4-a2928a9b8ec9</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2DC91FBA</paraID>
      <start>0</start>
      <end>4</end>
      <status>unmodified</status>
      <modifiedWord/>
      <trackRevisions>false</trackRevisions>
    </reviewItem>
    <reviewItem>
      <errorID>21f15415-b19d-4647-856c-e69f75ab4b85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7CFD82B5</paraID>
      <start>0</start>
      <end>4</end>
      <status>unmodified</status>
      <modifiedWord/>
      <trackRevisions>false</trackRevisions>
    </reviewItem>
    <reviewItem>
      <errorID>20f9e609-bcec-4315-b8bf-cfe72d023819</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7CFD82B5</paraID>
      <start>47</start>
      <end>51</end>
      <status>unmodified</status>
      <modifiedWord/>
      <trackRevisions>false</trackRevisions>
    </reviewItem>
    <reviewItem>
      <errorID>4cdef46f-fa78-4bd4-9c0c-b478fc778269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39F80CE6</paraID>
      <start>0</start>
      <end>4</end>
      <status>unmodified</status>
      <modifiedWord/>
      <trackRevisions>false</trackRevisions>
    </reviewItem>
    <reviewItem>
      <errorID>8ab26087-3873-49cd-845a-db004eb51de1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5D6C2AED</paraID>
      <start>0</start>
      <end>4</end>
      <status>unmodified</status>
      <modifiedWord/>
      <trackRevisions>false</trackRevisions>
    </reviewItem>
    <reviewItem>
      <errorID>ec6ee5bf-4b7e-4e51-b2e7-39d92e104312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1D47EF0A</paraID>
      <start>0</start>
      <end>4</end>
      <status>unmodified</status>
      <modifiedWord/>
      <trackRevisions>false</trackRevisions>
    </reviewItem>
    <reviewItem>
      <errorID>da684da2-db36-4c29-bc68-69d5edce2934</errorID>
      <errorWord>,</errorWord>
      <group>L1_Format</group>
      <groupName>格式问题</groupName>
      <ability>L2_HalfPunc</ability>
      <abilityName>全半角检查</abilityName>
      <candidateList>
        <item>，</item>
      </candidateList>
      <explain>文本全半角错误。</explain>
      <paraID>32221178</paraID>
      <start>87</start>
      <end>88</end>
      <status>unmodified</status>
      <modifiedWord/>
      <trackRevisions>false</trackRevisions>
    </reviewItem>
    <reviewItem>
      <errorID>67f693df-6f5f-46f2-9d33-6a70a9b51779</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32221178</paraID>
      <start>186</start>
      <end>190</end>
      <status>unmodified</status>
      <modifiedWord/>
      <trackRevisions>false</trackRevisions>
    </reviewItem>
    <reviewItem>
      <errorID>914aac27-b36c-4d82-b603-8d0d64fea452</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32221178</paraID>
      <start>285</start>
      <end>289</end>
      <status>unmodified</status>
      <modifiedWord/>
      <trackRevisions>false</trackRevisions>
    </reviewItem>
    <reviewItem>
      <errorID>c6108372-400f-4008-87f6-4918834c9d38</errorID>
      <errorWord>(</errorWord>
      <group>L1_Format</group>
      <groupName>格式问题</groupName>
      <ability>L2_HalfPunc</ability>
      <abilityName>全半角检查</abilityName>
      <candidateList>
        <item>（</item>
      </candidateList>
      <explain>文本全半角错误。</explain>
      <paraID>4CF79DBF</paraID>
      <start>18</start>
      <end>19</end>
      <status>unmodified</status>
      <modifiedWord/>
      <trackRevisions>false</trackRevisions>
    </reviewItem>
    <reviewItem>
      <errorID>3ed27bd6-dfd3-4308-a639-142309e3de9f</errorID>
      <errorWord>)</errorWord>
      <group>L1_Format</group>
      <groupName>格式问题</groupName>
      <ability>L2_HalfPunc</ability>
      <abilityName>全半角检查</abilityName>
      <candidateList>
        <item>）</item>
      </candidateList>
      <explain>文本全半角错误。</explain>
      <paraID>4CF79DBF</paraID>
      <start>21</start>
      <end>22</end>
      <status>unmodified</status>
      <modifiedWord/>
      <trackRevisions>false</trackRevisions>
    </reviewItem>
    <reviewItem>
      <errorID>66de59e3-f0c4-4a37-bd8f-a524281f4506</errorID>
      <errorWord>(</errorWord>
      <group>L1_Format</group>
      <groupName>格式问题</groupName>
      <ability>L2_HalfPunc</ability>
      <abilityName>全半角检查</abilityName>
      <candidateList>
        <item>（</item>
      </candidateList>
      <explain>文本全半角错误。</explain>
      <paraID>4CF79DBF</paraID>
      <start>77</start>
      <end>78</end>
      <status>unmodified</status>
      <modifiedWord/>
      <trackRevisions>false</trackRevisions>
    </reviewItem>
    <reviewItem>
      <errorID>a5a66040-6f92-4553-b451-e47032be8cc7</errorID>
      <errorWord>)</errorWord>
      <group>L1_Format</group>
      <groupName>格式问题</groupName>
      <ability>L2_HalfPunc</ability>
      <abilityName>全半角检查</abilityName>
      <candidateList>
        <item>）</item>
      </candidateList>
      <explain>文本全半角错误。</explain>
      <paraID>4CF79DBF</paraID>
      <start>94</start>
      <end>95</end>
      <status>unmodified</status>
      <modifiedWord/>
      <trackRevisions>false</trackRevisions>
    </reviewItem>
    <reviewItem>
      <errorID>386fbd4d-8130-40d5-b631-95af13bf6bc4</errorID>
      <errorWord>：</errorWord>
      <group>L1_Format</group>
      <groupName>格式问题</groupName>
      <ability>L2_HalfPunc</ability>
      <abilityName>全半角检查</abilityName>
      <candidateList>
        <item>:</item>
      </candidateList>
      <explain>文本全半角错误。</explain>
      <paraID>7328A8BB</paraID>
      <start>50</start>
      <end>51</end>
      <status>unmodified</status>
      <modifiedWord/>
      <trackRevisions>false</trackRevisions>
    </reviewItem>
    <reviewItem>
      <errorID>6fb6fbc1-feec-4811-b242-1d8e5e1da0e7</errorID>
      <errorWord>间</errorWord>
      <group>L1_Word</group>
      <groupName>字词问题</groupName>
      <ability>L2_Typo</ability>
      <abilityName>字词错误</abilityName>
      <candidateList>
        <item>间为</item>
      </candidateList>
      <explain/>
      <paraID>1F13D058</paraID>
      <start>11</start>
      <end>12</end>
      <status>unmodified</status>
      <modifiedWord/>
      <trackRevisions>false</trackRevisions>
    </reviewItem>
    <reviewItem>
      <errorID>3cd2c050-6e70-48a7-9a4d-35e072d9adc7</errorID>
      <errorWord>：/</errorWord>
      <group>L1_Punc</group>
      <groupName>标点问题</groupName>
      <ability>L2_Punc</ability>
      <abilityName>标点符号检查</abilityName>
      <candidateList>
        <item>：</item>
      </candidateList>
      <explain/>
      <paraID>728418AD</paraID>
      <start>4</start>
      <end>6</end>
      <status>unmodified</status>
      <modifiedWord/>
      <trackRevisions>false</trackRevisions>
    </reviewItem>
    <reviewItem>
      <errorID>0240724e-1e8c-497e-8875-259b9e41be9e</errorID>
      <errorWord>：</errorWord>
      <group>L1_Format</group>
      <groupName>格式问题</groupName>
      <ability>L2_HalfPunc</ability>
      <abilityName>全半角检查</abilityName>
      <candidateList>
        <item>:</item>
      </candidateList>
      <explain>文本全半角错误。</explain>
      <paraID>6F300F00</paraID>
      <start>33</start>
      <end>34</end>
      <status>unmodified</status>
      <modifiedWord/>
      <trackRevisions>false</trackRevisions>
    </reviewItem>
    <reviewItem>
      <errorID>e4e54674-551a-44f5-89b3-d170287c0ee6</errorID>
      <errorWord>：</errorWord>
      <group>L1_Format</group>
      <groupName>格式问题</groupName>
      <ability>L2_HalfPunc</ability>
      <abilityName>全半角检查</abilityName>
      <candidateList>
        <item>:</item>
      </candidateList>
      <explain>文本全半角错误。</explain>
      <paraID>6DCBD2AF</paraID>
      <start>24</start>
      <end>25</end>
      <status>unmodified</status>
      <modifiedWord/>
      <trackRevisions>false</trackRevisions>
    </reviewItem>
    <reviewItem>
      <errorID>bf02d50b-50de-4cf8-bfbf-6e86811f4cf6</errorID>
      <errorWord>：</errorWord>
      <group>L1_Format</group>
      <groupName>格式问题</groupName>
      <ability>L2_HalfPunc</ability>
      <abilityName>全半角检查</abilityName>
      <candidateList>
        <item>:</item>
      </candidateList>
      <explain>文本全半角错误。</explain>
      <paraID>6DCBD2AF</paraID>
      <start>83</start>
      <end>84</end>
      <status>unmodified</status>
      <modifiedWord/>
      <trackRevisions>false</trackRevisions>
    </reviewItem>
    <reviewItem>
      <errorID>5fa63e2a-46a9-4864-8edc-8cd7042ebe98</errorID>
      <errorWord>年</errorWord>
      <group>L1_Word</group>
      <groupName>字词问题</groupName>
      <ability>L2_Typo</ability>
      <abilityName>字词错误</abilityName>
      <candidateList>
        <item>年来</item>
      </candidateList>
      <explain/>
      <paraID>5F07530F</paraID>
      <start>1</start>
      <end>2</end>
      <status>unmodified</status>
      <modifiedWord/>
      <trackRevisions>false</trackRevisions>
    </reviewItem>
    <reviewItem>
      <errorID>018c997c-04f9-4e0a-ab1a-64dc9d6c0fad</errorID>
      <errorWord>,</errorWord>
      <group>L1_Format</group>
      <groupName>格式问题</groupName>
      <ability>L2_HalfPunc</ability>
      <abilityName>全半角检查</abilityName>
      <candidateList>
        <item>，</item>
      </candidateList>
      <explain>文本全半角错误。</explain>
      <paraID>3A15E4C9</paraID>
      <start>59</start>
      <end>60</end>
      <status>unmodified</status>
      <modifiedWord/>
      <trackRevisions>false</trackRevisions>
    </reviewItem>
    <reviewItem>
      <errorID>790a4ea2-a2a3-41c6-bc7b-5062b1779c4e</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3A15E4C9</paraID>
      <start>158</start>
      <end>162</end>
      <status>unmodified</status>
      <modifiedWord/>
      <trackRevisions>false</trackRevisions>
    </reviewItem>
    <reviewItem>
      <errorID>5bdc5204-0c92-4dc7-b8c8-983f7db3bc8b</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3A15E4C9</paraID>
      <start>257</start>
      <end>261</end>
      <status>unmodified</status>
      <modifiedWord/>
      <trackRevisions>false</trackRevisions>
    </reviewItem>
    <reviewItem>
      <errorID>718d1ba6-475e-40be-b6a8-525a69cbf04a</errorID>
      <errorWord>一、二条</errorWord>
      <group>L1_Knowledge</group>
      <groupName>知识性问题</groupName>
      <ability>L2_Knowledge</ability>
      <abilityName>其他知识</abilityName>
      <candidateList>
        <item>一二条</item>
      </candidateList>
      <explain>根据国标GB/T 15834-2011《标点符号用法》中的4.5.3.4节，相邻或相近两数字连用表概数时，通常不使用顿号。如“只能看到八九公里范围内的地面”。</explain>
      <paraID>26DE27DF</paraID>
      <start>2</start>
      <end>6</end>
      <status>unmodified</status>
      <modifiedWord/>
      <trackRevisions>false</trackRevisions>
    </reviewItem>
    <reviewItem>
      <errorID>78e99004-5f1d-494b-8db4-44563a69b7e8</errorID>
      <errorWord>：/。</errorWord>
      <group>L1_Punc</group>
      <groupName>标点问题</groupName>
      <ability>L2_Punc</ability>
      <abilityName>标点符号检查</abilityName>
      <candidateList>
        <item>：</item>
      </candidateList>
      <explain/>
      <paraID>202394AB</paraID>
      <start>2</start>
      <end>5</end>
      <status>unmodified</status>
      <modifiedWord/>
      <trackRevisions>false</trackRevisions>
    </reviewItem>
    <reviewItem>
      <errorID>1bfb12f3-fb70-410d-b5dd-ff4db325d3e6</errorID>
      <errorWord>/）</errorWord>
      <group>L1_Punc</group>
      <groupName>标点问题</groupName>
      <ability>L2_Punc</ability>
      <abilityName>标点符号检查</abilityName>
      <candidateList>
        <item>）</item>
      </candidateList>
      <explain/>
      <paraID>5CB74016</paraID>
      <start>67</start>
      <end>69</end>
      <status>unmodified</status>
      <modifiedWord/>
      <trackRevisions>false</trackRevisions>
    </reviewItem>
    <reviewItem>
      <errorID>bbfaf511-96c5-4cdf-b777-8206b9f566f3</errorID>
      <errorWord>法律、法规</errorWord>
      <group>L1_Word</group>
      <groupName>字词问题</groupName>
      <ability>L2_Typo</ability>
      <abilityName>字词错误</abilityName>
      <candidateList>
        <item>法律法规</item>
      </candidateList>
      <explain/>
      <paraID>5DCEB2F7</paraID>
      <start>5</start>
      <end>10</end>
      <status>unmodified</status>
      <modifiedWord/>
      <trackRevisions>false</trackRevisions>
    </reviewItem>
    <reviewItem>
      <errorID>85670b16-dc49-4b9d-97fd-4d2c4c0f5d9f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38F7AF2F</paraID>
      <start>0</start>
      <end>2</end>
      <status>unmodified</status>
      <modifiedWord/>
      <trackRevisions>false</trackRevisions>
    </reviewItem>
    <reviewItem>
      <errorID>c9869364-f9d3-486c-b90e-4cc0b2bcd4d4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1410CF81</paraID>
      <start>0</start>
      <end>2</end>
      <status>unmodified</status>
      <modifiedWord/>
      <trackRevisions>false</trackRevisions>
    </reviewItem>
    <reviewItem>
      <errorID>ca764613-be67-4c4b-982f-5a03d8b57216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11E12CC6</paraID>
      <start>0</start>
      <end>2</end>
      <status>unmodified</status>
      <modifiedWord/>
      <trackRevisions>false</trackRevisions>
    </reviewItem>
    <reviewItem>
      <errorID>3e8b3841-aad8-4a98-89a3-e2885e1cb582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72D8A359</paraID>
      <start>0</start>
      <end>2</end>
      <status>unmodified</status>
      <modifiedWord/>
      <trackRevisions>false</trackRevisions>
    </reviewItem>
    <reviewItem>
      <errorID>266f66f1-adf6-4be6-b481-9b1df1415a51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6AB180F9</paraID>
      <start>0</start>
      <end>2</end>
      <status>unmodified</status>
      <modifiedWord/>
      <trackRevisions>false</trackRevisions>
    </reviewItem>
    <reviewItem>
      <errorID>de5368be-ddd3-4075-a74e-82441cd36fa7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3560D0F8</paraID>
      <start>0</start>
      <end>2</end>
      <status>unmodified</status>
      <modifiedWord/>
      <trackRevisions>false</trackRevisions>
    </reviewItem>
    <reviewItem>
      <errorID>34c91b0d-ee2e-4659-a21b-d53b9d93196b</errorID>
      <errorWord>；</errorWord>
      <group>L1_Word</group>
      <groupName>字词问题</groupName>
      <ability>L2_Typo</ability>
      <abilityName>字词错误</abilityName>
      <candidateList>
        <item>；在</item>
      </candidateList>
      <explain/>
      <paraID>54D6D2D2</paraID>
      <start>41</start>
      <end>42</end>
      <status>unmodified</status>
      <modifiedWord/>
      <trackRevisions>false</trackRevisions>
    </reviewItem>
    <reviewItem>
      <errorID>1621fabc-ddd8-45d1-b3f1-5247ae55f869</errorID>
      <errorWord>定</errorWord>
      <group>L1_Word</group>
      <groupName>字词问题</groupName>
      <ability>L2_Typo</ability>
      <abilityName>字词错误</abilityName>
      <candidateList>
        <item>定和</item>
      </candidateList>
      <explain/>
      <paraID> 91CD12E</paraID>
      <start>27</start>
      <end>28</end>
      <status>unmodified</status>
      <modifiedWord/>
      <trackRevisions>false</trackRevisions>
    </reviewItem>
    <reviewItem>
      <errorID>83f6e403-f437-49dd-9b6d-0395da9fa689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4815BEBD</paraID>
      <start>20</start>
      <end>22</end>
      <status>unmodified</status>
      <modifiedWord/>
      <trackRevisions>false</trackRevisions>
    </reviewItem>
    <reviewItem>
      <errorID>e9fdefcd-76b9-46f2-8a85-33a2fe71417b</errorID>
      <errorWord>做出</errorWord>
      <group>L1_Word</group>
      <groupName>字词问题</groupName>
      <ability>L2_Typo</ability>
      <abilityName>字词错误</abilityName>
      <candidateList>
        <item>作出</item>
      </candidateList>
      <explain/>
      <paraID>41490BA8</paraID>
      <start>47</start>
      <end>49</end>
      <status>unmodified</status>
      <modifiedWord/>
      <trackRevisions>false</trackRevisions>
    </reviewItem>
    <reviewItem>
      <errorID>cbcbbda1-365f-487a-8ceb-579f818af129</errorID>
      <errorWord>保证金的</errorWord>
      <group>L1_Word</group>
      <groupName>字词问题</groupName>
      <ability>L2_Typo</ability>
      <abilityName>字词错误</abilityName>
      <candidateList>
        <item>保证金</item>
      </candidateList>
      <explain/>
      <paraID>7A51CB8A</paraID>
      <start>22</start>
      <end>26</end>
      <status>unmodified</status>
      <modifiedWord/>
      <trackRevisions>false</trackRevisions>
    </reviewItem>
    <reviewItem>
      <errorID>6e695010-640e-4f8b-8e06-b49a84779667</errorID>
      <errorWord>法律、法规</errorWord>
      <group>L1_Word</group>
      <groupName>字词问题</groupName>
      <ability>L2_Typo</ability>
      <abilityName>字词错误</abilityName>
      <candidateList>
        <item>法律法规</item>
      </candidateList>
      <explain/>
      <paraID>55F02672</paraID>
      <start>5</start>
      <end>10</end>
      <status>unmodified</status>
      <modifiedWord/>
      <trackRevisions>false</trackRevisions>
    </reviewItem>
    <reviewItem>
      <errorID>7288db8e-25a3-44b1-a8a5-86fcc5461ad7</errorID>
      <errorWord>其它无效</errorWord>
      <group>L1_Word</group>
      <groupName>字词问题</groupName>
      <ability>L2_Alias</ability>
      <abilityName>也作/曾用词</abilityName>
      <candidateList>
        <item>其他无效</item>
      </candidateList>
      <explain>词汇[其它无效]为不规范表述或旧称，其规范书面表述为[其他无效]。</explain>
      <paraID>55F02672</paraID>
      <start>16</start>
      <end>20</end>
      <status>unmodified</status>
      <modifiedWord/>
      <trackRevisions>false</trackRevisions>
    </reviewItem>
    <reviewItem>
      <errorID>71b6404d-cd83-4934-a395-7891921d0d1e</errorID>
      <errorWord>：/</errorWord>
      <group>L1_Punc</group>
      <groupName>标点问题</groupName>
      <ability>L2_Punc</ability>
      <abilityName>标点符号检查</abilityName>
      <candidateList>
        <item>：</item>
      </candidateList>
      <explain/>
      <paraID>27195C25</paraID>
      <start>21</start>
      <end>23</end>
      <status>unmodified</status>
      <modifiedWord/>
      <trackRevisions>false</trackRevisions>
    </reviewItem>
    <reviewItem>
      <errorID>b1c36e49-b800-4d1f-b320-e242504e440b</errorID>
      <errorWord>其它</errorWord>
      <group>L1_Word</group>
      <groupName>字词问题</groupName>
      <ability>L2_Alias</ability>
      <abilityName>也作/曾用词</abilityName>
      <candidateList>
        <item>其他</item>
      </candidateList>
      <explain>词汇[其它]为不规范表述或旧称，其规范书面表述为[其他]。</explain>
      <paraID>73A697AD</paraID>
      <start>13</start>
      <end>15</end>
      <status>unmodified</status>
      <modifiedWord/>
      <trackRevisions>false</trackRevisions>
    </reviewItem>
    <reviewItem>
      <errorID>d3223427-56e9-4252-95a9-a937a03b0b65</errorID>
      <errorWord>一一</errorWord>
      <group>L1_Word</group>
      <groupName>字词问题</groupName>
      <ability>L2_Typo</ability>
      <abilityName>字词错误</abilityName>
      <candidateList>
        <item>一</item>
      </candidateList>
      <explain/>
      <paraID>4C980F51</paraID>
      <start>83</start>
      <end>85</end>
      <status>unmodified</status>
      <modifiedWord/>
      <trackRevisions>false</trackRevisions>
    </reviewItem>
    <reviewItem>
      <errorID>9cf253d7-2c2c-4cc2-aceb-900c6a53fd3a</errorID>
      <errorWord>市政服办</errorWord>
      <group>L1_Knowledge</group>
      <groupName>知识性问题</groupName>
      <ability>L2_Organization</ability>
      <abilityName>机构检查</abilityName>
      <candidateList>
        <item>市政务服务办</item>
      </candidateList>
      <explain>机关单位全简称表述错误</explain>
      <paraID>4F079A49</paraID>
      <start>85</start>
      <end>89</end>
      <status>unmodified</status>
      <modifiedWord/>
      <trackRevisions>false</trackRevisions>
    </reviewItem>
    <reviewItem>
      <errorID>938fa124-7efa-47e7-a3f2-4a7650b4aa7a</errorID>
      <errorWord>法律、法规</errorWord>
      <group>L1_Word</group>
      <groupName>字词问题</groupName>
      <ability>L2_Typo</ability>
      <abilityName>字词错误</abilityName>
      <candidateList>
        <item>法律法规</item>
      </candidateList>
      <explain/>
      <paraID>461B7198</paraID>
      <start>58</start>
      <end>63</end>
      <status>unmodified</status>
      <modifiedWord/>
      <trackRevisions>false</trackRevisions>
    </reviewItem>
    <reviewItem>
      <errorID>249337b3-e9d0-4c99-a3e6-3ecc98d73990</errorID>
      <errorWord>其它必须</errorWord>
      <group>L1_Word</group>
      <groupName>字词问题</groupName>
      <ability>L2_Alias</ability>
      <abilityName>也作/曾用词</abilityName>
      <candidateList>
        <item>其他必须</item>
      </candidateList>
      <explain>词汇[其它必须]为不规范表述或旧称，其规范书面表述为[其他必须]。</explain>
      <paraID>26AD8618</paraID>
      <start>38</start>
      <end>42</end>
      <status>unmodified</status>
      <modifiedWord/>
      <trackRevisions>false</trackRevisions>
    </reviewItem>
    <reviewItem>
      <errorID>ba15d34b-43aa-4044-add5-c44593012f4b</errorID>
      <errorWord>（</errorWord>
      <group>L1_Punc</group>
      <groupName>标点问题</groupName>
      <ability>L2_Punc</ability>
      <abilityName>标点符号检查</abilityName>
      <candidateList/>
      <explain>同一形式括号套用。</explain>
      <paraID>40D9F241</paraID>
      <start>22</start>
      <end>23</end>
      <status>unmodified</status>
      <modifiedWord/>
      <trackRevisions>false</trackRevisions>
    </reviewItem>
    <reviewItem>
      <errorID>27c57b39-0637-4b7f-b4f9-420bc62bbd9e</errorID>
      <errorWord>）</errorWord>
      <group>L1_Punc</group>
      <groupName>标点问题</groupName>
      <ability>L2_Punc</ability>
      <abilityName>标点符号检查</abilityName>
      <candidateList/>
      <explain>同一形式括号套用。</explain>
      <paraID>40D9F241</paraID>
      <start>25</start>
      <end>26</end>
      <status>unmodified</status>
      <modifiedWord/>
      <trackRevisions>false</trackRevisions>
    </reviewItem>
    <reviewItem>
      <errorID>7cb18ff9-a5af-449d-8a93-537d940bebb7</errorID>
      <errorWord>年</errorWord>
      <group>L1_Word</group>
      <groupName>字词问题</groupName>
      <ability>L2_Typo</ability>
      <abilityName>字词错误</abilityName>
      <candidateList>
        <item>年来</item>
      </candidateList>
      <explain/>
      <paraID>6BC382F3</paraID>
      <start>7</start>
      <end>8</end>
      <status>unmodified</status>
      <modifiedWord/>
      <trackRevisions>false</trackRevisions>
    </reviewItem>
    <reviewItem>
      <errorID>778fb928-53b4-498d-8adf-eb9e0dfeb4aa</errorID>
      <errorWord>格</errorWord>
      <group>L1_Word</group>
      <groupName>字词问题</groupName>
      <ability>L2_Typo</ability>
      <abilityName>字词错误</abilityName>
      <candidateList>
        <item>格和</item>
      </candidateList>
      <explain/>
      <paraID> CE7CA7C</paraID>
      <start>21</start>
      <end>22</end>
      <status>unmodified</status>
      <modifiedWord/>
      <trackRevisions>false</trackRevisions>
    </reviewItem>
    <reviewItem>
      <errorID>e7119b27-40d7-4688-be1a-dab635799a17</errorID>
      <errorWord>,</errorWord>
      <group>L1_Format</group>
      <groupName>格式问题</groupName>
      <ability>L2_HalfPunc</ability>
      <abilityName>全半角检查</abilityName>
      <candidateList>
        <item>，</item>
      </candidateList>
      <explain>文本全半角错误。</explain>
      <paraID> CE7CA7C</paraID>
      <start>117</start>
      <end>118</end>
      <status>unmodified</status>
      <modifiedWord/>
      <trackRevisions>false</trackRevisions>
    </reviewItem>
    <reviewItem>
      <errorID>ff9c7bf0-0ddd-4131-ab11-7938b9c7a641</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CE7CA7C</paraID>
      <start>216</start>
      <end>220</end>
      <status>unmodified</status>
      <modifiedWord/>
      <trackRevisions>false</trackRevisions>
    </reviewItem>
    <reviewItem>
      <errorID>d164e464-ee36-4e46-b339-efa2fc8650fb</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 CE7CA7C</paraID>
      <start>315</start>
      <end>319</end>
      <status>unmodified</status>
      <modifiedWord/>
      <trackRevisions>false</trackRevisions>
    </reviewItem>
    <reviewItem>
      <errorID>f85291aa-0399-4826-9ae1-83ac0973210f</errorID>
      <errorWord>即时</errorWord>
      <group>L1_Word</group>
      <groupName>字词问题</groupName>
      <ability>L2_Typo</ability>
      <abilityName>字词错误</abilityName>
      <candidateList>
        <item>及时</item>
      </candidateList>
      <explain>❶〈形〉正赶上时候；适合需要：～雨｜他来得很～。❷〈副〉不拖延；马上；立刻：有问题就～解决。</explain>
      <paraID>6099D0FA</paraID>
      <start>64</start>
      <end>66</end>
      <status>unmodified</status>
      <modifiedWord/>
      <trackRevisions>false</trackRevisions>
    </reviewItem>
    <reviewItem>
      <errorID>63df8c7e-94e8-43ec-b41c-b30993187cb8</errorID>
      <errorWord>；</errorWord>
      <group>L1_Word</group>
      <groupName>字词问题</groupName>
      <ability>L2_Typo</ability>
      <abilityName>字词错误</abilityName>
      <candidateList>
        <item>；在</item>
      </candidateList>
      <explain/>
      <paraID>1B4D2E50</paraID>
      <start>30</start>
      <end>31</end>
      <status>unmodified</status>
      <modifiedWord/>
      <trackRevisions>false</trackRevisions>
    </reviewItem>
    <reviewItem>
      <errorID>19d5a43a-ca30-41fa-82c0-5de3470504c5</errorID>
      <errorWord>间</errorWord>
      <group>L1_Word</group>
      <groupName>字词问题</groupName>
      <ability>L2_Typo</ability>
      <abilityName>字词错误</abilityName>
      <candidateList>
        <item>间之</item>
      </candidateList>
      <explain/>
      <paraID>1B4D2E50</paraID>
      <start>36</start>
      <end>37</end>
      <status>unmodified</status>
      <modifiedWord/>
      <trackRevisions>false</trackRevisions>
    </reviewItem>
    <reviewItem>
      <errorID>892f5457-01da-41f4-a2b8-05eaed0f78b6</errorID>
      <errorWord>市政服办</errorWord>
      <group>L1_Knowledge</group>
      <groupName>知识性问题</groupName>
      <ability>L2_Organization</ability>
      <abilityName>机构检查</abilityName>
      <candidateList>
        <item>市政务服务办</item>
      </candidateList>
      <explain>机关单位全简称表述错误</explain>
      <paraID>70EFEAB1</paraID>
      <start>85</start>
      <end>89</end>
      <status>unmodified</status>
      <modifiedWord/>
      <trackRevisions>false</trackRevisions>
    </reviewItem>
    <reviewItem>
      <errorID>a6f9f9fe-7efd-4777-92b2-a627de27bcf1</errorID>
      <errorWord>年</errorWord>
      <group>L1_Word</group>
      <groupName>字词问题</groupName>
      <ability>L2_Typo</ability>
      <abilityName>字词错误</abilityName>
      <candidateList>
        <item>年来</item>
      </candidateList>
      <explain/>
      <paraID>5F10799D</paraID>
      <start>32</start>
      <end>33</end>
      <status>unmodified</status>
      <modifiedWord/>
      <trackRevisions>false</trackRevisions>
    </reviewItem>
    <reviewItem>
      <errorID>ee27cc4b-08eb-4217-abdd-1d9c7d20ee09</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5B57194C</paraID>
      <start>3</start>
      <end>7</end>
      <status>unmodified</status>
      <modifiedWord/>
      <trackRevisions>false</trackRevisions>
    </reviewItem>
    <reviewItem>
      <errorID>6d4a5c9b-4e01-4bec-a82e-310deabc6efb</errorID>
      <errorWord>及</errorWord>
      <group>L1_Word</group>
      <groupName>字词问题</groupName>
      <ability>L2_Typo</ability>
      <abilityName>字词错误</abilityName>
      <candidateList>
        <item>及与</item>
      </candidateList>
      <explain/>
      <paraID>7353E8D6</paraID>
      <start>58</start>
      <end>59</end>
      <status>unmodified</status>
      <modifiedWord/>
      <trackRevisions>false</trackRevisions>
    </reviewItem>
    <reviewItem>
      <errorID>c82944ac-8534-4944-8113-b35573dc02b9</errorID>
      <errorWord>:</errorWord>
      <group>L1_Format</group>
      <groupName>格式问题</groupName>
      <ability>L2_HalfPunc</ability>
      <abilityName>全半角检查</abilityName>
      <candidateList>
        <item>：</item>
      </candidateList>
      <explain>文本全半角错误。</explain>
      <paraID>4F9B0D62</paraID>
      <start>8</start>
      <end>9</end>
      <status>unmodified</status>
      <modifiedWord/>
      <trackRevisions>false</trackRevisions>
    </reviewItem>
    <reviewItem>
      <errorID>798a65b7-8169-48b6-bda2-d5e6cd0f018f</errorID>
      <errorWord>:</errorWord>
      <group>L1_Format</group>
      <groupName>格式问题</groupName>
      <ability>L2_HalfPunc</ability>
      <abilityName>全半角检查</abilityName>
      <candidateList>
        <item>：</item>
      </candidateList>
      <explain>文本全半角错误。</explain>
      <paraID>25F0DB79</paraID>
      <start>8</start>
      <end>9</end>
      <status>unmodified</status>
      <modifiedWord/>
      <trackRevisions>false</trackRevisions>
    </reviewItem>
    <reviewItem>
      <errorID>76978288-a98c-454b-8f80-0e3190094a54</errorID>
      <errorWord>市政服办</errorWord>
      <group>L1_Knowledge</group>
      <groupName>知识性问题</groupName>
      <ability>L2_Organization</ability>
      <abilityName>机构检查</abilityName>
      <candidateList>
        <item>市政务服务办</item>
      </candidateList>
      <explain>机关单位全简称表述错误</explain>
      <paraID>613513D3</paraID>
      <start>90</start>
      <end>94</end>
      <status>unmodified</status>
      <modifiedWord/>
      <trackRevisions>false</trackRevisions>
    </reviewItem>
    <reviewItem>
      <errorID>4b9e7a56-d06c-4241-bd39-6a2f9ec67f1a</errorID>
      <errorWord>法律、法规</errorWord>
      <group>L1_Word</group>
      <groupName>字词问题</groupName>
      <ability>L2_Typo</ability>
      <abilityName>字词错误</abilityName>
      <candidateList>
        <item>法律法规</item>
      </candidateList>
      <explain/>
      <paraID> AC2EDC8</paraID>
      <start>24</start>
      <end>29</end>
      <status>unmodified</status>
      <modifiedWord/>
      <trackRevisions>false</trackRevisions>
    </reviewItem>
    <reviewItem>
      <errorID>1d77d091-897a-42ad-9498-fb038cd6f3c8</errorID>
      <errorWord>做出</errorWord>
      <group>L1_Word</group>
      <groupName>字词问题</groupName>
      <ability>L2_Typo</ability>
      <abilityName>字词错误</abilityName>
      <candidateList>
        <item>作出</item>
      </candidateList>
      <explain/>
      <paraID>44DC52E6</paraID>
      <start>11</start>
      <end>13</end>
      <status>unmodified</status>
      <modifiedWord/>
      <trackRevisions>false</trackRevisions>
    </reviewItem>
    <reviewItem>
      <errorID>3f6f1dd6-67b1-416c-8019-67ad8a53b767</errorID>
      <errorWord>,</errorWord>
      <group>L1_Format</group>
      <groupName>格式问题</groupName>
      <ability>L2_HalfPunc</ability>
      <abilityName>全半角检查</abilityName>
      <candidateList>
        <item>，</item>
      </candidateList>
      <explain>文本全半角错误。</explain>
      <paraID>6BA24620</paraID>
      <start>86</start>
      <end>87</end>
      <status>unmodified</status>
      <modifiedWord/>
      <trackRevisions>false</trackRevisions>
    </reviewItem>
    <reviewItem>
      <errorID>aece9f4e-1a65-4220-bd61-15593ccbc1e7</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6BA24620</paraID>
      <start>185</start>
      <end>189</end>
      <status>unmodified</status>
      <modifiedWord/>
      <trackRevisions>false</trackRevisions>
    </reviewItem>
    <reviewItem>
      <errorID>30dc832e-419b-436d-b833-cb1c25240549</errorID>
      <errorWord>其它证明</errorWord>
      <group>L1_Word</group>
      <groupName>字词问题</groupName>
      <ability>L2_Alias</ability>
      <abilityName>也作/曾用词</abilityName>
      <candidateList>
        <item>其他证明</item>
      </candidateList>
      <explain>词汇[其它证明]为不规范表述或旧称，其规范书面表述为[其他证明]。</explain>
      <paraID>6BA24620</paraID>
      <start>284</start>
      <end>288</end>
      <status>unmodified</status>
      <modifiedWord/>
      <trackRevisions>false</trackRevisions>
    </reviewItem>
    <reviewItem>
      <errorID>38f9a909-3af1-4125-b073-90f52ed31123</errorID>
      <errorWord>噪音</errorWord>
      <group>L1_Word</group>
      <groupName>字词问题</groupName>
      <ability>L2_Alias</ability>
      <abilityName>也作/曾用词</abilityName>
      <candidateList>
        <item>噪声</item>
      </candidateList>
      <explain>词汇[噪音]为不规范表述或旧称，其规范书面表述为[噪声]。</explain>
      <paraID>340F91CC</paraID>
      <start>31</start>
      <end>33</end>
      <status>unmodified</status>
      <modifiedWord/>
      <trackRevisions>false</trackRevisions>
    </reviewItem>
    <reviewItem>
      <errorID>3fe81e49-0061-4e6a-ab0b-dec710ad6130</errorID>
      <errorWord>JB</errorWord>
      <group>L1_Sensitive</group>
      <groupName>敏感问题</groupName>
      <ability>L2_Abuse</ability>
      <abilityName>侮辱言辞</abilityName>
      <candidateList/>
      <explain>【侮辱言辞】句中涉及侮辱性的敏感内容，请注意甄别。</explain>
      <paraID>340F91CC</paraID>
      <start>89</start>
      <end>91</end>
      <status>unmodified</status>
      <modifiedWord/>
      <trackRevisions>false</trackRevisions>
    </reviewItem>
    <reviewItem>
      <errorID>3ce8716f-74ae-48aa-a0f5-631a76613db0</errorID>
      <errorWord>噪音</errorWord>
      <group>L1_Word</group>
      <groupName>字词问题</groupName>
      <ability>L2_Alias</ability>
      <abilityName>也作/曾用词</abilityName>
      <candidateList>
        <item>噪声</item>
      </candidateList>
      <explain>词汇[噪音]为不规范表述或旧称，其规范书面表述为[噪声]。</explain>
      <paraID>39C66042</paraID>
      <start>34</start>
      <end>36</end>
      <status>unmodified</status>
      <modifiedWord/>
      <trackRevisions>false</trackRevisions>
    </reviewItem>
    <reviewItem>
      <errorID>8a7fc9c1-6880-4898-b560-e0aabc6edfb8</errorID>
      <errorWord>噪音</errorWord>
      <group>L1_Word</group>
      <groupName>字词问题</groupName>
      <ability>L2_Alias</ability>
      <abilityName>也作/曾用词</abilityName>
      <candidateList>
        <item>噪声</item>
      </candidateList>
      <explain>词汇[噪音]为不规范表述或旧称，其规范书面表述为[噪声]。</explain>
      <paraID>23ACB4A9</paraID>
      <start>34</start>
      <end>36</end>
      <status>unmodified</status>
      <modifiedWord/>
      <trackRevisions>false</trackRevisions>
    </reviewItem>
    <reviewItem>
      <errorID>dcc79060-04ea-4477-8278-730e3d0b54ab</errorID>
      <errorWord>噪音</errorWord>
      <group>L1_Word</group>
      <groupName>字词问题</groupName>
      <ability>L2_Alias</ability>
      <abilityName>也作/曾用词</abilityName>
      <candidateList>
        <item>噪声</item>
      </candidateList>
      <explain>词汇[噪音]为不规范表述或旧称，其规范书面表述为[噪声]。</explain>
      <paraID> 696E765</paraID>
      <start>32</start>
      <end>34</end>
      <status>unmodified</status>
      <modifiedWord/>
      <trackRevisions>false</trackRevisions>
    </reviewItem>
    <reviewItem>
      <errorID>f2da66c6-cad7-4bd2-b9bc-a14fd59860ca</errorID>
      <errorWord>其它</errorWord>
      <group>L1_Word</group>
      <groupName>字词问题</groupName>
      <ability>L2_Alias</ability>
      <abilityName>也作/曾用词</abilityName>
      <candidateList>
        <item>其他</item>
      </candidateList>
      <explain>词汇[其它]为不规范表述或旧称，其规范书面表述为[其他]。</explain>
      <paraID> 8C717C0</paraID>
      <start>1</start>
      <end>3</end>
      <status>unmodified</status>
      <modifiedWord/>
      <trackRevisions>false</trackRevisions>
    </reviewItem>
    <reviewItem>
      <errorID>fe8f06e5-f620-4798-b41a-0564d9f1b659</errorID>
      <errorWord>室</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5B441C30</paraID>
      <start>11</start>
      <end>12</end>
      <status>unmodified</status>
      <modifiedWord/>
      <trackRevisions>false</trackRevisions>
    </reviewItem>
    <reviewItem>
      <errorID>87246f0c-b2e1-4c85-9caa-530035bf9ee3</errorID>
      <errorWord>0%-10%</errorWord>
      <group>L1_Knowledge</group>
      <groupName>知识性问题</groupName>
      <ability>L2_Knowledge</ability>
      <abilityName>其他知识</abilityName>
      <candidateList>
        <item>0%—10%</item>
      </candidateList>
      <explain>1. “0%-10%”中的单位“%”仅出现在后一个数字上，容易引起歧义；根据《现代汉语标点符号数字用法规范手册》，数字表示范围两边需要使用统一的格式。2. 根据标点国标 4.13 中的规则，数字、时间或地域连接符应使用（视觉上更长的）“—”或“～”。</explain>
      <paraID>5B441C30</paraID>
      <start>68</start>
      <end>74</end>
      <status>unmodified</status>
      <modifiedWord/>
      <trackRevisions>false</trackRevisions>
    </reviewItem>
    <reviewItem>
      <errorID>516435f3-d1a3-4647-a3a6-fc3b5fe4caec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E8F6151</paraID>
      <start>0</start>
      <end>2</end>
      <status>unmodified</status>
      <modifiedWord/>
      <trackRevisions>false</trackRevisions>
    </reviewItem>
    <reviewItem>
      <errorID>704126eb-ace7-4877-afc0-666212c04e63</errorID>
      <errorWord>其它</errorWord>
      <group>L1_Word</group>
      <groupName>字词问题</groupName>
      <ability>L2_Alias</ability>
      <abilityName>也作/曾用词</abilityName>
      <candidateList>
        <item>其他</item>
      </candidateList>
      <explain>词汇[其它]为不规范表述或旧称，其规范书面表述为[其他]。</explain>
      <paraID>3CB4F057</paraID>
      <start>3</start>
      <end>5</end>
      <status>unmodified</status>
      <modifiedWord/>
      <trackRevisions>false</trackRevisions>
    </reviewItem>
    <reviewItem>
      <errorID>f05532d5-a4e7-482b-9d1a-39dfb2dea913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51A876B9</paraID>
      <start>0</start>
      <end>2</end>
      <status>unmodified</status>
      <modifiedWord/>
      <trackRevisions>false</trackRevisions>
    </reviewItem>
    <reviewItem>
      <errorID>0b8bb841-2b2a-40dd-aa44-1c3aad3c1bc2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19301AB4</paraID>
      <start>0</start>
      <end>2</end>
      <status>unmodified</status>
      <modifiedWord/>
      <trackRevisions>false</trackRevisions>
    </reviewItem>
    <reviewItem>
      <errorID>f443b941-e024-4b6b-ac71-93c7de8a26fc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42687E4F</paraID>
      <start>0</start>
      <end>2</end>
      <status>unmodified</status>
      <modifiedWord/>
      <trackRevisions>false</trackRevisions>
    </reviewItem>
    <reviewItem>
      <errorID>5e7e8469-dc59-40e9-a78d-2b74de323cd2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52E4EF0</paraID>
      <start>0</start>
      <end>2</end>
      <status>unmodified</status>
      <modifiedWord/>
      <trackRevisions>false</trackRevisions>
    </reviewItem>
    <reviewItem>
      <errorID>b834a218-470f-4afa-b40f-0d16de49cf98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35A73F05</paraID>
      <start>0</start>
      <end>2</end>
      <status>unmodified</status>
      <modifiedWord/>
      <trackRevisions>false</trackRevisions>
    </reviewItem>
    <reviewItem>
      <errorID>9a12bdc8-7ac8-4be0-98cd-ce5661de9f8f</errorID>
      <errorWord>接受</errorWord>
      <group>L1_Word</group>
      <groupName>字词问题</groupName>
      <ability>L2_Typo</ability>
      <abilityName>字词错误</abilityName>
      <candidateList>
        <item>接收</item>
      </candidateList>
      <explain>存在发音相同字词的误用。</explain>
      <paraID>3BD2D3F5</paraID>
      <start>42</start>
      <end>44</end>
      <status>unmodified</status>
      <modifiedWord/>
      <trackRevisions>false</trackRevisions>
    </reviewItem>
    <reviewItem>
      <errorID>2d179bde-ee47-4692-83bd-16b46c856ba0</errorID>
      <errorWord>位</errorWord>
      <group>L1_Word</group>
      <groupName>字词问题</groupName>
      <ability>L2_Typo</ability>
      <abilityName>字词错误</abilityName>
      <candidateList>
        <item>位公</item>
      </candidateList>
      <explain/>
      <paraID>6BF14A42</paraID>
      <start>75</start>
      <end>76</end>
      <status>unmodified</status>
      <modifiedWord/>
      <trackRevisions>false</trackRevisions>
    </reviewItem>
    <reviewItem>
      <errorID>4a23150e-0fb8-4ef3-9192-9b6614bcb951</errorID>
      <errorWord>其它损坏</errorWord>
      <group>L1_Word</group>
      <groupName>字词问题</groupName>
      <ability>L2_Alias</ability>
      <abilityName>也作/曾用词</abilityName>
      <candidateList>
        <item>其他损坏</item>
      </candidateList>
      <explain>词汇[其它损坏]为不规范表述或旧称，其规范书面表述为[其他损坏]。</explain>
      <paraID> D07C251</paraID>
      <start>77</start>
      <end>81</end>
      <status>unmodified</status>
      <modifiedWord/>
      <trackRevisions>false</trackRevisions>
    </reviewItem>
    <reviewItem>
      <errorID>2349cdaf-ebe0-42da-bcde-b925adaa1a65</errorID>
      <errorWord>自负</errorWord>
      <group>L1_Word</group>
      <groupName>字词问题</groupName>
      <ability>L2_Typo</ability>
      <abilityName>字词错误</abilityName>
      <candidateList>
        <item>自付</item>
      </candidateList>
      <explain/>
      <paraID>61B46F54</paraID>
      <start>22</start>
      <end>24</end>
      <status>unmodified</status>
      <modifiedWord/>
      <trackRevisions>false</trackRevisions>
    </reviewItem>
    <reviewItem>
      <errorID>163cc365-32d5-4b62-8496-ad06947c6429</errorID>
      <errorWord>其它</errorWord>
      <group>L1_Word</group>
      <groupName>字词问题</groupName>
      <ability>L2_Alias</ability>
      <abilityName>也作/曾用词</abilityName>
      <candidateList>
        <item>其他</item>
      </candidateList>
      <explain>词汇[其它]为不规范表述或旧称，其规范书面表述为[其他]。</explain>
      <paraID>5D942679</paraID>
      <start>60</start>
      <end>62</end>
      <status>unmodified</status>
      <modifiedWord/>
      <trackRevisions>false</trackRevisions>
    </reviewItem>
    <reviewItem>
      <errorID>a4ba530b-d311-4c43-a91f-ae581c80b929</errorID>
      <errorWord>其它</errorWord>
      <group>L1_Word</group>
      <groupName>字词问题</groupName>
      <ability>L2_Alias</ability>
      <abilityName>也作/曾用词</abilityName>
      <candidateList>
        <item>其他</item>
      </candidateList>
      <explain>词汇[其它]为不规范表述或旧称，其规范书面表述为[其他]。</explain>
      <paraID>1A726450</paraID>
      <start>141</start>
      <end>143</end>
      <status>unmodified</status>
      <modifiedWord/>
      <trackRevisions>false</trackRevisions>
    </reviewItem>
    <reviewItem>
      <errorID>49a70ca9-0bce-42ea-ad4f-2f95606d920a</errorID>
      <errorWord>其它</errorWord>
      <group>L1_Word</group>
      <groupName>字词问题</groupName>
      <ability>L2_Alias</ability>
      <abilityName>也作/曾用词</abilityName>
      <candidateList>
        <item>其他</item>
      </candidateList>
      <explain>词汇[其它]为不规范表述或旧称，其规范书面表述为[其他]。</explain>
      <paraID>1A726450</paraID>
      <start>271</start>
      <end>273</end>
      <status>unmodified</status>
      <modifiedWord/>
      <trackRevisions>false</trackRevisions>
    </reviewItem>
    <reviewItem>
      <errorID>1b4d56d2-7960-4df0-b67a-0d7c415a647a</errorID>
      <errorWord>一式二份</errorWord>
      <group>L1_Word</group>
      <groupName>字词问题</groupName>
      <ability>L2_Typo</ability>
      <abilityName>字词错误</abilityName>
      <candidateList>
        <item>一式两份</item>
      </candidateList>
      <explain/>
      <paraID>42347301</paraID>
      <start>78</start>
      <end>82</end>
      <status>unmodified</status>
      <modifiedWord/>
      <trackRevisions>false</trackRevisions>
    </reviewItem>
    <reviewItem>
      <errorID>0776756c-69d3-4102-8cb1-08138541a36b</errorID>
      <errorWord>自负</errorWord>
      <group>L1_Word</group>
      <groupName>字词问题</groupName>
      <ability>L2_Typo</ability>
      <abilityName>字词错误</abilityName>
      <candidateList>
        <item>自付</item>
      </candidateList>
      <explain/>
      <paraID>205E78E6</paraID>
      <start>67</start>
      <end>69</end>
      <status>unmodified</status>
      <modifiedWord/>
      <trackRevisions>false</trackRevisions>
    </reviewItem>
    <reviewItem>
      <errorID>a7244836-0821-4915-b09e-36215327b889</errorID>
      <errorWord>自负</errorWord>
      <group>L1_Word</group>
      <groupName>字词问题</groupName>
      <ability>L2_Typo</ability>
      <abilityName>字词错误</abilityName>
      <candidateList>
        <item>自付</item>
      </candidateList>
      <explain/>
      <paraID>3301C26C</paraID>
      <start>28</start>
      <end>30</end>
      <status>unmodified</status>
      <modifiedWord/>
      <trackRevisions>false</trackRevisions>
    </reviewItem>
    <reviewItem>
      <errorID>2678c65c-6436-4c44-b3f7-7fda998a0a70</errorID>
      <errorWord>是由于买方原因造成的</errorWord>
      <group>L1_Grammar</group>
      <groupName>语法问题</groupName>
      <ability>L2_Grammar</ability>
      <abilityName>语法错误</abilityName>
      <candidateList>
        <item>是由于买方原因</item>
      </candidateList>
      <explain/>
      <paraID>3301C26C</paraID>
      <start>109</start>
      <end>119</end>
      <status>unmodified</status>
      <modifiedWord/>
      <trackRevisions>false</trackRevisions>
    </reviewItem>
    <reviewItem>
      <errorID>7b521352-47db-4587-a203-6daa1fede193</errorID>
      <errorWord>自负</errorWord>
      <group>L1_Word</group>
      <groupName>字词问题</groupName>
      <ability>L2_Typo</ability>
      <abilityName>字词错误</abilityName>
      <candidateList>
        <item>自付</item>
      </candidateList>
      <explain/>
      <paraID>1F48413A</paraID>
      <start>68</start>
      <end>70</end>
      <status>unmodified</status>
      <modifiedWord/>
      <trackRevisions>false</trackRevisions>
    </reviewItem>
    <reviewItem>
      <errorID>ded6ad29-7e2e-4cd2-9897-399cf9423ec3</errorID>
      <errorWord>接受</errorWord>
      <group>L1_Word</group>
      <groupName>字词问题</groupName>
      <ability>L2_Typo</ability>
      <abilityName>字词错误</abilityName>
      <candidateList>
        <item>接收</item>
      </candidateList>
      <explain>存在发音相同字词的误用。</explain>
      <paraID>488D84B8</paraID>
      <start>3</start>
      <end>5</end>
      <status>unmodified</status>
      <modifiedWord/>
      <trackRevisions>false</trackRevisions>
    </reviewItem>
    <reviewItem>
      <errorID>c9210f1a-8024-4877-934e-15c684267e14</errorID>
      <errorWord>的的</errorWord>
      <group>L1_Word</group>
      <groupName>字词问题</groupName>
      <ability>L2_Typo</ability>
      <abilityName>字词错误</abilityName>
      <candidateList>
        <item>的</item>
      </candidateList>
      <explain>“的”常用于连接修饰语与名词性中心语，表示属性、所属或描述。</explain>
      <paraID>72A4A7F4</paraID>
      <start>59</start>
      <end>61</end>
      <status>unmodified</status>
      <modifiedWord/>
      <trackRevisions>false</trackRevisions>
    </reviewItem>
    <reviewItem>
      <errorID>516e85b7-d62c-489a-a399-4ff123779392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6031271E</paraID>
      <start>4</start>
      <end>5</end>
      <status>unmodified</status>
      <modifiedWord/>
      <trackRevisions>false</trackRevisions>
    </reviewItem>
    <reviewItem>
      <errorID>960c0bd1-7eca-492a-8624-4095c25227e9</errorID>
      <errorWord>其它</errorWord>
      <group>L1_Word</group>
      <groupName>字词问题</groupName>
      <ability>L2_Alias</ability>
      <abilityName>也作/曾用词</abilityName>
      <candidateList>
        <item>其他</item>
      </candidateList>
      <explain>词汇[其它]为不规范表述或旧称，其规范书面表述为[其他]。</explain>
      <paraID>6C754A7C</paraID>
      <start>12</start>
      <end>14</end>
      <status>unmodified</status>
      <modifiedWord/>
      <trackRevisions>false</trackRevisions>
    </reviewItem>
    <reviewItem>
      <errorID>40b97dc5-8c17-4650-89e0-527d3147dd33</errorID>
      <errorWord>,</errorWord>
      <group>L1_Format</group>
      <groupName>格式问题</groupName>
      <ability>L2_HalfPunc</ability>
      <abilityName>全半角检查</abilityName>
      <candidateList>
        <item>，</item>
      </candidateList>
      <explain>文本全半角错误。</explain>
      <paraID> 5FE7860</paraID>
      <start>22</start>
      <end>23</end>
      <status>unmodified</status>
      <modifiedWord/>
      <trackRevisions>false</trackRevisions>
    </reviewItem>
    <reviewItem>
      <errorID>fc8d9810-f07f-486e-a080-ad020d16ef1c</errorID>
      <errorWord>全</errorWord>
      <group>L1_Word</group>
      <groupName>字词问题</groupName>
      <ability>L2_Typo</ability>
      <abilityName>字词错误</abilityName>
      <candidateList>
        <item>全过</item>
      </candidateList>
      <explain/>
      <paraID>3F11BE04</paraID>
      <start>91</start>
      <end>92</end>
      <status>unmodified</status>
      <modifiedWord/>
      <trackRevisions>false</trackRevisions>
    </reviewItem>
    <reviewItem>
      <errorID>2c349139-1f6c-4406-a5be-64af08e8b1f3</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2991F0F8</paraID>
      <start>46</start>
      <end>50</end>
      <status>unmodified</status>
      <modifiedWord/>
      <trackRevisions>false</trackRevisions>
    </reviewItem>
    <reviewItem>
      <errorID>d68a6b4b-bf51-45ee-8a27-7e7897674bc6</errorID>
      <errorWord>涉及到</errorWord>
      <group>L1_Grammar</group>
      <groupName>语法问题</groupName>
      <ability>L2_Grammar</ability>
      <abilityName>语法错误</abilityName>
      <candidateList>
        <item>涉及</item>
      </candidateList>
      <explain>〈动〉牵涉到；关联到：案子～好几个人｜这个问题～面很广。</explain>
      <paraID>56FF134C</paraID>
      <start>12</start>
      <end>15</end>
      <status>unmodified</status>
      <modifiedWord/>
      <trackRevisions>false</trackRevisions>
    </reviewItem>
    <reviewItem>
      <errorID>4b740f34-688f-4ee4-acf2-c31895b86afd</errorID>
      <errorWord>涉及到</errorWord>
      <group>L1_Grammar</group>
      <groupName>语法问题</groupName>
      <ability>L2_Grammar</ability>
      <abilityName>语法错误</abilityName>
      <candidateList>
        <item>涉及</item>
      </candidateList>
      <explain>〈动〉牵涉到；关联到：案子～好几个人｜这个问题～面很广。</explain>
      <paraID> 28C901C</paraID>
      <start>63</start>
      <end>66</end>
      <status>unmodified</status>
      <modifiedWord/>
      <trackRevisions>false</trackRevisions>
    </reviewItem>
    <reviewItem>
      <errorID>c8652811-b6b0-47d9-a944-03d8520ad017</errorID>
      <errorWord>满</errorWord>
      <group>L1_Word</group>
      <groupName>字词问题</groupName>
      <ability>L2_Typo</ability>
      <abilityName>字词错误</abilityName>
      <candidateList>
        <item>满后</item>
      </candidateList>
      <explain/>
      <paraID>2EE34490</paraID>
      <start>6</start>
      <end>7</end>
      <status>unmodified</status>
      <modifiedWord/>
      <trackRevisions>false</trackRevisions>
    </reviewItem>
    <reviewItem>
      <errorID>9eef2036-6c39-43bc-8e96-bcfd57b67b59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2D5CDD63</paraID>
      <start>222</start>
      <end>224</end>
      <status>unmodified</status>
      <modifiedWord/>
      <trackRevisions>false</trackRevisions>
    </reviewItem>
    <reviewItem>
      <errorID>ec9628c1-e4e0-4a70-8340-eafad809b89a</errorID>
      <errorWord>需具备</errorWord>
      <group>L1_Word</group>
      <groupName>字词问题</groupName>
      <ability>L2_Typo</ability>
      <abilityName>字词错误</abilityName>
      <candidateList>
        <item>须具备</item>
      </candidateList>
      <explain/>
      <paraID> 7E3E83D</paraID>
      <start>16</start>
      <end>19</end>
      <status>unmodified</status>
      <modifiedWord/>
      <trackRevisions>false</trackRevisions>
    </reviewItem>
    <reviewItem>
      <errorID>47eedcb9-f84a-41e4-b355-fbfea1d77796</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 F3BD0F9</paraID>
      <start>144</start>
      <end>148</end>
      <status>unmodified</status>
      <modifiedWord/>
      <trackRevisions>false</trackRevisions>
    </reviewItem>
    <reviewItem>
      <errorID>7bd3af29-8bc0-430c-8b96-173196082d50</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2DE57595</paraID>
      <start>6</start>
      <end>8</end>
      <status>unmodified</status>
      <modifiedWord/>
      <trackRevisions>false</trackRevisions>
    </reviewItem>
    <reviewItem>
      <errorID>d418fe6e-a9e4-4d1b-bcc7-c2b6ada7e88b</errorID>
      <errorWord>标示</errorWord>
      <group>L1_Word</group>
      <groupName>字词问题</groupName>
      <ability>L2_Typo</ability>
      <abilityName>字词错误</abilityName>
      <candidateList>
        <item>标识</item>
      </candidateList>
      <explain>存在发音相同字词的误用。</explain>
      <paraID>5B9F9391</paraID>
      <start>21</start>
      <end>23</end>
      <status>unmodified</status>
      <modifiedWord/>
      <trackRevisions>false</trackRevisions>
    </reviewItem>
    <reviewItem>
      <errorID>4cc4f501-9795-4236-93ef-171144fc96d0</errorID>
      <errorWord>标示</errorWord>
      <group>L1_Word</group>
      <groupName>字词问题</groupName>
      <ability>L2_Typo</ability>
      <abilityName>字词错误</abilityName>
      <candidateList>
        <item>标识</item>
      </candidateList>
      <explain>存在发音相同字词的误用。</explain>
      <paraID>5B9F9391</paraID>
      <start>69</start>
      <end>71</end>
      <status>unmodified</status>
      <modifiedWord/>
      <trackRevisions>false</trackRevisions>
    </reviewItem>
    <reviewItem>
      <errorID>c42be459-d680-4f33-9f10-69bd89a0723c</errorID>
      <errorWord>应付</errorWord>
      <group>L1_Word</group>
      <groupName>字词问题</groupName>
      <ability>L2_Typo</ability>
      <abilityName>字词错误</abilityName>
      <candidateList>
        <item>应</item>
      </candidateList>
      <explain/>
      <paraID>4CC5A767</paraID>
      <start>39</start>
      <end>41</end>
      <status>unmodified</status>
      <modifiedWord/>
      <trackRevisions>false</trackRevisions>
    </reviewItem>
    <reviewItem>
      <errorID>929fbffb-53f7-4756-8e0f-695f828c3a66</errorID>
      <errorWord>其它</errorWord>
      <group>L1_Word</group>
      <groupName>字词问题</groupName>
      <ability>L2_Alias</ability>
      <abilityName>也作/曾用词</abilityName>
      <candidateList>
        <item>其他</item>
      </candidateList>
      <explain>词汇[其它]为不规范表述或旧称，其规范书面表述为[其他]。</explain>
      <paraID>43E4E1B1</paraID>
      <start>25</start>
      <end>27</end>
      <status>unmodified</status>
      <modifiedWord/>
      <trackRevisions>false</trackRevisions>
    </reviewItem>
    <reviewItem>
      <errorID>82bf9e85-2919-402b-8d43-b41841b67eaa</errorID>
      <errorWord>法律、法规</errorWord>
      <group>L1_Word</group>
      <groupName>字词问题</groupName>
      <ability>L2_Typo</ability>
      <abilityName>字词错误</abilityName>
      <candidateList>
        <item>法律法规</item>
      </candidateList>
      <explain/>
      <paraID>716C4C08</paraID>
      <start>23</start>
      <end>28</end>
      <status>unmodified</status>
      <modifiedWord/>
      <trackRevisions>false</trackRevisions>
    </reviewItem>
    <reviewItem>
      <errorID>fc2f6ab2-468f-489d-83ef-d7915a6066ce</errorID>
      <errorWord>签收</errorWord>
      <group>L1_Word</group>
      <groupName>字词问题</groupName>
      <ability>L2_Typo</ability>
      <abilityName>字词错误</abilityName>
      <candidateList>
        <item>验收</item>
      </candidateList>
      <explain/>
      <paraID>2B00269D</paraID>
      <start>19</start>
      <end>21</end>
      <status>unmodified</status>
      <modifiedWord/>
      <trackRevisions>false</trackRevisions>
    </reviewItem>
    <reviewItem>
      <errorID>eb7c302d-81cd-4624-95f1-f43eed926f9f</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2736F75E</paraID>
      <start>125</start>
      <end>128</end>
      <status>unmodified</status>
      <modifiedWord/>
      <trackRevisions>false</trackRevisions>
    </reviewItem>
    <reviewItem>
      <errorID>c4ef2993-90eb-4ae3-bb94-365e81e30fb0</errorID>
      <errorWord>其它在</errorWord>
      <group>L1_Word</group>
      <groupName>字词问题</groupName>
      <ability>L2_Alias</ability>
      <abilityName>也作/曾用词</abilityName>
      <candidateList>
        <item>其他在</item>
      </candidateList>
      <explain>词汇[其它在]为不规范表述或旧称，其规范书面表述为[其他在]。</explain>
      <paraID>2451A99B</paraID>
      <start>98</start>
      <end>101</end>
      <status>unmodified</status>
      <modifiedWord/>
      <trackRevisions>false</trackRevisions>
    </reviewItem>
    <reviewItem>
      <errorID>ce785442-8131-48b3-b930-d76a4cd8bfd2</errorID>
      <errorWord>至少从事同类工作五年以上</errorWord>
      <group>L1_Grammar</group>
      <groupName>语法问题</groupName>
      <ability>L2_Grammar</ability>
      <abilityName>语法错误</abilityName>
      <candidateList>
        <item>至少从事同类工作五年</item>
      </candidateList>
      <explain/>
      <paraID>3D784E2E</paraID>
      <start>21</start>
      <end>33</end>
      <status>unmodified</status>
      <modifiedWord/>
      <trackRevisions>false</trackRevisions>
    </reviewItem>
    <reviewItem>
      <errorID>a69d79a5-df66-4069-bab7-21ad8b40ed3f</errorID>
      <errorWord>组长</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explain>
      <paraID>3F104D56</paraID>
      <start>4</start>
      <end>6</end>
      <status>unmodified</status>
      <modifiedWord/>
      <trackRevisions>false</trackRevisions>
    </reviewItem>
    <reviewItem>
      <errorID>51ce0023-add0-435c-8187-34b0f0c3886e</errorID>
      <errorWord>其它</errorWord>
      <group>L1_Word</group>
      <groupName>字词问题</groupName>
      <ability>L2_Alias</ability>
      <abilityName>也作/曾用词</abilityName>
      <candidateList>
        <item>其他</item>
      </candidateList>
      <explain>词汇[其它]为不规范表述或旧称，其规范书面表述为[其他]。</explain>
      <paraID> B814630</paraID>
      <start>183</start>
      <end>185</end>
      <status>unmodified</status>
      <modifiedWord/>
      <trackRevisions>false</trackRevisions>
    </reviewItem>
    <reviewItem>
      <errorID>de494199-ccfb-405d-bda9-e07689754579</errorID>
      <errorWord>、以及</errorWord>
      <group>L1_Punc</group>
      <groupName>标点问题</groupName>
      <ability>L2_Punc</ability>
      <abilityName>标点符号检查</abilityName>
      <candidateList>
        <item>，以及</item>
      </candidateList>
      <explain>连接词前后不宜使用顿号，建议使用逗号。</explain>
      <paraID>3C1789F7</paraID>
      <start>126</start>
      <end>129</end>
      <status>unmodified</status>
      <modifiedWord/>
      <trackRevisions>false</trackRevisions>
    </reviewItem>
    <reviewItem>
      <errorID>52b63aef-c61c-4a95-948e-7c33981e4b58</errorID>
      <errorWord>适合</errorWord>
      <group>L1_Grammar</group>
      <groupName>语法问题</groupName>
      <ability>L2_Grammar</ability>
      <abilityName>语法错误</abilityName>
      <candidateList>
        <item>符合</item>
      </candidateList>
      <explain>“适合～要求”搭配不当，建议修改为“符合～要求”。</explain>
      <paraID>32FA95AA</paraID>
      <start>52</start>
      <end>54</end>
      <status>unmodified</status>
      <modifiedWord/>
      <trackRevisions>false</trackRevisions>
    </reviewItem>
    <reviewItem>
      <errorID>3f3c820a-b0e3-4516-a2f8-2aa7110e3301</errorID>
      <errorWord>共同协商</errorWord>
      <group>L1_Grammar</group>
      <groupName>语法问题</groupName>
      <ability>L2_Grammar</ability>
      <abilityName>语法错误</abilityName>
      <candidateList>
        <item>协商</item>
      </candidateList>
      <explain/>
      <paraID>7A5AC794</paraID>
      <start>25</start>
      <end>29</end>
      <status>unmodified</status>
      <modifiedWord/>
      <trackRevisions>false</trackRevisions>
    </reviewItem>
    <reviewItem>
      <errorID>60391299-47bc-49bb-b804-c9455b7efc6d</errorID>
      <errorWord>视</errorWord>
      <group>L1_Word</group>
      <groupName>字词问题</groupName>
      <ability>L2_Typo</ability>
      <abilityName>字词错误</abilityName>
      <candidateList>
        <item>视为</item>
      </candidateList>
      <explain/>
      <paraID> 727DC0E</paraID>
      <start>66</start>
      <end>67</end>
      <status>unmodified</status>
      <modifiedWord/>
      <trackRevisions>false</trackRevisions>
    </reviewItem>
    <reviewItem>
      <errorID>36f143e8-e6d1-4616-a0a0-5d5c9025eb91</errorID>
      <errorWord>的其它费用</errorWord>
      <group>L1_Word</group>
      <groupName>字词问题</groupName>
      <ability>L2_Alias</ability>
      <abilityName>也作/曾用词</abilityName>
      <candidateList>
        <item>的其他费用</item>
      </candidateList>
      <explain>词汇[的其它费用]为不规范表述或旧称，其规范书面表述为[的其他费用]。</explain>
      <paraID>7D3940B6</paraID>
      <start>131</start>
      <end>136</end>
      <status>unmodified</status>
      <modifiedWord/>
      <trackRevisions>false</trackRevisions>
    </reviewItem>
    <reviewItem>
      <errorID>56e56223-b08f-42a0-b9d6-5ee99c721570</errorID>
      <errorWord>其它部分</errorWord>
      <group>L1_Word</group>
      <groupName>字词问题</groupName>
      <ability>L2_Alias</ability>
      <abilityName>也作/曾用词</abilityName>
      <candidateList>
        <item>其他部分</item>
      </candidateList>
      <explain>词汇[其它部分]为不规范表述或旧称，其规范书面表述为[其他部分]。</explain>
      <paraID>3875DD43</paraID>
      <start>20</start>
      <end>24</end>
      <status>unmodified</status>
      <modifiedWord/>
      <trackRevisions>false</trackRevisions>
    </reviewItem>
    <reviewItem>
      <errorID>76961633-d987-44d3-bd21-83d539ae4dd0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198C8CC4</paraID>
      <start>0</start>
      <end>2</end>
      <status>unmodified</status>
      <modifiedWord/>
      <trackRevisions>false</trackRevisions>
    </reviewItem>
    <reviewItem>
      <errorID>5aecce9e-b297-4ef2-ae4b-e9a40aca3c14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4115F71B</paraID>
      <start>0</start>
      <end>2</end>
      <status>unmodified</status>
      <modifiedWord/>
      <trackRevisions>false</trackRevisions>
    </reviewItem>
    <reviewItem>
      <errorID>8fb6f8ac-8699-4233-9524-030c5bb3b885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6DB61CB5</paraID>
      <start>0</start>
      <end>2</end>
      <status>unmodified</status>
      <modifiedWord/>
      <trackRevisions>false</trackRevisions>
    </reviewItem>
    <reviewItem>
      <errorID>73109ecd-22f9-4d3e-bc2d-5ff329f51751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11D034DC</paraID>
      <start>0</start>
      <end>2</end>
      <status>unmodified</status>
      <modifiedWord/>
      <trackRevisions>false</trackRevisions>
    </reviewItem>
    <reviewItem>
      <errorID>ca6fe1f8-6454-49e1-869f-1834321623f3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1B6E5B38</paraID>
      <start>0</start>
      <end>2</end>
      <status>unmodified</status>
      <modifiedWord/>
      <trackRevisions>false</trackRevisions>
    </reviewItem>
    <reviewItem>
      <errorID>282b8ecf-abdc-4fff-ab1b-7c103eee45a5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2AF1B745</paraID>
      <start>0</start>
      <end>2</end>
      <status>unmodified</status>
      <modifiedWord/>
      <trackRevisions>false</trackRevisions>
    </reviewItem>
    <reviewItem>
      <errorID>668a083d-b9a4-4b3b-8736-916a9bbbc506</errorID>
      <errorWord>属</errorWord>
      <group>L1_Word</group>
      <groupName>字词问题</groupName>
      <ability>L2_Typo</ability>
      <abilityName>字词错误</abilityName>
      <candidateList>
        <item>属于</item>
      </candidateList>
      <explain/>
      <paraID> 43A78B0</paraID>
      <start>30</start>
      <end>31</end>
      <status>unmodified</status>
      <modifiedWord/>
      <trackRevisions>false</trackRevisions>
    </reviewItem>
    <reviewItem>
      <errorID>7d202256-e39f-465d-b11e-a8275ed1d1e5</errorID>
      <errorWord>权力</errorWord>
      <group>L1_Word</group>
      <groupName>字词问题</groupName>
      <ability>L2_Typo</ability>
      <abilityName>字词错误</abilityName>
      <candidateList>
        <item>权利</item>
      </candidateList>
      <explain/>
      <paraID>62988581</paraID>
      <start>32</start>
      <end>34</end>
      <status>unmodified</status>
      <modifiedWord/>
      <trackRevisions>false</trackRevisions>
    </reviewItem>
    <reviewItem>
      <errorID>7f645f9f-ae85-4b77-9d38-170b6cad7f1a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128B2EC7</paraID>
      <start>0</start>
      <end>2</end>
      <status>unmodified</status>
      <modifiedWord/>
      <trackRevisions>false</trackRevisions>
    </reviewItem>
    <reviewItem>
      <errorID>d9fc6033-2b65-40a7-bd26-f97d907966d5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6D0B20F0</paraID>
      <start>0</start>
      <end>2</end>
      <status>unmodified</status>
      <modifiedWord/>
      <trackRevisions>false</trackRevisions>
    </reviewItem>
    <reviewItem>
      <errorID>1a71540a-46a0-406f-b15d-d0f379652372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21AC211B</paraID>
      <start>0</start>
      <end>2</end>
      <status>unmodified</status>
      <modifiedWord/>
      <trackRevisions>false</trackRevisions>
    </reviewItem>
    <reviewItem>
      <errorID>caf70f74-4c42-4bdd-9d59-39ba5a2ef38a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2DF640B9</paraID>
      <start>0</start>
      <end>3</end>
      <status>unmodified</status>
      <modifiedWord/>
      <trackRevisions>false</trackRevisions>
    </reviewItem>
    <reviewItem>
      <errorID>87540fb2-2f70-4c7a-b0e4-0eda946dfa9a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4A46608C</paraID>
      <start>0</start>
      <end>3</end>
      <status>unmodified</status>
      <modifiedWord/>
      <trackRevisions>false</trackRevisions>
    </reviewItem>
    <reviewItem>
      <errorID>ef0c9f8f-217e-4807-80b5-464645530c37</errorID>
      <errorWord>法律、法规</errorWord>
      <group>L1_Word</group>
      <groupName>字词问题</groupName>
      <ability>L2_Typo</ability>
      <abilityName>字词错误</abilityName>
      <candidateList>
        <item>法律法规</item>
      </candidateList>
      <explain/>
      <paraID>729E6724</paraID>
      <start>41</start>
      <end>46</end>
      <status>unmodified</status>
      <modifiedWord/>
      <trackRevisions>false</trackRevisions>
    </reviewItem>
    <reviewItem>
      <errorID>224268a5-5b6b-4aa8-94eb-3e1ea9e73c55</errorID>
      <errorWord>合</errorWord>
      <group>L1_Word</group>
      <groupName>字词问题</groupName>
      <ability>L2_Typo</ability>
      <abilityName>字词错误</abilityName>
      <candidateList>
        <item>合同</item>
      </candidateList>
      <explain/>
      <paraID>4F1847F3</paraID>
      <start>133</start>
      <end>134</end>
      <status>unmodified</status>
      <modifiedWord/>
      <trackRevisions>false</trackRevisions>
    </reviewItem>
    <reviewItem>
      <errorID>e15216df-9752-49d8-86f4-ed59ce3454e3</errorID>
      <errorWord>(</errorWord>
      <group>L1_Format</group>
      <groupName>格式问题</groupName>
      <ability>L2_HalfPunc</ability>
      <abilityName>全半角检查</abilityName>
      <candidateList>
        <item>（</item>
      </candidateList>
      <explain>文本全半角错误。</explain>
      <paraID>69C3EDC4</paraID>
      <start>27</start>
      <end>28</end>
      <status>unmodified</status>
      <modifiedWord/>
      <trackRevisions>false</trackRevisions>
    </reviewItem>
    <reviewItem>
      <errorID>0331947e-41cb-4614-992a-57d27c9a5028</errorID>
      <errorWord>)</errorWord>
      <group>L1_Format</group>
      <groupName>格式问题</groupName>
      <ability>L2_HalfPunc</ability>
      <abilityName>全半角检查</abilityName>
      <candidateList>
        <item>）</item>
      </candidateList>
      <explain>文本全半角错误。</explain>
      <paraID>69C3EDC4</paraID>
      <start>53</start>
      <end>54</end>
      <status>unmodified</status>
      <modifiedWord/>
      <trackRevisions>false</trackRevisions>
    </reviewItem>
    <reviewItem>
      <errorID>775d492c-6537-4c91-8da1-6356a2fcf453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8A32809</paraID>
      <start>0</start>
      <end>2</end>
      <status>unmodified</status>
      <modifiedWord/>
      <trackRevisions>false</trackRevisions>
    </reviewItem>
    <reviewItem>
      <errorID>dc192df4-7f5f-4218-a234-0af6d46a0ff1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11AAFA7A</paraID>
      <start>0</start>
      <end>2</end>
      <status>unmodified</status>
      <modifiedWord/>
      <trackRevisions>false</trackRevisions>
    </reviewItem>
    <reviewItem>
      <errorID>d1c24da3-a11e-4c48-91c3-a3204e1d71ad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5725A35B</paraID>
      <start>0</start>
      <end>2</end>
      <status>unmodified</status>
      <modifiedWord/>
      <trackRevisions>false</trackRevisions>
    </reviewItem>
    <reviewItem>
      <errorID>a29fcdaf-8e6f-47f9-82d3-335bd636e52c</errorID>
      <errorWord>的</errorWord>
      <group>L1_Word</group>
      <groupName>字词问题</groupName>
      <ability>L2_Typo</ability>
      <abilityName>字词错误</abilityName>
      <candidateList>
        <item>的农</item>
      </candidateList>
      <explain/>
      <paraID>7AC7A79F</paraID>
      <start>40</start>
      <end>41</end>
      <status>unmodified</status>
      <modifiedWord/>
      <trackRevisions>false</trackRevisions>
    </reviewItem>
    <reviewItem>
      <errorID>ebb726bf-2fae-472b-a60e-308f284d1b2a</errorID>
      <errorWord>违禁</errorWord>
      <group>L1_Word</group>
      <groupName>字词问题</groupName>
      <ability>L2_Typo</ability>
      <abilityName>字词错误</abilityName>
      <candidateList>
        <item>违纪</item>
      </candidateList>
      <explain/>
      <paraID>344439A0</paraID>
      <start>37</start>
      <end>39</end>
      <status>unmodified</status>
      <modifiedWord/>
      <trackRevisions>false</trackRevisions>
    </reviewItem>
    <reviewItem>
      <errorID>f504c132-c21a-4a99-b19f-79ff2d8546cf</errorID>
      <errorWord>配备有</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4A573520</paraID>
      <start>25</start>
      <end>28</end>
      <status>unmodified</status>
      <modifiedWord/>
      <trackRevisions>false</trackRevisions>
    </reviewItem>
    <reviewItem>
      <errorID>cb715f03-8001-4abe-8bde-c8dd22a2699e</errorID>
      <errorWord>)</errorWord>
      <group>L1_Format</group>
      <groupName>格式问题</groupName>
      <ability>L2_HalfPunc</ability>
      <abilityName>全半角检查</abilityName>
      <candidateList>
        <item>）</item>
      </candidateList>
      <explain>文本全半角错误。</explain>
      <paraID>2BDF0D55</paraID>
      <start>31</start>
      <end>32</end>
      <status>unmodified</status>
      <modifiedWord/>
      <trackRevisions>false</trackRevisions>
    </reviewItem>
    <reviewItem>
      <errorID>59348a26-c0b7-43c8-ad39-c7cca4061a58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192C65C5</paraID>
      <start>0</start>
      <end>2</end>
      <status>unmodified</status>
      <modifiedWord/>
      <trackRevisions>false</trackRevisions>
    </reviewItem>
    <reviewItem>
      <errorID>af17a660-a920-470a-b7d1-a4b7791e2f84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4692A68</paraID>
      <start>0</start>
      <end>2</end>
      <status>unmodified</status>
      <modifiedWord/>
      <trackRevisions>false</trackRevisions>
    </reviewItem>
    <reviewItem>
      <errorID>283d73e5-2617-482e-afc1-54f25e61f9a5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4EB363A6</paraID>
      <start>0</start>
      <end>2</end>
      <status>unmodified</status>
      <modifiedWord/>
      <trackRevisions>false</trackRevisions>
    </reviewItem>
    <reviewItem>
      <errorID>c016f286-c175-4812-97ef-49f5b9831d28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7119B811</paraID>
      <start>0</start>
      <end>2</end>
      <status>unmodified</status>
      <modifiedWord/>
      <trackRevisions>false</trackRevisions>
    </reviewItem>
    <reviewItem>
      <errorID>ec480dfa-70a6-47d4-ae83-6c0511d81185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7B2EA0D</paraID>
      <start>0</start>
      <end>2</end>
      <status>unmodified</status>
      <modifiedWord/>
      <trackRevisions>false</trackRevisions>
    </reviewItem>
    <reviewItem>
      <errorID>3971c89b-f7b0-451b-896d-e38b597c9d0a</errorID>
      <errorWord>有</errorWord>
      <group>L1_Word</group>
      <groupName>字词问题</groupName>
      <ability>L2_Typo</ability>
      <abilityName>字词错误</abilityName>
      <candidateList>
        <item>与</item>
      </candidateList>
      <explain>存在发音相近字词的误用。</explain>
      <paraID>7381DA77</paraID>
      <start>52</start>
      <end>53</end>
      <status>unmodified</status>
      <modifiedWord/>
      <trackRevisions>false</trackRevisions>
    </reviewItem>
    <reviewItem>
      <errorID>24650e84-3b0f-4a9e-8363-85dfe6d3b180</errorID>
      <errorWord>(</errorWord>
      <group>L1_Format</group>
      <groupName>格式问题</groupName>
      <ability>L2_HalfPunc</ability>
      <abilityName>全半角检查</abilityName>
      <candidateList>
        <item>（</item>
      </candidateList>
      <explain>文本全半角错误。</explain>
      <paraID>1FB531C5</paraID>
      <start>0</start>
      <end>1</end>
      <status>unmodified</status>
      <modifiedWord/>
      <trackRevisions>false</trackRevisions>
    </reviewItem>
    <reviewItem>
      <errorID>7ec0622f-d0f1-43f9-ba32-1605ad4ba299</errorID>
      <errorWord>)</errorWord>
      <group>L1_Format</group>
      <groupName>格式问题</groupName>
      <ability>L2_HalfPunc</ability>
      <abilityName>全半角检查</abilityName>
      <candidateList>
        <item>）</item>
      </candidateList>
      <explain>文本全半角错误。</explain>
      <paraID>1FB531C5</paraID>
      <start>2</start>
      <end>3</end>
      <status>unmodified</status>
      <modifiedWord/>
      <trackRevisions>false</trackRevisions>
    </reviewItem>
    <reviewItem>
      <errorID>c0c9f56a-5f52-414a-b662-34d0a108c5ad</errorID>
      <errorWord>(</errorWord>
      <group>L1_Format</group>
      <groupName>格式问题</groupName>
      <ability>L2_HalfPunc</ability>
      <abilityName>全半角检查</abilityName>
      <candidateList>
        <item>（</item>
      </candidateList>
      <explain>文本全半角错误。</explain>
      <paraID>1D0F0AAD</paraID>
      <start>0</start>
      <end>1</end>
      <status>unmodified</status>
      <modifiedWord/>
      <trackRevisions>false</trackRevisions>
    </reviewItem>
    <reviewItem>
      <errorID>f200ddc2-2f0a-4b27-a5b6-346b21000eb2</errorID>
      <errorWord>)</errorWord>
      <group>L1_Format</group>
      <groupName>格式问题</groupName>
      <ability>L2_HalfPunc</ability>
      <abilityName>全半角检查</abilityName>
      <candidateList>
        <item>）</item>
      </candidateList>
      <explain>文本全半角错误。</explain>
      <paraID>1D0F0AAD</paraID>
      <start>2</start>
      <end>3</end>
      <status>unmodified</status>
      <modifiedWord/>
      <trackRevisions>false</trackRevisions>
    </reviewItem>
    <reviewItem>
      <errorID>a4f61c55-311c-482c-a96f-39d0dc220b6b</errorID>
      <errorWord>(</errorWord>
      <group>L1_Format</group>
      <groupName>格式问题</groupName>
      <ability>L2_HalfPunc</ability>
      <abilityName>全半角检查</abilityName>
      <candidateList>
        <item>（</item>
      </candidateList>
      <explain>文本全半角错误。</explain>
      <paraID>78EFA89D</paraID>
      <start>0</start>
      <end>1</end>
      <status>unmodified</status>
      <modifiedWord/>
      <trackRevisions>false</trackRevisions>
    </reviewItem>
    <reviewItem>
      <errorID>9ae9491f-ab76-4e21-b8df-a350bbfa6bb7</errorID>
      <errorWord>)</errorWord>
      <group>L1_Format</group>
      <groupName>格式问题</groupName>
      <ability>L2_HalfPunc</ability>
      <abilityName>全半角检查</abilityName>
      <candidateList>
        <item>）</item>
      </candidateList>
      <explain>文本全半角错误。</explain>
      <paraID>78EFA89D</paraID>
      <start>2</start>
      <end>3</end>
      <status>unmodified</status>
      <modifiedWord/>
      <trackRevisions>false</trackRevisions>
    </reviewItem>
    <reviewItem>
      <errorID>b0292bab-aaa2-4f43-b7e2-03a1fc558454</errorID>
      <errorWord>，</errorWord>
      <group>L1_Format</group>
      <groupName>格式问题</groupName>
      <ability>L2_HalfPunc</ability>
      <abilityName>全半角检查</abilityName>
      <candidateList>
        <item>, </item>
      </candidateList>
      <explain>文本全半角错误。</explain>
      <paraID>6E3E53DE</paraID>
      <start>6</start>
      <end>7</end>
      <status>unmodified</status>
      <modifiedWord/>
      <trackRevisions>false</trackRevisions>
    </reviewItem>
    <reviewItem>
      <errorID>3442d9ed-d21e-4748-a234-190a52e1c3de</errorID>
      <errorWord>，</errorWord>
      <group>L1_Format</group>
      <groupName>格式问题</groupName>
      <ability>L2_HalfPunc</ability>
      <abilityName>全半角检查</abilityName>
      <candidateList>
        <item>, </item>
      </candidateList>
      <explain>文本全半角错误。</explain>
      <paraID>176B82CB</paraID>
      <start>6</start>
      <end>7</end>
      <status>unmodified</status>
      <modifiedWord/>
      <trackRevisions>false</trackRevisions>
    </reviewItem>
    <reviewItem>
      <errorID>b92defc4-df01-4c96-9017-f4ca17919d13</errorID>
      <errorWord>，</errorWord>
      <group>L1_Format</group>
      <groupName>格式问题</groupName>
      <ability>L2_HalfPunc</ability>
      <abilityName>全半角检查</abilityName>
      <candidateList>
        <item>, </item>
      </candidateList>
      <explain>文本全半角错误。</explain>
      <paraID> C33DA10</paraID>
      <start>5</start>
      <end>6</end>
      <status>unmodified</status>
      <modifiedWord/>
      <trackRevisions>false</trackRevisions>
    </reviewItem>
    <reviewItem>
      <errorID>e065532b-41c0-45d1-9c5e-01607f35ac98</errorID>
      <errorWord>，</errorWord>
      <group>L1_Format</group>
      <groupName>格式问题</groupName>
      <ability>L2_HalfPunc</ability>
      <abilityName>全半角检查</abilityName>
      <candidateList>
        <item>, </item>
      </candidateList>
      <explain>文本全半角错误。</explain>
      <paraID>5AE50B3D</paraID>
      <start>5</start>
      <end>6</end>
      <status>unmodified</status>
      <modifiedWord/>
      <trackRevisions>false</trackRevisions>
    </reviewItem>
    <reviewItem>
      <errorID>a7fc7e75-2aa1-4220-a481-5174a0727993</errorID>
      <errorWord>(</errorWord>
      <group>L1_Format</group>
      <groupName>格式问题</groupName>
      <ability>L2_HalfPunc</ability>
      <abilityName>全半角检查</abilityName>
      <candidateList>
        <item>（</item>
      </candidateList>
      <explain>文本全半角错误。</explain>
      <paraID>672D35D6</paraID>
      <start>0</start>
      <end>1</end>
      <status>unmodified</status>
      <modifiedWord/>
      <trackRevisions>false</trackRevisions>
    </reviewItem>
    <reviewItem>
      <errorID>785da5e5-10bf-4874-ad15-cbe61b0409c7</errorID>
      <errorWord>)</errorWord>
      <group>L1_Format</group>
      <groupName>格式问题</groupName>
      <ability>L2_HalfPunc</ability>
      <abilityName>全半角检查</abilityName>
      <candidateList>
        <item>）</item>
      </candidateList>
      <explain>文本全半角错误。</explain>
      <paraID>672D35D6</paraID>
      <start>2</start>
      <end>3</end>
      <status>unmodified</status>
      <modifiedWord/>
      <trackRevisions>false</trackRevisions>
    </reviewItem>
    <reviewItem>
      <errorID>2c7e7fb5-7a79-4ada-8945-b50d07dc5df6</errorID>
      <errorWord>，</errorWord>
      <group>L1_Format</group>
      <groupName>格式问题</groupName>
      <ability>L2_HalfPunc</ability>
      <abilityName>全半角检查</abilityName>
      <candidateList>
        <item>, </item>
      </candidateList>
      <explain>文本全半角错误。</explain>
      <paraID>74408F98</paraID>
      <start>5</start>
      <end>6</end>
      <status>unmodified</status>
      <modifiedWord/>
      <trackRevisions>false</trackRevisions>
    </reviewItem>
    <reviewItem>
      <errorID>7ac239e9-9c8c-47d8-9237-7c123bd27a3f</errorID>
      <errorWord>，</errorWord>
      <group>L1_Format</group>
      <groupName>格式问题</groupName>
      <ability>L2_HalfPunc</ability>
      <abilityName>全半角检查</abilityName>
      <candidateList>
        <item>, </item>
      </candidateList>
      <explain>文本全半角错误。</explain>
      <paraID>60F71D18</paraID>
      <start>6</start>
      <end>7</end>
      <status>unmodified</status>
      <modifiedWord/>
      <trackRevisions>false</trackRevisions>
    </reviewItem>
    <reviewItem>
      <errorID>62157846-115a-4dc5-84f3-5e201e25d250</errorID>
      <errorWord>，</errorWord>
      <group>L1_Format</group>
      <groupName>格式问题</groupName>
      <ability>L2_HalfPunc</ability>
      <abilityName>全半角检查</abilityName>
      <candidateList>
        <item>, </item>
      </candidateList>
      <explain>文本全半角错误。</explain>
      <paraID>648473E4</paraID>
      <start>6</start>
      <end>7</end>
      <status>unmodified</status>
      <modifiedWord/>
      <trackRevisions>false</trackRevisions>
    </reviewItem>
    <reviewItem>
      <errorID>19486d26-6580-4ba1-8aa4-d7115dcb60ac</errorID>
      <errorWord>，</errorWord>
      <group>L1_Format</group>
      <groupName>格式问题</groupName>
      <ability>L2_HalfPunc</ability>
      <abilityName>全半角检查</abilityName>
      <candidateList>
        <item>, </item>
      </candidateList>
      <explain>文本全半角错误。</explain>
      <paraID>1D88C9AD</paraID>
      <start>5</start>
      <end>6</end>
      <status>unmodified</status>
      <modifiedWord/>
      <trackRevisions>false</trackRevisions>
    </reviewItem>
    <reviewItem>
      <errorID>89409dfb-2f9d-4f0a-8cb9-bd0213aff300</errorID>
      <errorWord>，</errorWord>
      <group>L1_Format</group>
      <groupName>格式问题</groupName>
      <ability>L2_HalfPunc</ability>
      <abilityName>全半角检查</abilityName>
      <candidateList>
        <item>, </item>
      </candidateList>
      <explain>文本全半角错误。</explain>
      <paraID>4C8B4A71</paraID>
      <start>5</start>
      <end>6</end>
      <status>unmodified</status>
      <modifiedWord/>
      <trackRevisions>false</trackRevisions>
    </reviewItem>
    <reviewItem>
      <errorID>f9ad1e77-315c-4a32-8646-8e7e3adfcf03</errorID>
      <errorWord>，</errorWord>
      <group>L1_Format</group>
      <groupName>格式问题</groupName>
      <ability>L2_HalfPunc</ability>
      <abilityName>全半角检查</abilityName>
      <candidateList>
        <item>, </item>
      </candidateList>
      <explain>文本全半角错误。</explain>
      <paraID>  80ACCB</paraID>
      <start>5</start>
      <end>6</end>
      <status>unmodified</status>
      <modifiedWord/>
      <trackRevisions>false</trackRevisions>
    </reviewItem>
    <reviewItem>
      <errorID>9a57f5d2-e519-4306-8918-739d4c4a3b09</errorID>
      <errorWord>，</errorWord>
      <group>L1_Format</group>
      <groupName>格式问题</groupName>
      <ability>L2_HalfPunc</ability>
      <abilityName>全半角检查</abilityName>
      <candidateList>
        <item>, </item>
      </candidateList>
      <explain>文本全半角错误。</explain>
      <paraID>4B344449</paraID>
      <start>5</start>
      <end>6</end>
      <status>unmodified</status>
      <modifiedWord/>
      <trackRevisions>false</trackRevisions>
    </reviewItem>
    <reviewItem>
      <errorID>d759ba35-45ac-460e-a26c-42e9ac808096</errorID>
      <errorWord>(</errorWord>
      <group>L1_Format</group>
      <groupName>格式问题</groupName>
      <ability>L2_HalfPunc</ability>
      <abilityName>全半角检查</abilityName>
      <candidateList>
        <item>（</item>
      </candidateList>
      <explain>文本全半角错误。</explain>
      <paraID>309575BA</paraID>
      <start>0</start>
      <end>1</end>
      <status>unmodified</status>
      <modifiedWord/>
      <trackRevisions>false</trackRevisions>
    </reviewItem>
    <reviewItem>
      <errorID>5616ce87-4712-482f-bdfb-1b803e0d82ac</errorID>
      <errorWord>)</errorWord>
      <group>L1_Format</group>
      <groupName>格式问题</groupName>
      <ability>L2_HalfPunc</ability>
      <abilityName>全半角检查</abilityName>
      <candidateList>
        <item>）</item>
      </candidateList>
      <explain>文本全半角错误。</explain>
      <paraID>309575BA</paraID>
      <start>2</start>
      <end>3</end>
      <status>unmodified</status>
      <modifiedWord/>
      <trackRevisions>false</trackRevisions>
    </reviewItem>
    <reviewItem>
      <errorID>10307bbe-5b84-4a08-b86e-ce24422c2bbb</errorID>
      <errorWord>(</errorWord>
      <group>L1_Format</group>
      <groupName>格式问题</groupName>
      <ability>L2_HalfPunc</ability>
      <abilityName>全半角检查</abilityName>
      <candidateList>
        <item>（</item>
      </candidateList>
      <explain>文本全半角错误。</explain>
      <paraID>4E1668C8</paraID>
      <start>2</start>
      <end>3</end>
      <status>unmodified</status>
      <modifiedWord/>
      <trackRevisions>false</trackRevisions>
    </reviewItem>
    <reviewItem>
      <errorID>ffbc2e83-c2ef-45a9-a6fc-33a0f4e97b08</errorID>
      <errorWord>)</errorWord>
      <group>L1_Format</group>
      <groupName>格式问题</groupName>
      <ability>L2_HalfPunc</ability>
      <abilityName>全半角检查</abilityName>
      <candidateList>
        <item>）</item>
      </candidateList>
      <explain>文本全半角错误。</explain>
      <paraID>4E1668C8</paraID>
      <start>5</start>
      <end>6</end>
      <status>unmodified</status>
      <modifiedWord/>
      <trackRevisions>false</trackRevisions>
    </reviewItem>
    <reviewItem>
      <errorID>45690d82-3901-41aa-91ff-277ff7bde97f</errorID>
      <errorWord>，</errorWord>
      <group>L1_Format</group>
      <groupName>格式问题</groupName>
      <ability>L2_HalfPunc</ability>
      <abilityName>全半角检查</abilityName>
      <candidateList>
        <item>, </item>
      </candidateList>
      <explain>文本全半角错误。</explain>
      <paraID>432ED014</paraID>
      <start>6</start>
      <end>7</end>
      <status>unmodified</status>
      <modifiedWord/>
      <trackRevisions>false</trackRevisions>
    </reviewItem>
    <reviewItem>
      <errorID>d6f1ebd5-8f5f-4962-83d7-537948167c01</errorID>
      <errorWord>，</errorWord>
      <group>L1_Format</group>
      <groupName>格式问题</groupName>
      <ability>L2_HalfPunc</ability>
      <abilityName>全半角检查</abilityName>
      <candidateList>
        <item>, </item>
      </candidateList>
      <explain>文本全半角错误。</explain>
      <paraID>64342DD0</paraID>
      <start>5</start>
      <end>6</end>
      <status>unmodified</status>
      <modifiedWord/>
      <trackRevisions>false</trackRevisions>
    </reviewItem>
    <reviewItem>
      <errorID>01fda75c-e5cc-41c7-885c-96b95974e81f</errorID>
      <errorWord>，</errorWord>
      <group>L1_Format</group>
      <groupName>格式问题</groupName>
      <ability>L2_HalfPunc</ability>
      <abilityName>全半角检查</abilityName>
      <candidateList>
        <item>, </item>
      </candidateList>
      <explain>文本全半角错误。</explain>
      <paraID>23874FBA</paraID>
      <start>5</start>
      <end>6</end>
      <status>unmodified</status>
      <modifiedWord/>
      <trackRevisions>false</trackRevisions>
    </reviewItem>
    <reviewItem>
      <errorID>4e0a1cc9-1e25-4e45-b3e0-ef52e88693d7</errorID>
      <errorWord>(</errorWord>
      <group>L1_Format</group>
      <groupName>格式问题</groupName>
      <ability>L2_HalfPunc</ability>
      <abilityName>全半角检查</abilityName>
      <candidateList>
        <item>（</item>
      </candidateList>
      <explain>文本全半角错误。</explain>
      <paraID>22A11A7A</paraID>
      <start>0</start>
      <end>1</end>
      <status>unmodified</status>
      <modifiedWord/>
      <trackRevisions>false</trackRevisions>
    </reviewItem>
    <reviewItem>
      <errorID>b211b5d0-28b1-4e5b-9cb9-e7145133a06e</errorID>
      <errorWord>)</errorWord>
      <group>L1_Format</group>
      <groupName>格式问题</groupName>
      <ability>L2_HalfPunc</ability>
      <abilityName>全半角检查</abilityName>
      <candidateList>
        <item>）</item>
      </candidateList>
      <explain>文本全半角错误。</explain>
      <paraID>22A11A7A</paraID>
      <start>2</start>
      <end>3</end>
      <status>unmodified</status>
      <modifiedWord/>
      <trackRevisions>false</trackRevisions>
    </reviewItem>
    <reviewItem>
      <errorID>bcb01217-18c3-4685-8bdf-9be0302ff4fc</errorID>
      <errorWord>，</errorWord>
      <group>L1_Format</group>
      <groupName>格式问题</groupName>
      <ability>L2_HalfPunc</ability>
      <abilityName>全半角检查</abilityName>
      <candidateList>
        <item>, </item>
      </candidateList>
      <explain>文本全半角错误。</explain>
      <paraID>73399E5E</paraID>
      <start>6</start>
      <end>7</end>
      <status>unmodified</status>
      <modifiedWord/>
      <trackRevisions>false</trackRevisions>
    </reviewItem>
    <reviewItem>
      <errorID>3bbdd8a5-03ae-4dc9-ae89-d23da2b52894</errorID>
      <errorWord>，</errorWord>
      <group>L1_Format</group>
      <groupName>格式问题</groupName>
      <ability>L2_HalfPunc</ability>
      <abilityName>全半角检查</abilityName>
      <candidateList>
        <item>, </item>
      </candidateList>
      <explain>文本全半角错误。</explain>
      <paraID>3B087A63</paraID>
      <start>5</start>
      <end>6</end>
      <status>unmodified</status>
      <modifiedWord/>
      <trackRevisions>false</trackRevisions>
    </reviewItem>
    <reviewItem>
      <errorID>0dec2dcd-268d-4453-8600-273bb1cb04b2</errorID>
      <errorWord>，</errorWord>
      <group>L1_Format</group>
      <groupName>格式问题</groupName>
      <ability>L2_HalfPunc</ability>
      <abilityName>全半角检查</abilityName>
      <candidateList>
        <item>, </item>
      </candidateList>
      <explain>文本全半角错误。</explain>
      <paraID>6E3DC452</paraID>
      <start>5</start>
      <end>6</end>
      <status>unmodified</status>
      <modifiedWord/>
      <trackRevisions>false</trackRevisions>
    </reviewItem>
    <reviewItem>
      <errorID>251e2aad-61c5-4dfc-8e8e-a40aa4418bfc</errorID>
      <errorWord>，</errorWord>
      <group>L1_Format</group>
      <groupName>格式问题</groupName>
      <ability>L2_HalfPunc</ability>
      <abilityName>全半角检查</abilityName>
      <candidateList>
        <item>, </item>
      </candidateList>
      <explain>文本全半角错误。</explain>
      <paraID>72AAC470</paraID>
      <start>5</start>
      <end>6</end>
      <status>unmodified</status>
      <modifiedWord/>
      <trackRevisions>false</trackRevisions>
    </reviewItem>
    <reviewItem>
      <errorID>ef13b861-8c12-485a-b375-8894c0894c97</errorID>
      <errorWord>(</errorWord>
      <group>L1_Format</group>
      <groupName>格式问题</groupName>
      <ability>L2_HalfPunc</ability>
      <abilityName>全半角检查</abilityName>
      <candidateList>
        <item>（</item>
      </candidateList>
      <explain>文本全半角错误。</explain>
      <paraID>29D0A5DA</paraID>
      <start>0</start>
      <end>1</end>
      <status>unmodified</status>
      <modifiedWord/>
      <trackRevisions>false</trackRevisions>
    </reviewItem>
    <reviewItem>
      <errorID>2b8c9710-532a-4819-b35f-c9b61820e9dd</errorID>
      <errorWord>)</errorWord>
      <group>L1_Format</group>
      <groupName>格式问题</groupName>
      <ability>L2_HalfPunc</ability>
      <abilityName>全半角检查</abilityName>
      <candidateList>
        <item>）</item>
      </candidateList>
      <explain>文本全半角错误。</explain>
      <paraID>29D0A5DA</paraID>
      <start>2</start>
      <end>3</end>
      <status>unmodified</status>
      <modifiedWord/>
      <trackRevisions>false</trackRevisions>
    </reviewItem>
    <reviewItem>
      <errorID>20cdfc04-f3f1-4be0-9c5e-d5551f4d5633</errorID>
      <errorWord>(</errorWord>
      <group>L1_Format</group>
      <groupName>格式问题</groupName>
      <ability>L2_HalfPunc</ability>
      <abilityName>全半角检查</abilityName>
      <candidateList>
        <item>（</item>
      </candidateList>
      <explain>文本全半角错误。</explain>
      <paraID>7A8B704B</paraID>
      <start>6</start>
      <end>7</end>
      <status>unmodified</status>
      <modifiedWord/>
      <trackRevisions>false</trackRevisions>
    </reviewItem>
    <reviewItem>
      <errorID>256d382a-9b08-49e6-857f-2c7684001ec6</errorID>
      <errorWord>)</errorWord>
      <group>L1_Format</group>
      <groupName>格式问题</groupName>
      <ability>L2_HalfPunc</ability>
      <abilityName>全半角检查</abilityName>
      <candidateList>
        <item>）</item>
      </candidateList>
      <explain>文本全半角错误。</explain>
      <paraID>7A8B704B</paraID>
      <start>18</start>
      <end>19</end>
      <status>unmodified</status>
      <modifiedWord/>
      <trackRevisions>false</trackRevisions>
    </reviewItem>
    <reviewItem>
      <errorID>ed652fe3-f0a4-42f0-b169-311ff84d95fc</errorID>
      <errorWord>，</errorWord>
      <group>L1_Format</group>
      <groupName>格式问题</groupName>
      <ability>L2_HalfPunc</ability>
      <abilityName>全半角检查</abilityName>
      <candidateList>
        <item>, </item>
      </candidateList>
      <explain>文本全半角错误。</explain>
      <paraID>601B232C</paraID>
      <start>5</start>
      <end>6</end>
      <status>unmodified</status>
      <modifiedWord/>
      <trackRevisions>false</trackRevisions>
    </reviewItem>
    <reviewItem>
      <errorID>a8ed1459-6e3f-432d-ae15-69b97aa8487a</errorID>
      <errorWord>(</errorWord>
      <group>L1_Format</group>
      <groupName>格式问题</groupName>
      <ability>L2_HalfPunc</ability>
      <abilityName>全半角检查</abilityName>
      <candidateList>
        <item>（</item>
      </candidateList>
      <explain>文本全半角错误。</explain>
      <paraID>3877FB64</paraID>
      <start>0</start>
      <end>1</end>
      <status>unmodified</status>
      <modifiedWord/>
      <trackRevisions>false</trackRevisions>
    </reviewItem>
    <reviewItem>
      <errorID>c33692ac-322d-4213-9c0b-47436880693c</errorID>
      <errorWord>)</errorWord>
      <group>L1_Format</group>
      <groupName>格式问题</groupName>
      <ability>L2_HalfPunc</ability>
      <abilityName>全半角检查</abilityName>
      <candidateList>
        <item>）</item>
      </candidateList>
      <explain>文本全半角错误。</explain>
      <paraID>3877FB64</paraID>
      <start>2</start>
      <end>3</end>
      <status>unmodified</status>
      <modifiedWord/>
      <trackRevisions>false</trackRevisions>
    </reviewItem>
    <reviewItem>
      <errorID>22a2491f-0c9c-4a8c-9b13-da106ea97f9f</errorID>
      <errorWord>，</errorWord>
      <group>L1_Format</group>
      <groupName>格式问题</groupName>
      <ability>L2_HalfPunc</ability>
      <abilityName>全半角检查</abilityName>
      <candidateList>
        <item>, </item>
      </candidateList>
      <explain>文本全半角错误。</explain>
      <paraID>47E543F0</paraID>
      <start>5</start>
      <end>6</end>
      <status>unmodified</status>
      <modifiedWord/>
      <trackRevisions>false</trackRevisions>
    </reviewItem>
    <reviewItem>
      <errorID>dcd0c930-e9ea-4dde-aefb-099d83f6a539</errorID>
      <errorWord>(</errorWord>
      <group>L1_Format</group>
      <groupName>格式问题</groupName>
      <ability>L2_HalfPunc</ability>
      <abilityName>全半角检查</abilityName>
      <candidateList>
        <item>（</item>
      </candidateList>
      <explain>文本全半角错误。</explain>
      <paraID>39AC340D</paraID>
      <start>0</start>
      <end>1</end>
      <status>unmodified</status>
      <modifiedWord/>
      <trackRevisions>false</trackRevisions>
    </reviewItem>
    <reviewItem>
      <errorID>db4c48f8-3aff-49f1-900a-ce87138702ba</errorID>
      <errorWord>)</errorWord>
      <group>L1_Format</group>
      <groupName>格式问题</groupName>
      <ability>L2_HalfPunc</ability>
      <abilityName>全半角检查</abilityName>
      <candidateList>
        <item>）</item>
      </candidateList>
      <explain>文本全半角错误。</explain>
      <paraID>39AC340D</paraID>
      <start>2</start>
      <end>3</end>
      <status>unmodified</status>
      <modifiedWord/>
      <trackRevisions>false</trackRevisions>
    </reviewItem>
    <reviewItem>
      <errorID>15e6cc10-4a07-4666-9e51-aecd36cdde2f</errorID>
      <errorWord>，</errorWord>
      <group>L1_Format</group>
      <groupName>格式问题</groupName>
      <ability>L2_HalfPunc</ability>
      <abilityName>全半角检查</abilityName>
      <candidateList>
        <item>, </item>
      </candidateList>
      <explain>文本全半角错误。</explain>
      <paraID>7BCD8E6A</paraID>
      <start>5</start>
      <end>6</end>
      <status>unmodified</status>
      <modifiedWord/>
      <trackRevisions>false</trackRevisions>
    </reviewItem>
    <reviewItem>
      <errorID>a9060538-d2b9-46fd-b113-8995e64976a2</errorID>
      <errorWord>，</errorWord>
      <group>L1_Format</group>
      <groupName>格式问题</groupName>
      <ability>L2_HalfPunc</ability>
      <abilityName>全半角检查</abilityName>
      <candidateList>
        <item>, </item>
      </candidateList>
      <explain>文本全半角错误。</explain>
      <paraID>422C3E24</paraID>
      <start>4</start>
      <end>5</end>
      <status>unmodified</status>
      <modifiedWord/>
      <trackRevisions>false</trackRevisions>
    </reviewItem>
    <reviewItem>
      <errorID>6750216c-0880-4f0b-877a-47112eaa86a3</errorID>
      <errorWord>(</errorWord>
      <group>L1_Format</group>
      <groupName>格式问题</groupName>
      <ability>L2_HalfPunc</ability>
      <abilityName>全半角检查</abilityName>
      <candidateList>
        <item>（</item>
      </candidateList>
      <explain>文本全半角错误。</explain>
      <paraID>6F9ED0E2</paraID>
      <start>0</start>
      <end>1</end>
      <status>unmodified</status>
      <modifiedWord/>
      <trackRevisions>false</trackRevisions>
    </reviewItem>
    <reviewItem>
      <errorID>f80d0d53-f24c-4d94-9294-d4e1a2a333e1</errorID>
      <errorWord>)</errorWord>
      <group>L1_Format</group>
      <groupName>格式问题</groupName>
      <ability>L2_HalfPunc</ability>
      <abilityName>全半角检查</abilityName>
      <candidateList>
        <item>）</item>
      </candidateList>
      <explain>文本全半角错误。</explain>
      <paraID>6F9ED0E2</paraID>
      <start>2</start>
      <end>3</end>
      <status>unmodified</status>
      <modifiedWord/>
      <trackRevisions>false</trackRevisions>
    </reviewItem>
    <reviewItem>
      <errorID>76ca0054-4dc6-4614-9f19-ac159feb6369</errorID>
      <errorWord>，</errorWord>
      <group>L1_Format</group>
      <groupName>格式问题</groupName>
      <ability>L2_HalfPunc</ability>
      <abilityName>全半角检查</abilityName>
      <candidateList>
        <item>, </item>
      </candidateList>
      <explain>文本全半角错误。</explain>
      <paraID>6B14D3FA</paraID>
      <start>5</start>
      <end>6</end>
      <status>unmodified</status>
      <modifiedWord/>
      <trackRevisions>false</trackRevisions>
    </reviewItem>
    <reviewItem>
      <errorID>100a465f-43ac-4e41-94ad-794b7761ae2e</errorID>
      <errorWord>)</errorWord>
      <group>L1_Format</group>
      <groupName>格式问题</groupName>
      <ability>L2_HalfPunc</ability>
      <abilityName>全半角检查</abilityName>
      <candidateList>
        <item>）</item>
      </candidateList>
      <explain>文本全半角错误。</explain>
      <paraID>288255EC</paraID>
      <start>34</start>
      <end>35</end>
      <status>unmodified</status>
      <modifiedWord/>
      <trackRevisions>false</trackRevisions>
    </reviewItem>
    <reviewItem>
      <errorID>2493cd60-4cc0-4fb9-9793-c0a4294d08b9</errorID>
      <errorWord>)</errorWord>
      <group>L1_Format</group>
      <groupName>格式问题</groupName>
      <ability>L2_HalfPunc</ability>
      <abilityName>全半角检查</abilityName>
      <candidateList>
        <item>）</item>
      </candidateList>
      <explain>文本全半角错误。</explain>
      <paraID>288255EC</paraID>
      <start>56</start>
      <end>57</end>
      <status>unmodified</status>
      <modifiedWord/>
      <trackRevisions>false</trackRevisions>
    </reviewItem>
    <reviewItem>
      <errorID>9cffe180-40a3-4923-b2bd-1464f1e9749b</errorID>
      <errorWord>)</errorWord>
      <group>L1_Format</group>
      <groupName>格式问题</groupName>
      <ability>L2_HalfPunc</ability>
      <abilityName>全半角检查</abilityName>
      <candidateList>
        <item>）</item>
      </candidateList>
      <explain>文本全半角错误。</explain>
      <paraID>288255EC</paraID>
      <start>86</start>
      <end>87</end>
      <status>unmodified</status>
      <modifiedWord/>
      <trackRevisions>false</trackRevisions>
    </reviewItem>
    <reviewItem>
      <errorID>8f512708-227c-4699-89ec-614198214634</errorID>
      <errorWord>(</errorWord>
      <group>L1_Format</group>
      <groupName>格式问题</groupName>
      <ability>L2_HalfPunc</ability>
      <abilityName>全半角检查</abilityName>
      <candidateList>
        <item>（</item>
      </candidateList>
      <explain>文本全半角错误。</explain>
      <paraID>288255EC</paraID>
      <start>98</start>
      <end>99</end>
      <status>unmodified</status>
      <modifiedWord/>
      <trackRevisions>false</trackRevisions>
    </reviewItem>
    <reviewItem>
      <errorID>0d9c89de-5d65-4299-ac55-f1196349f94c</errorID>
      <errorWord>)</errorWord>
      <group>L1_Format</group>
      <groupName>格式问题</groupName>
      <ability>L2_HalfPunc</ability>
      <abilityName>全半角检查</abilityName>
      <candidateList>
        <item>）</item>
      </candidateList>
      <explain>文本全半角错误。</explain>
      <paraID>288255EC</paraID>
      <start>103</start>
      <end>104</end>
      <status>unmodified</status>
      <modifiedWord/>
      <trackRevisions>false</trackRevisions>
    </reviewItem>
    <reviewItem>
      <errorID>dd148bd8-b443-4974-8eb3-db4e8aa2b907</errorID>
      <errorWord>)</errorWord>
      <group>L1_Format</group>
      <groupName>格式问题</groupName>
      <ability>L2_HalfPunc</ability>
      <abilityName>全半角检查</abilityName>
      <candidateList>
        <item>）</item>
      </candidateList>
      <explain>文本全半角错误。</explain>
      <paraID>288255EC</paraID>
      <start>107</start>
      <end>108</end>
      <status>unmodified</status>
      <modifiedWord/>
      <trackRevisions>false</trackRevisions>
    </reviewItem>
    <reviewItem>
      <errorID>23b79d2b-fa67-4acf-a1f4-8562dd07fc07</errorID>
      <errorWord>)</errorWord>
      <group>L1_Format</group>
      <groupName>格式问题</groupName>
      <ability>L2_HalfPunc</ability>
      <abilityName>全半角检查</abilityName>
      <candidateList>
        <item>）</item>
      </candidateList>
      <explain>文本全半角错误。</explain>
      <paraID>288255EC</paraID>
      <start>122</start>
      <end>123</end>
      <status>unmodified</status>
      <modifiedWord/>
      <trackRevisions>false</trackRevisions>
    </reviewItem>
    <reviewItem>
      <errorID>f5dfa764-45f2-459a-8e44-33c28a0dcc18</errorID>
      <errorWord>(</errorWord>
      <group>L1_Format</group>
      <groupName>格式问题</groupName>
      <ability>L2_HalfPunc</ability>
      <abilityName>全半角检查</abilityName>
      <candidateList>
        <item>（</item>
      </candidateList>
      <explain>文本全半角错误。</explain>
      <paraID>2A0C0EF8</paraID>
      <start>5</start>
      <end>6</end>
      <status>unmodified</status>
      <modifiedWord/>
      <trackRevisions>false</trackRevisions>
    </reviewItem>
    <reviewItem>
      <errorID>902025fa-a133-4420-a9bb-dcae3fcd2696</errorID>
      <errorWord>)</errorWord>
      <group>L1_Format</group>
      <groupName>格式问题</groupName>
      <ability>L2_HalfPunc</ability>
      <abilityName>全半角检查</abilityName>
      <candidateList>
        <item>）</item>
      </candidateList>
      <explain>文本全半角错误。</explain>
      <paraID>2A0C0EF8</paraID>
      <start>9</start>
      <end>10</end>
      <status>unmodified</status>
      <modifiedWord/>
      <trackRevisions>false</trackRevisions>
    </reviewItem>
    <reviewItem>
      <errorID>4de33261-7118-4f86-aace-d23e3f760d66</errorID>
      <errorWord>)</errorWord>
      <group>L1_Format</group>
      <groupName>格式问题</groupName>
      <ability>L2_HalfPunc</ability>
      <abilityName>全半角检查</abilityName>
      <candidateList>
        <item>）</item>
      </candidateList>
      <explain>文本全半角错误。</explain>
      <paraID>2C9E16DD</paraID>
      <start>25</start>
      <end>26</end>
      <status>unmodified</status>
      <modifiedWord/>
      <trackRevisions>false</trackRevisions>
    </reviewItem>
    <reviewItem>
      <errorID>eead14d5-8a6c-42fb-8deb-75030bdc2037</errorID>
      <errorWord>)</errorWord>
      <group>L1_Format</group>
      <groupName>格式问题</groupName>
      <ability>L2_HalfPunc</ability>
      <abilityName>全半角检查</abilityName>
      <candidateList>
        <item>）</item>
      </candidateList>
      <explain>文本全半角错误。</explain>
      <paraID>2C9E16DD</paraID>
      <start>38</start>
      <end>39</end>
      <status>unmodified</status>
      <modifiedWord/>
      <trackRevisions>false</trackRevisions>
    </reviewItem>
    <reviewItem>
      <errorID>d5aca4e5-f3c5-426f-93a1-981ffb164883</errorID>
      <errorWord>)</errorWord>
      <group>L1_Format</group>
      <groupName>格式问题</groupName>
      <ability>L2_HalfPunc</ability>
      <abilityName>全半角检查</abilityName>
      <candidateList>
        <item>）</item>
      </candidateList>
      <explain>文本全半角错误。</explain>
      <paraID>2C9E16DD</paraID>
      <start>58</start>
      <end>59</end>
      <status>unmodified</status>
      <modifiedWord/>
      <trackRevisions>false</trackRevisions>
    </reviewItem>
    <reviewItem>
      <errorID>51474def-40bd-4fc8-a7d9-092ee54121ea</errorID>
      <errorWord>)</errorWord>
      <group>L1_Format</group>
      <groupName>格式问题</groupName>
      <ability>L2_HalfPunc</ability>
      <abilityName>全半角检查</abilityName>
      <candidateList>
        <item>）</item>
      </candidateList>
      <explain>文本全半角错误。</explain>
      <paraID>2C9E16DD</paraID>
      <start>72</start>
      <end>73</end>
      <status>unmodified</status>
      <modifiedWord/>
      <trackRevisions>false</trackRevisions>
    </reviewItem>
    <reviewItem>
      <errorID>d5224474-1950-4641-9a26-107acbf3cd8f</errorID>
      <errorWord>)</errorWord>
      <group>L1_Format</group>
      <groupName>格式问题</groupName>
      <ability>L2_HalfPunc</ability>
      <abilityName>全半角检查</abilityName>
      <candidateList>
        <item>）</item>
      </candidateList>
      <explain>文本全半角错误。</explain>
      <paraID>2C9E16DD</paraID>
      <start>91</start>
      <end>92</end>
      <status>unmodified</status>
      <modifiedWord/>
      <trackRevisions>false</trackRevisions>
    </reviewItem>
    <reviewItem>
      <errorID>0916a7a4-9430-474d-8cb5-c51813d1716d</errorID>
      <errorWord>噪音</errorWord>
      <group>L1_Word</group>
      <groupName>字词问题</groupName>
      <ability>L2_Alias</ability>
      <abilityName>也作/曾用词</abilityName>
      <candidateList>
        <item>噪声</item>
      </candidateList>
      <explain>词汇[噪音]为不规范表述或旧称，其规范书面表述为[噪声]。</explain>
      <paraID>53483756</paraID>
      <start>0</start>
      <end>2</end>
      <status>unmodified</status>
      <modifiedWord/>
      <trackRevisions>false</trackRevisions>
    </reviewItem>
    <reviewItem>
      <errorID>bb38ad73-0f08-4fab-a924-39b57e220baa</errorID>
      <errorWord>噪音</errorWord>
      <group>L1_Word</group>
      <groupName>字词问题</groupName>
      <ability>L2_Alias</ability>
      <abilityName>也作/曾用词</abilityName>
      <candidateList>
        <item>噪声</item>
      </candidateList>
      <explain>词汇[噪音]为不规范表述或旧称，其规范书面表述为[噪声]。</explain>
      <paraID> 54978E4</paraID>
      <start>4</start>
      <end>6</end>
      <status>unmodified</status>
      <modifiedWord/>
      <trackRevisions>false</trackRevisions>
    </reviewItem>
    <reviewItem>
      <errorID>4fdac153-9513-4614-8662-138f72f12097</errorID>
      <errorWord>噪音</errorWord>
      <group>L1_Word</group>
      <groupName>字词问题</groupName>
      <ability>L2_Alias</ability>
      <abilityName>也作/曾用词</abilityName>
      <candidateList>
        <item>噪声</item>
      </candidateList>
      <explain>词汇[噪音]为不规范表述或旧称，其规范书面表述为[噪声]。</explain>
      <paraID> 54978E4</paraID>
      <start>9</start>
      <end>11</end>
      <status>unmodified</status>
      <modifiedWord/>
      <trackRevisions>false</trackRevisions>
    </reviewItem>
    <reviewItem>
      <errorID>5d92821c-58d5-48cb-949a-15ba2fecda38</errorID>
      <errorWord>)</errorWord>
      <group>L1_Format</group>
      <groupName>格式问题</groupName>
      <ability>L2_HalfPunc</ability>
      <abilityName>全半角检查</abilityName>
      <candidateList>
        <item>）</item>
      </candidateList>
      <explain>文本全半角错误。</explain>
      <paraID> 54978E4</paraID>
      <start>24</start>
      <end>25</end>
      <status>unmodified</status>
      <modifiedWord/>
      <trackRevisions>false</trackRevisions>
    </reviewItem>
    <reviewItem>
      <errorID>2ffdfc71-11af-492c-a952-2577a73b8850</errorID>
      <errorWord>)</errorWord>
      <group>L1_Format</group>
      <groupName>格式问题</groupName>
      <ability>L2_HalfPunc</ability>
      <abilityName>全半角检查</abilityName>
      <candidateList>
        <item>）</item>
      </candidateList>
      <explain>文本全半角错误。</explain>
      <paraID> 54978E4</paraID>
      <start>40</start>
      <end>41</end>
      <status>unmodified</status>
      <modifiedWord/>
      <trackRevisions>false</trackRevisions>
    </reviewItem>
    <reviewItem>
      <errorID>e42800ca-8fa7-4197-b1d2-5b122397a121</errorID>
      <errorWord>)</errorWord>
      <group>L1_Format</group>
      <groupName>格式问题</groupName>
      <ability>L2_HalfPunc</ability>
      <abilityName>全半角检查</abilityName>
      <candidateList>
        <item>）</item>
      </candidateList>
      <explain>文本全半角错误。</explain>
      <paraID> 54978E4</paraID>
      <start>58</start>
      <end>59</end>
      <status>unmodified</status>
      <modifiedWord/>
      <trackRevisions>false</trackRevisions>
    </reviewItem>
    <reviewItem>
      <errorID>77de409d-9054-4163-9a5e-1ecfd9ec5a56</errorID>
      <errorWord>)</errorWord>
      <group>L1_Format</group>
      <groupName>格式问题</groupName>
      <ability>L2_HalfPunc</ability>
      <abilityName>全半角检查</abilityName>
      <candidateList>
        <item>）</item>
      </candidateList>
      <explain>文本全半角错误。</explain>
      <paraID> 54978E4</paraID>
      <start>75</start>
      <end>76</end>
      <status>unmodified</status>
      <modifiedWord/>
      <trackRevisions>false</trackRevisions>
    </reviewItem>
    <reviewItem>
      <errorID>fd5ddd8f-2883-49db-a157-46375e4ff740</errorID>
      <errorWord>)</errorWord>
      <group>L1_Format</group>
      <groupName>格式问题</groupName>
      <ability>L2_HalfPunc</ability>
      <abilityName>全半角检查</abilityName>
      <candidateList>
        <item>）</item>
      </candidateList>
      <explain>文本全半角错误。</explain>
      <paraID> 54978E4</paraID>
      <start>89</start>
      <end>90</end>
      <status>unmodified</status>
      <modifiedWord/>
      <trackRevisions>false</trackRevisions>
    </reviewItem>
    <reviewItem>
      <errorID>20805ed6-ea9a-4cbe-8fab-5a66bb460cf4</errorID>
      <errorWord>)</errorWord>
      <group>L1_Format</group>
      <groupName>格式问题</groupName>
      <ability>L2_HalfPunc</ability>
      <abilityName>全半角检查</abilityName>
      <candidateList>
        <item>）</item>
      </candidateList>
      <explain>文本全半角错误。</explain>
      <paraID> 54978E4</paraID>
      <start>104</start>
      <end>105</end>
      <status>unmodified</status>
      <modifiedWord/>
      <trackRevisions>false</trackRevisions>
    </reviewItem>
    <reviewItem>
      <errorID>d1078d4d-16ed-4bd9-b659-b83651e53ab9</errorID>
      <errorWord>)</errorWord>
      <group>L1_Format</group>
      <groupName>格式问题</groupName>
      <ability>L2_HalfPunc</ability>
      <abilityName>全半角检查</abilityName>
      <candidateList>
        <item>）</item>
      </candidateList>
      <explain>文本全半角错误。</explain>
      <paraID> 54978E4</paraID>
      <start>119</start>
      <end>120</end>
      <status>unmodified</status>
      <modifiedWord/>
      <trackRevisions>false</trackRevisions>
    </reviewItem>
    <reviewItem>
      <errorID>2ae9c191-485a-43d7-b0bb-3549176bc197</errorID>
      <errorWord>(</errorWord>
      <group>L1_Format</group>
      <groupName>格式问题</groupName>
      <ability>L2_HalfPunc</ability>
      <abilityName>全半角检查</abilityName>
      <candidateList>
        <item>（</item>
      </candidateList>
      <explain>文本全半角错误。</explain>
      <paraID>51DBDEE1</paraID>
      <start>43</start>
      <end>44</end>
      <status>unmodified</status>
      <modifiedWord/>
      <trackRevisions>false</trackRevisions>
    </reviewItem>
    <reviewItem>
      <errorID>79adbfaa-93e1-4d2e-8874-f5dd78770329</errorID>
      <errorWord>)</errorWord>
      <group>L1_Format</group>
      <groupName>格式问题</groupName>
      <ability>L2_HalfPunc</ability>
      <abilityName>全半角检查</abilityName>
      <candidateList>
        <item>）</item>
      </candidateList>
      <explain>文本全半角错误。</explain>
      <paraID>51DBDEE1</paraID>
      <start>53</start>
      <end>54</end>
      <status>unmodified</status>
      <modifiedWord/>
      <trackRevisions>false</trackRevisions>
    </reviewItem>
    <reviewItem>
      <errorID>a7c618ed-6f9c-4f67-a05d-16459149ed4e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51AF1EA3</paraID>
      <start>43</start>
      <end>44</end>
      <status>unmodified</status>
      <modifiedWord/>
      <trackRevisions>false</trackRevisions>
    </reviewItem>
    <reviewItem>
      <errorID>7d79c819-8fd3-4133-aa77-511d6d76f60e</errorID>
      <errorWord>(</errorWord>
      <group>L1_Format</group>
      <groupName>格式问题</groupName>
      <ability>L2_HalfPunc</ability>
      <abilityName>全半角检查</abilityName>
      <candidateList>
        <item>（</item>
      </candidateList>
      <explain>文本全半角错误。</explain>
      <paraID>51AF1EA3</paraID>
      <start>97</start>
      <end>98</end>
      <status>unmodified</status>
      <modifiedWord/>
      <trackRevisions>false</trackRevisions>
    </reviewItem>
    <reviewItem>
      <errorID>6cbd2b63-862c-418b-9fad-03e530bfbbd9</errorID>
      <errorWord>)</errorWord>
      <group>L1_Format</group>
      <groupName>格式问题</groupName>
      <ability>L2_HalfPunc</ability>
      <abilityName>全半角检查</abilityName>
      <candidateList>
        <item>）</item>
      </candidateList>
      <explain>文本全半角错误。</explain>
      <paraID>51AF1EA3</paraID>
      <start>100</start>
      <end>101</end>
      <status>unmodified</status>
      <modifiedWord/>
      <trackRevisions>false</trackRevisions>
    </reviewItem>
    <reviewItem>
      <errorID>6a1a023c-7b53-4ace-ac85-2b031a6ddca8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793F68DD</paraID>
      <start>8</start>
      <end>9</end>
      <status>unmodified</status>
      <modifiedWord/>
      <trackRevisions>false</trackRevisions>
    </reviewItem>
    <reviewItem>
      <errorID>03be5bbc-88b9-4aff-ae81-f3b212828038</errorID>
      <errorWord>个</errorWord>
      <group>L1_Knowledge</group>
      <groupName>知识性问题</groupName>
      <ability>L2_Knowledge</ability>
      <abilityName>其他知识</abilityName>
      <candidateList>
        <item>眼</item>
      </candidateList>
      <explain/>
      <paraID> 1B9EF66</paraID>
      <start>71</start>
      <end>72</end>
      <status>unmodified</status>
      <modifiedWord/>
      <trackRevisions>false</trackRevisions>
    </reviewItem>
    <reviewItem>
      <errorID>90062b56-c6e8-4f94-80c5-401d31068abd</errorID>
      <errorWord>)</errorWord>
      <group>L1_Format</group>
      <groupName>格式问题</groupName>
      <ability>L2_HalfPunc</ability>
      <abilityName>全半角检查</abilityName>
      <candidateList>
        <item>）</item>
      </candidateList>
      <explain>文本全半角错误。</explain>
      <paraID>4E73319C</paraID>
      <start>28</start>
      <end>29</end>
      <status>unmodified</status>
      <modifiedWord/>
      <trackRevisions>false</trackRevisions>
    </reviewItem>
    <reviewItem>
      <errorID>825063ab-c12b-41f6-8ed6-7ab92c9277ea</errorID>
      <errorWord>)</errorWord>
      <group>L1_Format</group>
      <groupName>格式问题</groupName>
      <ability>L2_HalfPunc</ability>
      <abilityName>全半角检查</abilityName>
      <candidateList>
        <item>）</item>
      </candidateList>
      <explain>文本全半角错误。</explain>
      <paraID>4E73319C</paraID>
      <start>45</start>
      <end>46</end>
      <status>unmodified</status>
      <modifiedWord/>
      <trackRevisions>false</trackRevisions>
    </reviewItem>
    <reviewItem>
      <errorID>ad89b3cf-f304-4cad-b90d-12e7efc2862b</errorID>
      <errorWord>)</errorWord>
      <group>L1_Format</group>
      <groupName>格式问题</groupName>
      <ability>L2_HalfPunc</ability>
      <abilityName>全半角检查</abilityName>
      <candidateList>
        <item>）</item>
      </candidateList>
      <explain>文本全半角错误。</explain>
      <paraID>4E73319C</paraID>
      <start>71</start>
      <end>72</end>
      <status>unmodified</status>
      <modifiedWord/>
      <trackRevisions>false</trackRevisions>
    </reviewItem>
    <reviewItem>
      <errorID>29e9e8f0-507e-4180-bce3-bd23d09bfbb9</errorID>
      <errorWord>(</errorWord>
      <group>L1_Format</group>
      <groupName>格式问题</groupName>
      <ability>L2_HalfPunc</ability>
      <abilityName>全半角检查</abilityName>
      <candidateList>
        <item>（</item>
      </candidateList>
      <explain>文本全半角错误。</explain>
      <paraID>4E73319C</paraID>
      <start>86</start>
      <end>87</end>
      <status>unmodified</status>
      <modifiedWord/>
      <trackRevisions>false</trackRevisions>
    </reviewItem>
    <reviewItem>
      <errorID>ad3a4f8f-43f5-4071-a9eb-a7df00d74b8e</errorID>
      <errorWord>)</errorWord>
      <group>L1_Format</group>
      <groupName>格式问题</groupName>
      <ability>L2_HalfPunc</ability>
      <abilityName>全半角检查</abilityName>
      <candidateList>
        <item>）</item>
      </candidateList>
      <explain>文本全半角错误。</explain>
      <paraID>4E73319C</paraID>
      <start>96</start>
      <end>97</end>
      <status>unmodified</status>
      <modifiedWord/>
      <trackRevisions>false</trackRevisions>
    </reviewItem>
    <reviewItem>
      <errorID>577c878d-f48c-41e1-82ec-bc99f6a63942</errorID>
      <errorWord>)</errorWord>
      <group>L1_Format</group>
      <groupName>格式问题</groupName>
      <ability>L2_HalfPunc</ability>
      <abilityName>全半角检查</abilityName>
      <candidateList>
        <item>）</item>
      </candidateList>
      <explain>文本全半角错误。</explain>
      <paraID>4E73319C</paraID>
      <start>114</start>
      <end>115</end>
      <status>unmodified</status>
      <modifiedWord/>
      <trackRevisions>false</trackRevisions>
    </reviewItem>
    <reviewItem>
      <errorID>7ff0ed90-2e12-46d5-9f24-4dc8f0ee5e3d</errorID>
      <errorWord>)</errorWord>
      <group>L1_Format</group>
      <groupName>格式问题</groupName>
      <ability>L2_HalfPunc</ability>
      <abilityName>全半角检查</abilityName>
      <candidateList>
        <item>）</item>
      </candidateList>
      <explain>文本全半角错误。</explain>
      <paraID>4E73319C</paraID>
      <start>127</start>
      <end>128</end>
      <status>unmodified</status>
      <modifiedWord/>
      <trackRevisions>false</trackRevisions>
    </reviewItem>
    <reviewItem>
      <errorID>5748cd73-175f-4325-92a6-73a3a5e11f99</errorID>
      <errorWord>)</errorWord>
      <group>L1_Format</group>
      <groupName>格式问题</groupName>
      <ability>L2_HalfPunc</ability>
      <abilityName>全半角检查</abilityName>
      <candidateList>
        <item>）</item>
      </candidateList>
      <explain>文本全半角错误。</explain>
      <paraID>4E73319C</paraID>
      <start>140</start>
      <end>141</end>
      <status>unmodified</status>
      <modifiedWord/>
      <trackRevisions>false</trackRevisions>
    </reviewItem>
    <reviewItem>
      <errorID>52658633-1d6b-4215-b9c9-e52c3e9d3315</errorID>
      <errorWord>)</errorWord>
      <group>L1_Format</group>
      <groupName>格式问题</groupName>
      <ability>L2_HalfPunc</ability>
      <abilityName>全半角检查</abilityName>
      <candidateList>
        <item>）</item>
      </candidateList>
      <explain>文本全半角错误。</explain>
      <paraID>4E73319C</paraID>
      <start>155</start>
      <end>156</end>
      <status>unmodified</status>
      <modifiedWord/>
      <trackRevisions>false</trackRevisions>
    </reviewItem>
    <reviewItem>
      <errorID>a2520f9a-ee09-4355-abb8-cef2e5308c32</errorID>
      <errorWord>)</errorWord>
      <group>L1_Format</group>
      <groupName>格式问题</groupName>
      <ability>L2_HalfPunc</ability>
      <abilityName>全半角检查</abilityName>
      <candidateList>
        <item>）</item>
      </candidateList>
      <explain>文本全半角错误。</explain>
      <paraID>4E73319C</paraID>
      <start>172</start>
      <end>173</end>
      <status>unmodified</status>
      <modifiedWord/>
      <trackRevisions>false</trackRevisions>
    </reviewItem>
    <reviewItem>
      <errorID>3fec40b6-058c-47b0-afb3-60b7a8c84de7</errorID>
      <errorWord>)</errorWord>
      <group>L1_Format</group>
      <groupName>格式问题</groupName>
      <ability>L2_HalfPunc</ability>
      <abilityName>全半角检查</abilityName>
      <candidateList>
        <item>）</item>
      </candidateList>
      <explain>文本全半角错误。</explain>
      <paraID>4E73319C</paraID>
      <start>189</start>
      <end>190</end>
      <status>unmodified</status>
      <modifiedWord/>
      <trackRevisions>false</trackRevisions>
    </reviewItem>
    <reviewItem>
      <errorID>243964a2-a72a-4333-bc47-63714cfaef5d</errorID>
      <errorWord>)</errorWord>
      <group>L1_Format</group>
      <groupName>格式问题</groupName>
      <ability>L2_HalfPunc</ability>
      <abilityName>全半角检查</abilityName>
      <candidateList>
        <item>）</item>
      </candidateList>
      <explain>文本全半角错误。</explain>
      <paraID>4E73319C</paraID>
      <start>212</start>
      <end>213</end>
      <status>unmodified</status>
      <modifiedWord/>
      <trackRevisions>false</trackRevisions>
    </reviewItem>
    <reviewItem>
      <errorID>cdb21ce8-75ed-43db-b32d-cfcab52db0b4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4E73319C</paraID>
      <start>226</start>
      <end>227</end>
      <status>unmodified</status>
      <modifiedWord/>
      <trackRevisions>false</trackRevisions>
    </reviewItem>
    <reviewItem>
      <errorID>8dd8b9c4-b065-48e7-bed3-bc3120aff7f8</errorID>
      <errorWord>)</errorWord>
      <group>L1_Format</group>
      <groupName>格式问题</groupName>
      <ability>L2_HalfPunc</ability>
      <abilityName>全半角检查</abilityName>
      <candidateList>
        <item>）</item>
      </candidateList>
      <explain>文本全半角错误。</explain>
      <paraID>4E73319C</paraID>
      <start>233</start>
      <end>234</end>
      <status>unmodified</status>
      <modifiedWord/>
      <trackRevisions>false</trackRevisions>
    </reviewItem>
    <reviewItem>
      <errorID>6800ed0f-8e4b-4153-8e92-f1c71d89dcde</errorID>
      <errorWord>)</errorWord>
      <group>L1_Format</group>
      <groupName>格式问题</groupName>
      <ability>L2_HalfPunc</ability>
      <abilityName>全半角检查</abilityName>
      <candidateList>
        <item>）</item>
      </candidateList>
      <explain>文本全半角错误。</explain>
      <paraID>29E059C3</paraID>
      <start>20</start>
      <end>21</end>
      <status>unmodified</status>
      <modifiedWord/>
      <trackRevisions>false</trackRevisions>
    </reviewItem>
    <reviewItem>
      <errorID>b7217e7a-612e-41e4-8a7b-b5ee4a2cb045</errorID>
      <errorWord>(</errorWord>
      <group>L1_Format</group>
      <groupName>格式问题</groupName>
      <ability>L2_HalfPunc</ability>
      <abilityName>全半角检查</abilityName>
      <candidateList>
        <item>（</item>
      </candidateList>
      <explain>文本全半角错误。</explain>
      <paraID>29E059C3</paraID>
      <start>29</start>
      <end>30</end>
      <status>unmodified</status>
      <modifiedWord/>
      <trackRevisions>false</trackRevisions>
    </reviewItem>
    <reviewItem>
      <errorID>003b04ba-bf92-4e3f-9d3d-5d06db6ee3f6</errorID>
      <errorWord>)</errorWord>
      <group>L1_Format</group>
      <groupName>格式问题</groupName>
      <ability>L2_HalfPunc</ability>
      <abilityName>全半角检查</abilityName>
      <candidateList>
        <item>）</item>
      </candidateList>
      <explain>文本全半角错误。</explain>
      <paraID>29E059C3</paraID>
      <start>42</start>
      <end>43</end>
      <status>unmodified</status>
      <modifiedWord/>
      <trackRevisions>false</trackRevisions>
    </reviewItem>
    <reviewItem>
      <errorID>68ceb850-d72f-4e78-8bcc-bf6e03c4b9b9</errorID>
      <errorWord>)</errorWord>
      <group>L1_Format</group>
      <groupName>格式问题</groupName>
      <ability>L2_HalfPunc</ability>
      <abilityName>全半角检查</abilityName>
      <candidateList>
        <item>）</item>
      </candidateList>
      <explain>文本全半角错误。</explain>
      <paraID>29E059C3</paraID>
      <start>45</start>
      <end>46</end>
      <status>unmodified</status>
      <modifiedWord/>
      <trackRevisions>false</trackRevisions>
    </reviewItem>
    <reviewItem>
      <errorID>4b8f2652-7045-4b6b-bca3-8eb6ac904588</errorID>
      <errorWord>)</errorWord>
      <group>L1_Format</group>
      <groupName>格式问题</groupName>
      <ability>L2_HalfPunc</ability>
      <abilityName>全半角检查</abilityName>
      <candidateList>
        <item>）</item>
      </candidateList>
      <explain>文本全半角错误。</explain>
      <paraID>29E059C3</paraID>
      <start>57</start>
      <end>58</end>
      <status>unmodified</status>
      <modifiedWord/>
      <trackRevisions>false</trackRevisions>
    </reviewItem>
    <reviewItem>
      <errorID>aac1e5c0-000d-42ab-8d68-df106455f8a7</errorID>
      <errorWord>)</errorWord>
      <group>L1_Format</group>
      <groupName>格式问题</groupName>
      <ability>L2_HalfPunc</ability>
      <abilityName>全半角检查</abilityName>
      <candidateList>
        <item>）</item>
      </candidateList>
      <explain>文本全半角错误。</explain>
      <paraID>29E059C3</paraID>
      <start>78</start>
      <end>79</end>
      <status>unmodified</status>
      <modifiedWord/>
      <trackRevisions>false</trackRevisions>
    </reviewItem>
    <reviewItem>
      <errorID>8ddab0ab-805c-4bad-832a-f55218c17774</errorID>
      <errorWord>)</errorWord>
      <group>L1_Format</group>
      <groupName>格式问题</groupName>
      <ability>L2_HalfPunc</ability>
      <abilityName>全半角检查</abilityName>
      <candidateList>
        <item>）</item>
      </candidateList>
      <explain>文本全半角错误。</explain>
      <paraID>29E059C3</paraID>
      <start>103</start>
      <end>104</end>
      <status>unmodified</status>
      <modifiedWord/>
      <trackRevisions>false</trackRevisions>
    </reviewItem>
    <reviewItem>
      <errorID>38859fba-8e66-4cea-8417-62953a5bc3eb</errorID>
      <errorWord>)</errorWord>
      <group>L1_Format</group>
      <groupName>格式问题</groupName>
      <ability>L2_HalfPunc</ability>
      <abilityName>全半角检查</abilityName>
      <candidateList>
        <item>）</item>
      </candidateList>
      <explain>文本全半角错误。</explain>
      <paraID>29E059C3</paraID>
      <start>126</start>
      <end>127</end>
      <status>unmodified</status>
      <modifiedWord/>
      <trackRevisions>false</trackRevisions>
    </reviewItem>
    <reviewItem>
      <errorID>6b590b6f-976b-4254-aca6-31d20ef6ad94</errorID>
      <errorWord>)</errorWord>
      <group>L1_Format</group>
      <groupName>格式问题</groupName>
      <ability>L2_HalfPunc</ability>
      <abilityName>全半角检查</abilityName>
      <candidateList>
        <item>）</item>
      </candidateList>
      <explain>文本全半角错误。</explain>
      <paraID>29E059C3</paraID>
      <start>169</start>
      <end>170</end>
      <status>unmodified</status>
      <modifiedWord/>
      <trackRevisions>false</trackRevisions>
    </reviewItem>
    <reviewItem>
      <errorID>a28d9faf-47b6-44d2-8f03-45bb3a1252a7</errorID>
      <errorWord>)</errorWord>
      <group>L1_Format</group>
      <groupName>格式问题</groupName>
      <ability>L2_HalfPunc</ability>
      <abilityName>全半角检查</abilityName>
      <candidateList>
        <item>）</item>
      </candidateList>
      <explain>文本全半角错误。</explain>
      <paraID>29E059C3</paraID>
      <start>187</start>
      <end>188</end>
      <status>unmodified</status>
      <modifiedWord/>
      <trackRevisions>false</trackRevisions>
    </reviewItem>
    <reviewItem>
      <errorID>37d6eadd-7e1d-4953-8b2e-163cb047cd04</errorID>
      <errorWord>~</errorWord>
      <group>L1_Format</group>
      <groupName>格式问题</groupName>
      <ability>L2_HalfPunc</ability>
      <abilityName>全半角检查</abilityName>
      <candidateList>
        <item>～</item>
      </candidateList>
      <explain>文本全半角错误。</explain>
      <paraID>29E059C3</paraID>
      <start>194</start>
      <end>195</end>
      <status>unmodified</status>
      <modifiedWord/>
      <trackRevisions>false</trackRevisions>
    </reviewItem>
    <reviewItem>
      <errorID>c1960ee5-fd00-4083-b1c4-f5e1b307a698</errorID>
      <errorWord>个</errorWord>
      <group>L1_Knowledge</group>
      <groupName>知识性问题</groupName>
      <ability>L2_Knowledge</ability>
      <abilityName>其他知识</abilityName>
      <candidateList>
        <item>眼</item>
      </candidateList>
      <explain/>
      <paraID>363672D1</paraID>
      <start>32</start>
      <end>33</end>
      <status>unmodified</status>
      <modifiedWord/>
      <trackRevisions>false</trackRevisions>
    </reviewItem>
    <reviewItem>
      <errorID>4b61f07c-47cb-4b93-9e9e-a53bb15fae80</errorID>
      <errorWord>，</errorWord>
      <group>L1_Format</group>
      <groupName>格式问题</groupName>
      <ability>L2_HalfPunc</ability>
      <abilityName>全半角检查</abilityName>
      <candidateList>
        <item>, </item>
      </candidateList>
      <explain>文本全半角错误。</explain>
      <paraID>542F7AEC</paraID>
      <start>5</start>
      <end>6</end>
      <status>unmodified</status>
      <modifiedWord/>
      <trackRevisions>false</trackRevisions>
    </reviewItem>
    <reviewItem>
      <errorID>9d9a50db-aafe-488f-9746-110ec0350277</errorID>
      <errorWord>，</errorWord>
      <group>L1_Format</group>
      <groupName>格式问题</groupName>
      <ability>L2_HalfPunc</ability>
      <abilityName>全半角检查</abilityName>
      <candidateList>
        <item>, </item>
      </candidateList>
      <explain>文本全半角错误。</explain>
      <paraID>6572B07C</paraID>
      <start>3</start>
      <end>4</end>
      <status>unmodified</status>
      <modifiedWord/>
      <trackRevisions>false</trackRevisions>
    </reviewItem>
    <reviewItem>
      <errorID>b0190365-b16d-418b-9335-64e5b2707cd3</errorID>
      <errorWord>(</errorWord>
      <group>L1_Format</group>
      <groupName>格式问题</groupName>
      <ability>L2_HalfPunc</ability>
      <abilityName>全半角检查</abilityName>
      <candidateList>
        <item>（</item>
      </candidateList>
      <explain>文本全半角错误。</explain>
      <paraID>4F16B344</paraID>
      <start>0</start>
      <end>1</end>
      <status>unmodified</status>
      <modifiedWord/>
      <trackRevisions>false</trackRevisions>
    </reviewItem>
    <reviewItem>
      <errorID>2533dcb4-b0b7-4387-a2b9-a2845f9c1c89</errorID>
      <errorWord>)</errorWord>
      <group>L1_Format</group>
      <groupName>格式问题</groupName>
      <ability>L2_HalfPunc</ability>
      <abilityName>全半角检查</abilityName>
      <candidateList>
        <item>）</item>
      </candidateList>
      <explain>文本全半角错误。</explain>
      <paraID>4F16B344</paraID>
      <start>2</start>
      <end>3</end>
      <status>unmodified</status>
      <modifiedWord/>
      <trackRevisions>false</trackRevisions>
    </reviewItem>
    <reviewItem>
      <errorID>8da56980-a0b8-41d7-853d-680f91f52a24</errorID>
      <errorWord>(</errorWord>
      <group>L1_Format</group>
      <groupName>格式问题</groupName>
      <ability>L2_HalfPunc</ability>
      <abilityName>全半角检查</abilityName>
      <candidateList>
        <item>（</item>
      </candidateList>
      <explain>文本全半角错误。</explain>
      <paraID>16C3E646</paraID>
      <start>0</start>
      <end>1</end>
      <status>unmodified</status>
      <modifiedWord/>
      <trackRevisions>false</trackRevisions>
    </reviewItem>
    <reviewItem>
      <errorID>851960ef-e9d9-491e-9012-8db8346f00b4</errorID>
      <errorWord>)</errorWord>
      <group>L1_Format</group>
      <groupName>格式问题</groupName>
      <ability>L2_HalfPunc</ability>
      <abilityName>全半角检查</abilityName>
      <candidateList>
        <item>）</item>
      </candidateList>
      <explain>文本全半角错误。</explain>
      <paraID>16C3E646</paraID>
      <start>2</start>
      <end>3</end>
      <status>unmodified</status>
      <modifiedWord/>
      <trackRevisions>false</trackRevisions>
    </reviewItem>
    <reviewItem>
      <errorID>f56f128f-be27-4385-8e83-2656e9c8026b</errorID>
      <errorWord>，</errorWord>
      <group>L1_Format</group>
      <groupName>格式问题</groupName>
      <ability>L2_HalfPunc</ability>
      <abilityName>全半角检查</abilityName>
      <candidateList>
        <item>, </item>
      </candidateList>
      <explain>文本全半角错误。</explain>
      <paraID>3D8E988A</paraID>
      <start>6</start>
      <end>7</end>
      <status>unmodified</status>
      <modifiedWord/>
      <trackRevisions>false</trackRevisions>
    </reviewItem>
    <reviewItem>
      <errorID>0a31fafc-273b-4b94-8b9e-cce5282d0f1a</errorID>
      <errorWord>，</errorWord>
      <group>L1_Format</group>
      <groupName>格式问题</groupName>
      <ability>L2_HalfPunc</ability>
      <abilityName>全半角检查</abilityName>
      <candidateList>
        <item>, </item>
      </candidateList>
      <explain>文本全半角错误。</explain>
      <paraID>2477197D</paraID>
      <start>5</start>
      <end>6</end>
      <status>unmodified</status>
      <modifiedWord/>
      <trackRevisions>false</trackRevisions>
    </reviewItem>
    <reviewItem>
      <errorID>0dedd88e-7d9e-49ed-bd50-2e23fd926b20</errorID>
      <errorWord>，</errorWord>
      <group>L1_Format</group>
      <groupName>格式问题</groupName>
      <ability>L2_HalfPunc</ability>
      <abilityName>全半角检查</abilityName>
      <candidateList>
        <item>, </item>
      </candidateList>
      <explain>文本全半角错误。</explain>
      <paraID>45996E4E</paraID>
      <start>5</start>
      <end>6</end>
      <status>unmodified</status>
      <modifiedWord/>
      <trackRevisions>false</trackRevisions>
    </reviewItem>
    <reviewItem>
      <errorID>a42341b2-3b8c-477a-b05f-21f902614454</errorID>
      <errorWord>，</errorWord>
      <group>L1_Format</group>
      <groupName>格式问题</groupName>
      <ability>L2_HalfPunc</ability>
      <abilityName>全半角检查</abilityName>
      <candidateList>
        <item>, </item>
      </candidateList>
      <explain>文本全半角错误。</explain>
      <paraID>2A0A1DAF</paraID>
      <start>5</start>
      <end>6</end>
      <status>unmodified</status>
      <modifiedWord/>
      <trackRevisions>false</trackRevisions>
    </reviewItem>
    <reviewItem>
      <errorID>5d41a497-d2b8-4790-99fa-ec9a84b8e622</errorID>
      <errorWord>，</errorWord>
      <group>L1_Format</group>
      <groupName>格式问题</groupName>
      <ability>L2_HalfPunc</ability>
      <abilityName>全半角检查</abilityName>
      <candidateList>
        <item>, </item>
      </candidateList>
      <explain>文本全半角错误。</explain>
      <paraID>6D75EFAE</paraID>
      <start>5</start>
      <end>6</end>
      <status>unmodified</status>
      <modifiedWord/>
      <trackRevisions>false</trackRevisions>
    </reviewItem>
    <reviewItem>
      <errorID>72b5f4fb-6270-4006-bebd-40ffd49b4485</errorID>
      <errorWord>，</errorWord>
      <group>L1_Format</group>
      <groupName>格式问题</groupName>
      <ability>L2_HalfPunc</ability>
      <abilityName>全半角检查</abilityName>
      <candidateList>
        <item>, </item>
      </candidateList>
      <explain>文本全半角错误。</explain>
      <paraID>3790F0E7</paraID>
      <start>5</start>
      <end>6</end>
      <status>unmodified</status>
      <modifiedWord/>
      <trackRevisions>false</trackRevisions>
    </reviewItem>
    <reviewItem>
      <errorID>4c923e73-bc79-47fd-b4d0-50ef31a701ca</errorID>
      <errorWord>，</errorWord>
      <group>L1_Format</group>
      <groupName>格式问题</groupName>
      <ability>L2_HalfPunc</ability>
      <abilityName>全半角检查</abilityName>
      <candidateList>
        <item>, </item>
      </candidateList>
      <explain>文本全半角错误。</explain>
      <paraID>6CFA5A8D</paraID>
      <start>5</start>
      <end>6</end>
      <status>unmodified</status>
      <modifiedWord/>
      <trackRevisions>false</trackRevisions>
    </reviewItem>
    <reviewItem>
      <errorID>3fd2e6e2-1d51-4f42-891d-1c67171fe0f1</errorID>
      <errorWord>，</errorWord>
      <group>L1_Format</group>
      <groupName>格式问题</groupName>
      <ability>L2_HalfPunc</ability>
      <abilityName>全半角检查</abilityName>
      <candidateList>
        <item>, </item>
      </candidateList>
      <explain>文本全半角错误。</explain>
      <paraID>18190761</paraID>
      <start>5</start>
      <end>6</end>
      <status>unmodified</status>
      <modifiedWord/>
      <trackRevisions>false</trackRevisions>
    </reviewItem>
    <reviewItem>
      <errorID>e143063a-f5d5-4052-b0de-63ee2e0e479f</errorID>
      <errorWord>，</errorWord>
      <group>L1_Format</group>
      <groupName>格式问题</groupName>
      <ability>L2_HalfPunc</ability>
      <abilityName>全半角检查</abilityName>
      <candidateList>
        <item>, </item>
      </candidateList>
      <explain>文本全半角错误。</explain>
      <paraID>6A85D317</paraID>
      <start>8</start>
      <end>9</end>
      <status>unmodified</status>
      <modifiedWord/>
      <trackRevisions>false</trackRevisions>
    </reviewItem>
    <reviewItem>
      <errorID>14e9983c-9438-460a-9f8c-b2d3179f19bd</errorID>
      <errorWord>，</errorWord>
      <group>L1_Format</group>
      <groupName>格式问题</groupName>
      <ability>L2_HalfPunc</ability>
      <abilityName>全半角检查</abilityName>
      <candidateList>
        <item>,</item>
      </candidateList>
      <explain>文本全半角错误。</explain>
      <paraID>6A85D317</paraID>
      <start>14</start>
      <end>15</end>
      <status>unmodified</status>
      <modifiedWord/>
      <trackRevisions>false</trackRevisions>
    </reviewItem>
    <reviewItem>
      <errorID>e3126024-fd14-43c4-9ae9-763cda6de7d9</errorID>
      <errorWord>，</errorWord>
      <group>L1_Format</group>
      <groupName>格式问题</groupName>
      <ability>L2_HalfPunc</ability>
      <abilityName>全半角检查</abilityName>
      <candidateList>
        <item>,</item>
      </candidateList>
      <explain>文本全半角错误。</explain>
      <paraID>1337C607</paraID>
      <start>7</start>
      <end>8</end>
      <status>unmodified</status>
      <modifiedWord/>
      <trackRevisions>false</trackRevisions>
    </reviewItem>
    <reviewItem>
      <errorID>7874d3e1-3967-4eba-af2b-423ce9357c5b</errorID>
      <errorWord>，</errorWord>
      <group>L1_Format</group>
      <groupName>格式问题</groupName>
      <ability>L2_HalfPunc</ability>
      <abilityName>全半角检查</abilityName>
      <candidateList>
        <item>,</item>
      </candidateList>
      <explain>文本全半角错误。</explain>
      <paraID>1337C607</paraID>
      <start>11</start>
      <end>12</end>
      <status>unmodified</status>
      <modifiedWord/>
      <trackRevisions>false</trackRevisions>
    </reviewItem>
    <reviewItem>
      <errorID>bbef4643-f871-4355-a09d-89182c6d5d63</errorID>
      <errorWord>kw</errorWord>
      <group>L1_Word</group>
      <groupName>字词问题</groupName>
      <ability>L2_Typo</ability>
      <abilityName>字词错误</abilityName>
      <candidateList>
        <item>kW</item>
      </candidateList>
      <explain/>
      <paraID>1337C607</paraID>
      <start>14</start>
      <end>16</end>
      <status>unmodified</status>
      <modifiedWord/>
      <trackRevisions>false</trackRevisions>
    </reviewItem>
    <reviewItem>
      <errorID>947ebd25-d1a5-4ec5-844e-594626287734</errorID>
      <errorWord>，</errorWord>
      <group>L1_Format</group>
      <groupName>格式问题</groupName>
      <ability>L2_HalfPunc</ability>
      <abilityName>全半角检查</abilityName>
      <candidateList>
        <item>, </item>
      </candidateList>
      <explain>文本全半角错误。</explain>
      <paraID> D765838</paraID>
      <start>7</start>
      <end>8</end>
      <status>unmodified</status>
      <modifiedWord/>
      <trackRevisions>false</trackRevisions>
    </reviewItem>
    <reviewItem>
      <errorID>979cc56a-ea26-4bb8-a3d6-5d1e3e30d581</errorID>
      <errorWord>，</errorWord>
      <group>L1_Format</group>
      <groupName>格式问题</groupName>
      <ability>L2_HalfPunc</ability>
      <abilityName>全半角检查</abilityName>
      <candidateList>
        <item>, </item>
      </candidateList>
      <explain>文本全半角错误。</explain>
      <paraID>16EF9225</paraID>
      <start>7</start>
      <end>8</end>
      <status>unmodified</status>
      <modifiedWord/>
      <trackRevisions>false</trackRevisions>
    </reviewItem>
    <reviewItem>
      <errorID>8d124904-d488-4d2a-aa24-46b7d281ea72</errorID>
      <errorWord>，</errorWord>
      <group>L1_Format</group>
      <groupName>格式问题</groupName>
      <ability>L2_HalfPunc</ability>
      <abilityName>全半角检查</abilityName>
      <candidateList>
        <item>, </item>
      </candidateList>
      <explain>文本全半角错误。</explain>
      <paraID> D18FC99</paraID>
      <start>7</start>
      <end>8</end>
      <status>unmodified</status>
      <modifiedWord/>
      <trackRevisions>false</trackRevisions>
    </reviewItem>
    <reviewItem>
      <errorID>9a13bd7e-7c84-4cb0-b93d-ad0ac8dd5536</errorID>
      <errorWord>，</errorWord>
      <group>L1_Format</group>
      <groupName>格式问题</groupName>
      <ability>L2_HalfPunc</ability>
      <abilityName>全半角检查</abilityName>
      <candidateList>
        <item>,</item>
      </candidateList>
      <explain>文本全半角错误。</explain>
      <paraID>645A3C66</paraID>
      <start>5</start>
      <end>6</end>
      <status>unmodified</status>
      <modifiedWord/>
      <trackRevisions>false</trackRevisions>
    </reviewItem>
    <reviewItem>
      <errorID>8018c89d-4f1c-4f30-b914-9ad0eb9ff136</errorID>
      <errorWord>，</errorWord>
      <group>L1_Format</group>
      <groupName>格式问题</groupName>
      <ability>L2_HalfPunc</ability>
      <abilityName>全半角检查</abilityName>
      <candidateList>
        <item>,</item>
      </candidateList>
      <explain>文本全半角错误。</explain>
      <paraID>645A3C66</paraID>
      <start>9</start>
      <end>10</end>
      <status>unmodified</status>
      <modifiedWord/>
      <trackRevisions>false</trackRevisions>
    </reviewItem>
    <reviewItem>
      <errorID>3d705991-e862-421a-88ae-1553818db2fb</errorID>
      <errorWord>kw</errorWord>
      <group>L1_Word</group>
      <groupName>字词问题</groupName>
      <ability>L2_Typo</ability>
      <abilityName>字词错误</abilityName>
      <candidateList>
        <item>kW</item>
      </candidateList>
      <explain/>
      <paraID>645A3C66</paraID>
      <start>14</start>
      <end>16</end>
      <status>unmodified</status>
      <modifiedWord/>
      <trackRevisions>false</trackRevisions>
    </reviewItem>
    <reviewItem>
      <errorID>fd686345-724d-4a4c-834a-9d61df821c0a</errorID>
      <errorWord>，</errorWord>
      <group>L1_Format</group>
      <groupName>格式问题</groupName>
      <ability>L2_HalfPunc</ability>
      <abilityName>全半角检查</abilityName>
      <candidateList>
        <item>, </item>
      </candidateList>
      <explain>文本全半角错误。</explain>
      <paraID>6CFC0E4E</paraID>
      <start>6</start>
      <end>7</end>
      <status>unmodified</status>
      <modifiedWord/>
      <trackRevisions>false</trackRevisions>
    </reviewItem>
    <reviewItem>
      <errorID>8446509f-0a8c-4eb1-85b7-53f5cc5c6924</errorID>
      <errorWord>，</errorWord>
      <group>L1_Format</group>
      <groupName>格式问题</groupName>
      <ability>L2_HalfPunc</ability>
      <abilityName>全半角检查</abilityName>
      <candidateList>
        <item>,</item>
      </candidateList>
      <explain>文本全半角错误。</explain>
      <paraID>2B090C8C</paraID>
      <start>5</start>
      <end>6</end>
      <status>unmodified</status>
      <modifiedWord/>
      <trackRevisions>false</trackRevisions>
    </reviewItem>
    <reviewItem>
      <errorID>3d7d14de-5c6e-4af6-9e5f-228ee6da2d82</errorID>
      <errorWord>，</errorWord>
      <group>L1_Format</group>
      <groupName>格式问题</groupName>
      <ability>L2_HalfPunc</ability>
      <abilityName>全半角检查</abilityName>
      <candidateList>
        <item>, </item>
      </candidateList>
      <explain>文本全半角错误。</explain>
      <paraID>1C9D9084</paraID>
      <start>5</start>
      <end>6</end>
      <status>unmodified</status>
      <modifiedWord/>
      <trackRevisions>false</trackRevisions>
    </reviewItem>
    <reviewItem>
      <errorID>900f32b5-a5a4-4d46-b130-8c09e5a504e1</errorID>
      <errorWord>,</errorWord>
      <group>L1_Format</group>
      <groupName>格式问题</groupName>
      <ability>L2_HalfPunc</ability>
      <abilityName>全半角检查</abilityName>
      <candidateList>
        <item>，</item>
      </candidateList>
      <explain>文本全半角错误。</explain>
      <paraID>2E8CE0CC</paraID>
      <start>19</start>
      <end>20</end>
      <status>unmodified</status>
      <modifiedWord/>
      <trackRevisions>false</trackRevisions>
    </reviewItem>
    <reviewItem>
      <errorID>9d76138a-d837-40b5-8562-c668efb71ca8</errorID>
      <errorWord>(</errorWord>
      <group>L1_Format</group>
      <groupName>格式问题</groupName>
      <ability>L2_HalfPunc</ability>
      <abilityName>全半角检查</abilityName>
      <candidateList>
        <item>（</item>
      </candidateList>
      <explain>文本全半角错误。</explain>
      <paraID>5353F097</paraID>
      <start>5</start>
      <end>6</end>
      <status>unmodified</status>
      <modifiedWord/>
      <trackRevisions>false</trackRevisions>
    </reviewItem>
    <reviewItem>
      <errorID>30136cc0-f365-41b4-86e9-8fa1185382bb</errorID>
      <errorWord>)</errorWord>
      <group>L1_Format</group>
      <groupName>格式问题</groupName>
      <ability>L2_HalfPunc</ability>
      <abilityName>全半角检查</abilityName>
      <candidateList>
        <item>）</item>
      </candidateList>
      <explain>文本全半角错误。</explain>
      <paraID>5353F097</paraID>
      <start>9</start>
      <end>10</end>
      <status>unmodified</status>
      <modifiedWord/>
      <trackRevisions>false</trackRevisions>
    </reviewItem>
    <reviewItem>
      <errorID>b0e02451-8d50-48b1-ab80-43b9bd41c33a</errorID>
      <errorWord>,</errorWord>
      <group>L1_Format</group>
      <groupName>格式问题</groupName>
      <ability>L2_HalfPunc</ability>
      <abilityName>全半角检查</abilityName>
      <candidateList>
        <item>，</item>
      </candidateList>
      <explain>文本全半角错误。</explain>
      <paraID>2806A446</paraID>
      <start>15</start>
      <end>16</end>
      <status>unmodified</status>
      <modifiedWord/>
      <trackRevisions>false</trackRevisions>
    </reviewItem>
    <reviewItem>
      <errorID>18bcdef9-c507-475e-aaf4-18ae5757366b</errorID>
      <errorWord>,</errorWord>
      <group>L1_Format</group>
      <groupName>格式问题</groupName>
      <ability>L2_HalfPunc</ability>
      <abilityName>全半角检查</abilityName>
      <candidateList>
        <item>，</item>
      </candidateList>
      <explain>文本全半角错误。</explain>
      <paraID>1602B4FC</paraID>
      <start>15</start>
      <end>16</end>
      <status>unmodified</status>
      <modifiedWord/>
      <trackRevisions>false</trackRevisions>
    </reviewItem>
    <reviewItem>
      <errorID>f2624468-2250-467e-b918-448152939eaf</errorID>
      <errorWord>，</errorWord>
      <group>L1_Format</group>
      <groupName>格式问题</groupName>
      <ability>L2_HalfPunc</ability>
      <abilityName>全半角检查</abilityName>
      <candidateList>
        <item>,</item>
      </candidateList>
      <explain>文本全半角错误。</explain>
      <paraID>7C923BAA</paraID>
      <start>9</start>
      <end>10</end>
      <status>unmodified</status>
      <modifiedWord/>
      <trackRevisions>false</trackRevisions>
    </reviewItem>
    <reviewItem>
      <errorID>6597e176-066c-4cfc-9af4-c13988034243</errorID>
      <errorWord>，</errorWord>
      <group>L1_Format</group>
      <groupName>格式问题</groupName>
      <ability>L2_HalfPunc</ability>
      <abilityName>全半角检查</abilityName>
      <candidateList>
        <item>, </item>
      </candidateList>
      <explain>文本全半角错误。</explain>
      <paraID>62B5FC66</paraID>
      <start>10</start>
      <end>11</end>
      <status>unmodified</status>
      <modifiedWord/>
      <trackRevisions>false</trackRevisions>
    </reviewItem>
    <reviewItem>
      <errorID>b4fdfceb-ef0d-4c32-8da0-29b03c46c556</errorID>
      <errorWord>，</errorWord>
      <group>L1_Format</group>
      <groupName>格式问题</groupName>
      <ability>L2_HalfPunc</ability>
      <abilityName>全半角检查</abilityName>
      <candidateList>
        <item>, </item>
      </candidateList>
      <explain>文本全半角错误。</explain>
      <paraID> A5A8DFA</paraID>
      <start>11</start>
      <end>12</end>
      <status>unmodified</status>
      <modifiedWord/>
      <trackRevisions>false</trackRevisions>
    </reviewItem>
    <reviewItem>
      <errorID>b5f0c013-4a00-4eed-bd93-383ed2cc8c33</errorID>
      <errorWord>，</errorWord>
      <group>L1_Format</group>
      <groupName>格式问题</groupName>
      <ability>L2_HalfPunc</ability>
      <abilityName>全半角检查</abilityName>
      <candidateList>
        <item>, </item>
      </candidateList>
      <explain>文本全半角错误。</explain>
      <paraID>1FC8749B</paraID>
      <start>11</start>
      <end>12</end>
      <status>unmodified</status>
      <modifiedWord/>
      <trackRevisions>false</trackRevisions>
    </reviewItem>
    <reviewItem>
      <errorID>32470e94-280f-45b2-8080-65df277c7064</errorID>
      <errorWord>，</errorWord>
      <group>L1_Format</group>
      <groupName>格式问题</groupName>
      <ability>L2_HalfPunc</ability>
      <abilityName>全半角检查</abilityName>
      <candidateList>
        <item>, </item>
      </candidateList>
      <explain>文本全半角错误。</explain>
      <paraID> DA92624</paraID>
      <start>5</start>
      <end>6</end>
      <status>unmodified</status>
      <modifiedWord/>
      <trackRevisions>false</trackRevisions>
    </reviewItem>
    <reviewItem>
      <errorID>835167d2-ecdd-44c8-9124-a9767ef2a706</errorID>
      <errorWord>，</errorWord>
      <group>L1_Format</group>
      <groupName>格式问题</groupName>
      <ability>L2_HalfPunc</ability>
      <abilityName>全半角检查</abilityName>
      <candidateList>
        <item>,</item>
      </candidateList>
      <explain>文本全半角错误。</explain>
      <paraID>327B4E9B</paraID>
      <start>9</start>
      <end>10</end>
      <status>unmodified</status>
      <modifiedWord/>
      <trackRevisions>false</trackRevisions>
    </reviewItem>
    <reviewItem>
      <errorID>2dde9736-ceef-4790-a9b1-960a55f22a80</errorID>
      <errorWord>，</errorWord>
      <group>L1_Format</group>
      <groupName>格式问题</groupName>
      <ability>L2_HalfPunc</ability>
      <abilityName>全半角检查</abilityName>
      <candidateList>
        <item>,</item>
      </candidateList>
      <explain>文本全半角错误。</explain>
      <paraID>54AEA3A0</paraID>
      <start>9</start>
      <end>10</end>
      <status>unmodified</status>
      <modifiedWord/>
      <trackRevisions>false</trackRevisions>
    </reviewItem>
    <reviewItem>
      <errorID>43507a89-a4f0-401e-92c4-3208c316156d</errorID>
      <errorWord>，</errorWord>
      <group>L1_Format</group>
      <groupName>格式问题</groupName>
      <ability>L2_HalfPunc</ability>
      <abilityName>全半角检查</abilityName>
      <candidateList>
        <item>, </item>
      </candidateList>
      <explain>文本全半角错误。</explain>
      <paraID>7BD3F5D4</paraID>
      <start>5</start>
      <end>6</end>
      <status>unmodified</status>
      <modifiedWord/>
      <trackRevisions>false</trackRevisions>
    </reviewItem>
    <reviewItem>
      <errorID>80801af1-ca4a-42ff-a093-471bc60b263c</errorID>
      <errorWord>，</errorWord>
      <group>L1_Format</group>
      <groupName>格式问题</groupName>
      <ability>L2_HalfPunc</ability>
      <abilityName>全半角检查</abilityName>
      <candidateList>
        <item>, </item>
      </candidateList>
      <explain>文本全半角错误。</explain>
      <paraID>70F8EFDF</paraID>
      <start>5</start>
      <end>6</end>
      <status>unmodified</status>
      <modifiedWord/>
      <trackRevisions>false</trackRevisions>
    </reviewItem>
    <reviewItem>
      <errorID>f5ceb054-0706-4a28-bb32-eaef05540142</errorID>
      <errorWord>，</errorWord>
      <group>L1_Format</group>
      <groupName>格式问题</groupName>
      <ability>L2_HalfPunc</ability>
      <abilityName>全半角检查</abilityName>
      <candidateList>
        <item>, </item>
      </candidateList>
      <explain>文本全半角错误。</explain>
      <paraID>5BCEC0E4</paraID>
      <start>5</start>
      <end>6</end>
      <status>unmodified</status>
      <modifiedWord/>
      <trackRevisions>false</trackRevisions>
    </reviewItem>
    <reviewItem>
      <errorID>43de3750-f864-43dc-b518-c602f5fdccbd</errorID>
      <errorWord>，</errorWord>
      <group>L1_Format</group>
      <groupName>格式问题</groupName>
      <ability>L2_HalfPunc</ability>
      <abilityName>全半角检查</abilityName>
      <candidateList>
        <item>, </item>
      </candidateList>
      <explain>文本全半角错误。</explain>
      <paraID>58366AB4</paraID>
      <start>5</start>
      <end>6</end>
      <status>unmodified</status>
      <modifiedWord/>
      <trackRevisions>false</trackRevisions>
    </reviewItem>
    <reviewItem>
      <errorID>7fd31d68-6c84-4ea9-abfc-93b0bd0d8b88</errorID>
      <errorWord>，</errorWord>
      <group>L1_Format</group>
      <groupName>格式问题</groupName>
      <ability>L2_HalfPunc</ability>
      <abilityName>全半角检查</abilityName>
      <candidateList>
        <item>, </item>
      </candidateList>
      <explain>文本全半角错误。</explain>
      <paraID>55183AC6</paraID>
      <start>5</start>
      <end>6</end>
      <status>unmodified</status>
      <modifiedWord/>
      <trackRevisions>false</trackRevisions>
    </reviewItem>
    <reviewItem>
      <errorID>6d1af615-a975-4c2e-9e84-347ba6bedc79</errorID>
      <errorWord>，</errorWord>
      <group>L1_Format</group>
      <groupName>格式问题</groupName>
      <ability>L2_HalfPunc</ability>
      <abilityName>全半角检查</abilityName>
      <candidateList>
        <item>, </item>
      </candidateList>
      <explain>文本全半角错误。</explain>
      <paraID>224E801B</paraID>
      <start>5</start>
      <end>6</end>
      <status>unmodified</status>
      <modifiedWord/>
      <trackRevisions>false</trackRevisions>
    </reviewItem>
    <reviewItem>
      <errorID>08c246c3-da13-4b64-957c-d125e10e6e4f</errorID>
      <errorWord>，</errorWord>
      <group>L1_Format</group>
      <groupName>格式问题</groupName>
      <ability>L2_HalfPunc</ability>
      <abilityName>全半角检查</abilityName>
      <candidateList>
        <item>, </item>
      </candidateList>
      <explain>文本全半角错误。</explain>
      <paraID>29F8D8C3</paraID>
      <start>5</start>
      <end>6</end>
      <status>unmodified</status>
      <modifiedWord/>
      <trackRevisions>false</trackRevisions>
    </reviewItem>
    <reviewItem>
      <errorID>a3c5059e-d4e8-4e8b-851d-4aa2d42e9741</errorID>
      <errorWord>，</errorWord>
      <group>L1_Format</group>
      <groupName>格式问题</groupName>
      <ability>L2_HalfPunc</ability>
      <abilityName>全半角检查</abilityName>
      <candidateList>
        <item>, </item>
      </candidateList>
      <explain>文本全半角错误。</explain>
      <paraID>7B78D628</paraID>
      <start>5</start>
      <end>6</end>
      <status>unmodified</status>
      <modifiedWord/>
      <trackRevisions>false</trackRevisions>
    </reviewItem>
    <reviewItem>
      <errorID>32853c32-dfda-4087-92e4-f9501d774bdf</errorID>
      <errorWord>，</errorWord>
      <group>L1_Format</group>
      <groupName>格式问题</groupName>
      <ability>L2_HalfPunc</ability>
      <abilityName>全半角检查</abilityName>
      <candidateList>
        <item>, </item>
      </candidateList>
      <explain>文本全半角错误。</explain>
      <paraID>68385F68</paraID>
      <start>5</start>
      <end>6</end>
      <status>unmodified</status>
      <modifiedWord/>
      <trackRevisions>false</trackRevisions>
    </reviewItem>
    <reviewItem>
      <errorID>b134698e-7937-44dc-b71a-f1d0f6b6ecf5</errorID>
      <errorWord>，</errorWord>
      <group>L1_Format</group>
      <groupName>格式问题</groupName>
      <ability>L2_HalfPunc</ability>
      <abilityName>全半角检查</abilityName>
      <candidateList>
        <item>, </item>
      </candidateList>
      <explain>文本全半角错误。</explain>
      <paraID> F27C742</paraID>
      <start>4</start>
      <end>5</end>
      <status>unmodified</status>
      <modifiedWord/>
      <trackRevisions>false</trackRevisions>
    </reviewItem>
    <reviewItem>
      <errorID>84564d67-e6fb-47ac-b1d8-2e845049287f</errorID>
      <errorWord>,</errorWord>
      <group>L1_Format</group>
      <groupName>格式问题</groupName>
      <ability>L2_HalfPunc</ability>
      <abilityName>全半角检查</abilityName>
      <candidateList>
        <item>，</item>
      </candidateList>
      <explain>文本全半角错误。</explain>
      <paraID>2E14877F</paraID>
      <start>9</start>
      <end>10</end>
      <status>unmodified</status>
      <modifiedWord/>
      <trackRevisions>false</trackRevisions>
    </reviewItem>
    <reviewItem>
      <errorID>2f3ff5c1-4124-47e6-9a5b-de2e40974a17</errorID>
      <errorWord>,</errorWord>
      <group>L1_Format</group>
      <groupName>格式问题</groupName>
      <ability>L2_HalfPunc</ability>
      <abilityName>全半角检查</abilityName>
      <candidateList>
        <item>，</item>
      </candidateList>
      <explain>文本全半角错误。</explain>
      <paraID>5A66B72D</paraID>
      <start>10</start>
      <end>11</end>
      <status>unmodified</status>
      <modifiedWord/>
      <trackRevisions>false</trackRevisions>
    </reviewItem>
    <reviewItem>
      <errorID>0f53df0d-5a0b-4995-929e-cd3b5cbf42ca</errorID>
      <errorWord>，</errorWord>
      <group>L1_Format</group>
      <groupName>格式问题</groupName>
      <ability>L2_HalfPunc</ability>
      <abilityName>全半角检查</abilityName>
      <candidateList>
        <item>, </item>
      </candidateList>
      <explain>文本全半角错误。</explain>
      <paraID>6607BCEB</paraID>
      <start>4</start>
      <end>5</end>
      <status>unmodified</status>
      <modifiedWord/>
      <trackRevisions>false</trackRevisions>
    </reviewItem>
    <reviewItem>
      <errorID>1b86c8a1-85c5-42c7-9387-553fdd33cac8</errorID>
      <errorWord>，</errorWord>
      <group>L1_Format</group>
      <groupName>格式问题</groupName>
      <ability>L2_HalfPunc</ability>
      <abilityName>全半角检查</abilityName>
      <candidateList>
        <item>, </item>
      </candidateList>
      <explain>文本全半角错误。</explain>
      <paraID>19BDA6B1</paraID>
      <start>4</start>
      <end>5</end>
      <status>unmodified</status>
      <modifiedWord/>
      <trackRevisions>false</trackRevisions>
    </reviewItem>
    <reviewItem>
      <errorID>22555454-018f-4d03-b6d1-1aed0daf3e5d</errorID>
      <errorWord>，</errorWord>
      <group>L1_Format</group>
      <groupName>格式问题</groupName>
      <ability>L2_HalfPunc</ability>
      <abilityName>全半角检查</abilityName>
      <candidateList>
        <item>, </item>
      </candidateList>
      <explain>文本全半角错误。</explain>
      <paraID>7B5DB197</paraID>
      <start>4</start>
      <end>5</end>
      <status>unmodified</status>
      <modifiedWord/>
      <trackRevisions>false</trackRevisions>
    </reviewItem>
    <reviewItem>
      <errorID>e5145d34-0f7a-438c-8908-a441bf239739</errorID>
      <errorWord>，</errorWord>
      <group>L1_Format</group>
      <groupName>格式问题</groupName>
      <ability>L2_HalfPunc</ability>
      <abilityName>全半角检查</abilityName>
      <candidateList>
        <item>, </item>
      </candidateList>
      <explain>文本全半角错误。</explain>
      <paraID>603349F0</paraID>
      <start>4</start>
      <end>5</end>
      <status>unmodified</status>
      <modifiedWord/>
      <trackRevisions>false</trackRevisions>
    </reviewItem>
    <reviewItem>
      <errorID>e8adb1d6-25aa-41da-83fd-f1a0b5bc4863</errorID>
      <errorWord>，</errorWord>
      <group>L1_Format</group>
      <groupName>格式问题</groupName>
      <ability>L2_HalfPunc</ability>
      <abilityName>全半角检查</abilityName>
      <candidateList>
        <item>, </item>
      </candidateList>
      <explain>文本全半角错误。</explain>
      <paraID> 92A4179</paraID>
      <start>6</start>
      <end>7</end>
      <status>unmodified</status>
      <modifiedWord/>
      <trackRevisions>false</trackRevisions>
    </reviewItem>
    <reviewItem>
      <errorID>bc893db1-09d0-4178-8ea7-4b071ec10272</errorID>
      <errorWord>，</errorWord>
      <group>L1_Format</group>
      <groupName>格式问题</groupName>
      <ability>L2_HalfPunc</ability>
      <abilityName>全半角检查</abilityName>
      <candidateList>
        <item>, </item>
      </candidateList>
      <explain>文本全半角错误。</explain>
      <paraID>6419F9FF</paraID>
      <start>6</start>
      <end>7</end>
      <status>unmodified</status>
      <modifiedWord/>
      <trackRevisions>false</trackRevisions>
    </reviewItem>
    <reviewItem>
      <errorID>f77527bd-269d-4e88-8346-fdd2b91a95b0</errorID>
      <errorWord>，</errorWord>
      <group>L1_Format</group>
      <groupName>格式问题</groupName>
      <ability>L2_HalfPunc</ability>
      <abilityName>全半角检查</abilityName>
      <candidateList>
        <item>, </item>
      </candidateList>
      <explain>文本全半角错误。</explain>
      <paraID>3470FF3C</paraID>
      <start>6</start>
      <end>7</end>
      <status>unmodified</status>
      <modifiedWord/>
      <trackRevisions>false</trackRevisions>
    </reviewItem>
    <reviewItem>
      <errorID>8cabab39-383f-4660-a0ed-8c84ebf5a067</errorID>
      <errorWord>，</errorWord>
      <group>L1_Format</group>
      <groupName>格式问题</groupName>
      <ability>L2_HalfPunc</ability>
      <abilityName>全半角检查</abilityName>
      <candidateList>
        <item>, </item>
      </candidateList>
      <explain>文本全半角错误。</explain>
      <paraID>3D20F4FC</paraID>
      <start>6</start>
      <end>7</end>
      <status>unmodified</status>
      <modifiedWord/>
      <trackRevisions>false</trackRevisions>
    </reviewItem>
    <reviewItem>
      <errorID>47bea2fc-cafc-4959-879b-783da956f971</errorID>
      <errorWord>，</errorWord>
      <group>L1_Format</group>
      <groupName>格式问题</groupName>
      <ability>L2_HalfPunc</ability>
      <abilityName>全半角检查</abilityName>
      <candidateList>
        <item>, </item>
      </candidateList>
      <explain>文本全半角错误。</explain>
      <paraID>720DC50C</paraID>
      <start>5</start>
      <end>6</end>
      <status>unmodified</status>
      <modifiedWord/>
      <trackRevisions>false</trackRevisions>
    </reviewItem>
    <reviewItem>
      <errorID>ed3093be-fc92-42fa-973b-293e80019a56</errorID>
      <errorWord>，</errorWord>
      <group>L1_Format</group>
      <groupName>格式问题</groupName>
      <ability>L2_HalfPunc</ability>
      <abilityName>全半角检查</abilityName>
      <candidateList>
        <item>, </item>
      </candidateList>
      <explain>文本全半角错误。</explain>
      <paraID> EE8110E</paraID>
      <start>5</start>
      <end>6</end>
      <status>unmodified</status>
      <modifiedWord/>
      <trackRevisions>false</trackRevisions>
    </reviewItem>
    <reviewItem>
      <errorID>3c1c88e8-23ac-4c75-8688-5575eb36a6d0</errorID>
      <errorWord>，</errorWord>
      <group>L1_Format</group>
      <groupName>格式问题</groupName>
      <ability>L2_HalfPunc</ability>
      <abilityName>全半角检查</abilityName>
      <candidateList>
        <item>, </item>
      </candidateList>
      <explain>文本全半角错误。</explain>
      <paraID>1E0D0388</paraID>
      <start>5</start>
      <end>6</end>
      <status>unmodified</status>
      <modifiedWord/>
      <trackRevisions>false</trackRevisions>
    </reviewItem>
    <reviewItem>
      <errorID>df57c7a8-3658-4318-8d33-c2d4790237ab</errorID>
      <errorWord>，</errorWord>
      <group>L1_Format</group>
      <groupName>格式问题</groupName>
      <ability>L2_HalfPunc</ability>
      <abilityName>全半角检查</abilityName>
      <candidateList>
        <item>, </item>
      </candidateList>
      <explain>文本全半角错误。</explain>
      <paraID>4DDE1ECC</paraID>
      <start>5</start>
      <end>6</end>
      <status>unmodified</status>
      <modifiedWord/>
      <trackRevisions>false</trackRevisions>
    </reviewItem>
    <reviewItem>
      <errorID>b60cd6c9-8ce2-4bbe-8135-b76f46a39528</errorID>
      <errorWord>，</errorWord>
      <group>L1_Format</group>
      <groupName>格式问题</groupName>
      <ability>L2_HalfPunc</ability>
      <abilityName>全半角检查</abilityName>
      <candidateList>
        <item>, </item>
      </candidateList>
      <explain>文本全半角错误。</explain>
      <paraID> D8C8DB7</paraID>
      <start>5</start>
      <end>6</end>
      <status>unmodified</status>
      <modifiedWord/>
      <trackRevisions>false</trackRevisions>
    </reviewItem>
    <reviewItem>
      <errorID>b4d37d91-1d37-4600-bcfd-83ed4657e2d2</errorID>
      <errorWord>，</errorWord>
      <group>L1_Format</group>
      <groupName>格式问题</groupName>
      <ability>L2_HalfPunc</ability>
      <abilityName>全半角检查</abilityName>
      <candidateList>
        <item>, </item>
      </candidateList>
      <explain>文本全半角错误。</explain>
      <paraID>6C09E2D6</paraID>
      <start>5</start>
      <end>6</end>
      <status>unmodified</status>
      <modifiedWord/>
      <trackRevisions>false</trackRevisions>
    </reviewItem>
    <reviewItem>
      <errorID>e06d4fc4-f46a-4f1f-b403-b87d6f85dbd5</errorID>
      <errorWord>，</errorWord>
      <group>L1_Format</group>
      <groupName>格式问题</groupName>
      <ability>L2_HalfPunc</ability>
      <abilityName>全半角检查</abilityName>
      <candidateList>
        <item>, </item>
      </candidateList>
      <explain>文本全半角错误。</explain>
      <paraID>17396F16</paraID>
      <start>5</start>
      <end>6</end>
      <status>unmodified</status>
      <modifiedWord/>
      <trackRevisions>false</trackRevisions>
    </reviewItem>
    <reviewItem>
      <errorID>c4d3f872-8877-4818-8266-529026b98375</errorID>
      <errorWord>，</errorWord>
      <group>L1_Format</group>
      <groupName>格式问题</groupName>
      <ability>L2_HalfPunc</ability>
      <abilityName>全半角检查</abilityName>
      <candidateList>
        <item>, </item>
      </candidateList>
      <explain>文本全半角错误。</explain>
      <paraID>310C7257</paraID>
      <start>5</start>
      <end>6</end>
      <status>unmodified</status>
      <modifiedWord/>
      <trackRevisions>false</trackRevisions>
    </reviewItem>
    <reviewItem>
      <errorID>39b2e498-b40b-4353-8296-20fee7d328cb</errorID>
      <errorWord>，</errorWord>
      <group>L1_Format</group>
      <groupName>格式问题</groupName>
      <ability>L2_HalfPunc</ability>
      <abilityName>全半角检查</abilityName>
      <candidateList>
        <item>, </item>
      </candidateList>
      <explain>文本全半角错误。</explain>
      <paraID>22488AE1</paraID>
      <start>2</start>
      <end>3</end>
      <status>unmodified</status>
      <modifiedWord/>
      <trackRevisions>false</trackRevisions>
    </reviewItem>
    <reviewItem>
      <errorID>c0e36b95-1e9e-4cf8-bbc9-32bf2e931f62</errorID>
      <errorWord>，</errorWord>
      <group>L1_Format</group>
      <groupName>格式问题</groupName>
      <ability>L2_HalfPunc</ability>
      <abilityName>全半角检查</abilityName>
      <candidateList>
        <item>, </item>
      </candidateList>
      <explain>文本全半角错误。</explain>
      <paraID>22488AE1</paraID>
      <start>5</start>
      <end>6</end>
      <status>unmodified</status>
      <modifiedWord/>
      <trackRevisions>false</trackRevisions>
    </reviewItem>
    <reviewItem>
      <errorID>190dda2d-cedf-4af7-860a-7faa630fe4f5</errorID>
      <errorWord>，</errorWord>
      <group>L1_Format</group>
      <groupName>格式问题</groupName>
      <ability>L2_HalfPunc</ability>
      <abilityName>全半角检查</abilityName>
      <candidateList>
        <item>, </item>
      </candidateList>
      <explain>文本全半角错误。</explain>
      <paraID>22488AE1</paraID>
      <start>12</start>
      <end>13</end>
      <status>unmodified</status>
      <modifiedWord/>
      <trackRevisions>false</trackRevisions>
    </reviewItem>
    <reviewItem>
      <errorID>d524acae-6cee-43e0-a0cc-3ac459cbf66f</errorID>
      <errorWord>，</errorWord>
      <group>L1_Format</group>
      <groupName>格式问题</groupName>
      <ability>L2_HalfPunc</ability>
      <abilityName>全半角检查</abilityName>
      <candidateList>
        <item>, </item>
      </candidateList>
      <explain>文本全半角错误。</explain>
      <paraID>794525F4</paraID>
      <start>2</start>
      <end>3</end>
      <status>unmodified</status>
      <modifiedWord/>
      <trackRevisions>false</trackRevisions>
    </reviewItem>
    <reviewItem>
      <errorID>65fca560-c1e3-4cca-a8fb-ed25276035b3</errorID>
      <errorWord>，</errorWord>
      <group>L1_Format</group>
      <groupName>格式问题</groupName>
      <ability>L2_HalfPunc</ability>
      <abilityName>全半角检查</abilityName>
      <candidateList>
        <item>, </item>
      </candidateList>
      <explain>文本全半角错误。</explain>
      <paraID>794525F4</paraID>
      <start>5</start>
      <end>6</end>
      <status>unmodified</status>
      <modifiedWord/>
      <trackRevisions>false</trackRevisions>
    </reviewItem>
    <reviewItem>
      <errorID>01c104da-d2a2-4fc5-b509-5ac918c4bb82</errorID>
      <errorWord>，</errorWord>
      <group>L1_Format</group>
      <groupName>格式问题</groupName>
      <ability>L2_HalfPunc</ability>
      <abilityName>全半角检查</abilityName>
      <candidateList>
        <item>, </item>
      </candidateList>
      <explain>文本全半角错误。</explain>
      <paraID>794525F4</paraID>
      <start>11</start>
      <end>12</end>
      <status>unmodified</status>
      <modifiedWord/>
      <trackRevisions>false</trackRevisions>
    </reviewItem>
    <reviewItem>
      <errorID>01c534e9-4453-4837-9f20-857cad385c21</errorID>
      <errorWord>，</errorWord>
      <group>L1_Format</group>
      <groupName>格式问题</groupName>
      <ability>L2_HalfPunc</ability>
      <abilityName>全半角检查</abilityName>
      <candidateList>
        <item>, </item>
      </candidateList>
      <explain>文本全半角错误。</explain>
      <paraID> DF874C3</paraID>
      <start>2</start>
      <end>3</end>
      <status>unmodified</status>
      <modifiedWord/>
      <trackRevisions>false</trackRevisions>
    </reviewItem>
    <reviewItem>
      <errorID>68924e77-8947-4ecc-a917-6c73cee87e8e</errorID>
      <errorWord>，</errorWord>
      <group>L1_Format</group>
      <groupName>格式问题</groupName>
      <ability>L2_HalfPunc</ability>
      <abilityName>全半角检查</abilityName>
      <candidateList>
        <item>, </item>
      </candidateList>
      <explain>文本全半角错误。</explain>
      <paraID> DF874C3</paraID>
      <start>5</start>
      <end>6</end>
      <status>unmodified</status>
      <modifiedWord/>
      <trackRevisions>false</trackRevisions>
    </reviewItem>
    <reviewItem>
      <errorID>d70393fc-b356-4ad0-98bd-c76e0d687aaa</errorID>
      <errorWord>，</errorWord>
      <group>L1_Format</group>
      <groupName>格式问题</groupName>
      <ability>L2_HalfPunc</ability>
      <abilityName>全半角检查</abilityName>
      <candidateList>
        <item>, </item>
      </candidateList>
      <explain>文本全半角错误。</explain>
      <paraID> DF874C3</paraID>
      <start>11</start>
      <end>12</end>
      <status>unmodified</status>
      <modifiedWord/>
      <trackRevisions>false</trackRevisions>
    </reviewItem>
    <reviewItem>
      <errorID>080a64e8-23a6-41ea-a310-f5d9a558757d</errorID>
      <errorWord>，</errorWord>
      <group>L1_Format</group>
      <groupName>格式问题</groupName>
      <ability>L2_HalfPunc</ability>
      <abilityName>全半角检查</abilityName>
      <candidateList>
        <item>, </item>
      </candidateList>
      <explain>文本全半角错误。</explain>
      <paraID>2F9B1B89</paraID>
      <start>2</start>
      <end>3</end>
      <status>unmodified</status>
      <modifiedWord/>
      <trackRevisions>false</trackRevisions>
    </reviewItem>
    <reviewItem>
      <errorID>a90dcc6b-c681-4e5f-a9c7-93f97cf1618a</errorID>
      <errorWord>，</errorWord>
      <group>L1_Format</group>
      <groupName>格式问题</groupName>
      <ability>L2_HalfPunc</ability>
      <abilityName>全半角检查</abilityName>
      <candidateList>
        <item>, </item>
      </candidateList>
      <explain>文本全半角错误。</explain>
      <paraID>2F9B1B89</paraID>
      <start>5</start>
      <end>6</end>
      <status>unmodified</status>
      <modifiedWord/>
      <trackRevisions>false</trackRevisions>
    </reviewItem>
    <reviewItem>
      <errorID>f56d6ba4-1136-4abd-b31c-f63250d69211</errorID>
      <errorWord>，</errorWord>
      <group>L1_Format</group>
      <groupName>格式问题</groupName>
      <ability>L2_HalfPunc</ability>
      <abilityName>全半角检查</abilityName>
      <candidateList>
        <item>, </item>
      </candidateList>
      <explain>文本全半角错误。</explain>
      <paraID>2F9B1B89</paraID>
      <start>11</start>
      <end>12</end>
      <status>unmodified</status>
      <modifiedWord/>
      <trackRevisions>false</trackRevisions>
    </reviewItem>
    <reviewItem>
      <errorID>cedac980-684f-4ac2-8af2-0e043de0ca69</errorID>
      <errorWord>，</errorWord>
      <group>L1_Format</group>
      <groupName>格式问题</groupName>
      <ability>L2_HalfPunc</ability>
      <abilityName>全半角检查</abilityName>
      <candidateList>
        <item>, </item>
      </candidateList>
      <explain>文本全半角错误。</explain>
      <paraID>572B8696</paraID>
      <start>2</start>
      <end>3</end>
      <status>unmodified</status>
      <modifiedWord/>
      <trackRevisions>false</trackRevisions>
    </reviewItem>
    <reviewItem>
      <errorID>6a726173-31c0-43cb-afce-e9e0cbcf9b22</errorID>
      <errorWord>，</errorWord>
      <group>L1_Format</group>
      <groupName>格式问题</groupName>
      <ability>L2_HalfPunc</ability>
      <abilityName>全半角检查</abilityName>
      <candidateList>
        <item>, </item>
      </candidateList>
      <explain>文本全半角错误。</explain>
      <paraID>572B8696</paraID>
      <start>5</start>
      <end>6</end>
      <status>unmodified</status>
      <modifiedWord/>
      <trackRevisions>false</trackRevisions>
    </reviewItem>
    <reviewItem>
      <errorID>b79dd6c4-b04b-4de8-ad50-c8955662ad6a</errorID>
      <errorWord>，</errorWord>
      <group>L1_Format</group>
      <groupName>格式问题</groupName>
      <ability>L2_HalfPunc</ability>
      <abilityName>全半角检查</abilityName>
      <candidateList>
        <item>, </item>
      </candidateList>
      <explain>文本全半角错误。</explain>
      <paraID>572B8696</paraID>
      <start>11</start>
      <end>12</end>
      <status>unmodified</status>
      <modifiedWord/>
      <trackRevisions>false</trackRevisions>
    </reviewItem>
    <reviewItem>
      <errorID>703cc16a-3b99-4ba8-aad7-ea4d76e3b4a7</errorID>
      <errorWord>，</errorWord>
      <group>L1_Format</group>
      <groupName>格式问题</groupName>
      <ability>L2_HalfPunc</ability>
      <abilityName>全半角检查</abilityName>
      <candidateList>
        <item>, </item>
      </candidateList>
      <explain>文本全半角错误。</explain>
      <paraID>2B150FD3</paraID>
      <start>2</start>
      <end>3</end>
      <status>unmodified</status>
      <modifiedWord/>
      <trackRevisions>false</trackRevisions>
    </reviewItem>
    <reviewItem>
      <errorID>bc97d569-a7ca-413e-a4d8-e5736e4eac8a</errorID>
      <errorWord>，</errorWord>
      <group>L1_Format</group>
      <groupName>格式问题</groupName>
      <ability>L2_HalfPunc</ability>
      <abilityName>全半角检查</abilityName>
      <candidateList>
        <item>, </item>
      </candidateList>
      <explain>文本全半角错误。</explain>
      <paraID>2B150FD3</paraID>
      <start>5</start>
      <end>6</end>
      <status>unmodified</status>
      <modifiedWord/>
      <trackRevisions>false</trackRevisions>
    </reviewItem>
    <reviewItem>
      <errorID>2c18cea4-0e44-4c7b-98a2-fc55e3d29723</errorID>
      <errorWord>，</errorWord>
      <group>L1_Format</group>
      <groupName>格式问题</groupName>
      <ability>L2_HalfPunc</ability>
      <abilityName>全半角检查</abilityName>
      <candidateList>
        <item>, </item>
      </candidateList>
      <explain>文本全半角错误。</explain>
      <paraID>2B150FD3</paraID>
      <start>10</start>
      <end>11</end>
      <status>unmodified</status>
      <modifiedWord/>
      <trackRevisions>false</trackRevisions>
    </reviewItem>
    <reviewItem>
      <errorID>758aaa6f-dac3-409b-95e1-5c7e427bf223</errorID>
      <errorWord>，</errorWord>
      <group>L1_Format</group>
      <groupName>格式问题</groupName>
      <ability>L2_HalfPunc</ability>
      <abilityName>全半角检查</abilityName>
      <candidateList>
        <item>, </item>
      </candidateList>
      <explain>文本全半角错误。</explain>
      <paraID>41BE421C</paraID>
      <start>2</start>
      <end>3</end>
      <status>unmodified</status>
      <modifiedWord/>
      <trackRevisions>false</trackRevisions>
    </reviewItem>
    <reviewItem>
      <errorID>b7d06c30-1862-40b9-a55f-06106a1422e4</errorID>
      <errorWord>，</errorWord>
      <group>L1_Format</group>
      <groupName>格式问题</groupName>
      <ability>L2_HalfPunc</ability>
      <abilityName>全半角检查</abilityName>
      <candidateList>
        <item>, </item>
      </candidateList>
      <explain>文本全半角错误。</explain>
      <paraID>41BE421C</paraID>
      <start>5</start>
      <end>6</end>
      <status>unmodified</status>
      <modifiedWord/>
      <trackRevisions>false</trackRevisions>
    </reviewItem>
    <reviewItem>
      <errorID>e97dbde6-3737-4b53-8269-a8309f1d2310</errorID>
      <errorWord>，</errorWord>
      <group>L1_Format</group>
      <groupName>格式问题</groupName>
      <ability>L2_HalfPunc</ability>
      <abilityName>全半角检查</abilityName>
      <candidateList>
        <item>, </item>
      </candidateList>
      <explain>文本全半角错误。</explain>
      <paraID>41BE421C</paraID>
      <start>10</start>
      <end>11</end>
      <status>unmodified</status>
      <modifiedWord/>
      <trackRevisions>false</trackRevisions>
    </reviewItem>
    <reviewItem>
      <errorID>ab8259c3-781f-403c-9659-fdaf07e3c251</errorID>
      <errorWord>，</errorWord>
      <group>L1_Format</group>
      <groupName>格式问题</groupName>
      <ability>L2_HalfPunc</ability>
      <abilityName>全半角检查</abilityName>
      <candidateList>
        <item>, </item>
      </candidateList>
      <explain>文本全半角错误。</explain>
      <paraID>218AF1B2</paraID>
      <start>6</start>
      <end>7</end>
      <status>unmodified</status>
      <modifiedWord/>
      <trackRevisions>false</trackRevisions>
    </reviewItem>
    <reviewItem>
      <errorID>da795595-f100-407f-983e-692aae8aeaa1</errorID>
      <errorWord>，</errorWord>
      <group>L1_Format</group>
      <groupName>格式问题</groupName>
      <ability>L2_HalfPunc</ability>
      <abilityName>全半角检查</abilityName>
      <candidateList>
        <item>, </item>
      </candidateList>
      <explain>文本全半角错误。</explain>
      <paraID>4BA655AD</paraID>
      <start>6</start>
      <end>7</end>
      <status>unmodified</status>
      <modifiedWord/>
      <trackRevisions>false</trackRevisions>
    </reviewItem>
    <reviewItem>
      <errorID>427a818c-de62-4fd8-b460-29decb070753</errorID>
      <errorWord>，</errorWord>
      <group>L1_Format</group>
      <groupName>格式问题</groupName>
      <ability>L2_HalfPunc</ability>
      <abilityName>全半角检查</abilityName>
      <candidateList>
        <item>, </item>
      </candidateList>
      <explain>文本全半角错误。</explain>
      <paraID>5BCE7A07</paraID>
      <start>6</start>
      <end>7</end>
      <status>unmodified</status>
      <modifiedWord/>
      <trackRevisions>false</trackRevisions>
    </reviewItem>
    <reviewItem>
      <errorID>927fb8e3-01e4-4246-bdc5-422e0c614247</errorID>
      <errorWord>，</errorWord>
      <group>L1_Format</group>
      <groupName>格式问题</groupName>
      <ability>L2_HalfPunc</ability>
      <abilityName>全半角检查</abilityName>
      <candidateList>
        <item>, </item>
      </candidateList>
      <explain>文本全半角错误。</explain>
      <paraID>15BBEA63</paraID>
      <start>6</start>
      <end>7</end>
      <status>unmodified</status>
      <modifiedWord/>
      <trackRevisions>false</trackRevisions>
    </reviewItem>
    <reviewItem>
      <errorID>3acb612c-ac7a-4cd8-9c8f-8969facb3960</errorID>
      <errorWord>，</errorWord>
      <group>L1_Format</group>
      <groupName>格式问题</groupName>
      <ability>L2_HalfPunc</ability>
      <abilityName>全半角检查</abilityName>
      <candidateList>
        <item>, </item>
      </candidateList>
      <explain>文本全半角错误。</explain>
      <paraID> D6D049C</paraID>
      <start>5</start>
      <end>6</end>
      <status>unmodified</status>
      <modifiedWord/>
      <trackRevisions>false</trackRevisions>
    </reviewItem>
    <reviewItem>
      <errorID>947694b9-c504-4d3e-9585-717d0b1874cc</errorID>
      <errorWord>，</errorWord>
      <group>L1_Format</group>
      <groupName>格式问题</groupName>
      <ability>L2_HalfPunc</ability>
      <abilityName>全半角检查</abilityName>
      <candidateList>
        <item>, </item>
      </candidateList>
      <explain>文本全半角错误。</explain>
      <paraID>61949352</paraID>
      <start>5</start>
      <end>6</end>
      <status>unmodified</status>
      <modifiedWord/>
      <trackRevisions>false</trackRevisions>
    </reviewItem>
    <reviewItem>
      <errorID>c77fecf3-3604-4959-a971-0f7c33cf5c8b</errorID>
      <errorWord>，</errorWord>
      <group>L1_Format</group>
      <groupName>格式问题</groupName>
      <ability>L2_HalfPunc</ability>
      <abilityName>全半角检查</abilityName>
      <candidateList>
        <item>, </item>
      </candidateList>
      <explain>文本全半角错误。</explain>
      <paraID>7F55BBD9</paraID>
      <start>5</start>
      <end>6</end>
      <status>unmodified</status>
      <modifiedWord/>
      <trackRevisions>false</trackRevisions>
    </reviewItem>
    <reviewItem>
      <errorID>f6eb9e8b-ad1c-4967-9d81-5432eaa38a1f</errorID>
      <errorWord>，</errorWord>
      <group>L1_Format</group>
      <groupName>格式问题</groupName>
      <ability>L2_HalfPunc</ability>
      <abilityName>全半角检查</abilityName>
      <candidateList>
        <item>, </item>
      </candidateList>
      <explain>文本全半角错误。</explain>
      <paraID>470651B7</paraID>
      <start>5</start>
      <end>6</end>
      <status>unmodified</status>
      <modifiedWord/>
      <trackRevisions>false</trackRevisions>
    </reviewItem>
    <reviewItem>
      <errorID>da3a321f-0bc3-4b55-aa3b-406426f295ae</errorID>
      <errorWord>，</errorWord>
      <group>L1_Format</group>
      <groupName>格式问题</groupName>
      <ability>L2_HalfPunc</ability>
      <abilityName>全半角检查</abilityName>
      <candidateList>
        <item>, </item>
      </candidateList>
      <explain>文本全半角错误。</explain>
      <paraID>1F307C4A</paraID>
      <start>5</start>
      <end>6</end>
      <status>unmodified</status>
      <modifiedWord/>
      <trackRevisions>false</trackRevisions>
    </reviewItem>
    <reviewItem>
      <errorID>eea2b31c-0f5f-4e32-970d-3d451d1f3c92</errorID>
      <errorWord>，</errorWord>
      <group>L1_Format</group>
      <groupName>格式问题</groupName>
      <ability>L2_HalfPunc</ability>
      <abilityName>全半角检查</abilityName>
      <candidateList>
        <item>, </item>
      </candidateList>
      <explain>文本全半角错误。</explain>
      <paraID>3DF2920F</paraID>
      <start>5</start>
      <end>6</end>
      <status>unmodified</status>
      <modifiedWord/>
      <trackRevisions>false</trackRevisions>
    </reviewItem>
    <reviewItem>
      <errorID>0dedf903-7339-4c32-afa2-be2b42ef2844</errorID>
      <errorWord>，</errorWord>
      <group>L1_Format</group>
      <groupName>格式问题</groupName>
      <ability>L2_HalfPunc</ability>
      <abilityName>全半角检查</abilityName>
      <candidateList>
        <item>, </item>
      </candidateList>
      <explain>文本全半角错误。</explain>
      <paraID>26016919</paraID>
      <start>5</start>
      <end>6</end>
      <status>unmodified</status>
      <modifiedWord/>
      <trackRevisions>false</trackRevisions>
    </reviewItem>
    <reviewItem>
      <errorID>3a3fe5dd-2ec4-41fb-9b91-ffd40da62709</errorID>
      <errorWord>，</errorWord>
      <group>L1_Format</group>
      <groupName>格式问题</groupName>
      <ability>L2_HalfPunc</ability>
      <abilityName>全半角检查</abilityName>
      <candidateList>
        <item>, </item>
      </candidateList>
      <explain>文本全半角错误。</explain>
      <paraID>70F1726E</paraID>
      <start>5</start>
      <end>6</end>
      <status>unmodified</status>
      <modifiedWord/>
      <trackRevisions>false</trackRevisions>
    </reviewItem>
    <reviewItem>
      <errorID>4095de33-98db-45d8-a6d1-fef9dd87f535</errorID>
      <errorWord>进人</errorWord>
      <group>L1_Word</group>
      <groupName>字词问题</groupName>
      <ability>L2_Typo</ability>
      <abilityName>字词错误</abilityName>
      <candidateList>
        <item>进入</item>
      </candidateList>
      <explain>〈动〉支进到某个范围或某个时期里：～学校｜～新阶段◇～角色。</explain>
      <paraID>4E37736D</paraID>
      <start>2</start>
      <end>4</end>
      <status>unmodified</status>
      <modifiedWord/>
      <trackRevisions>false</trackRevisions>
    </reviewItem>
    <reviewItem>
      <errorID>6a2142e7-b82b-4fd8-8278-fae0a488e848</errorID>
      <errorWord>(</errorWord>
      <group>L1_Format</group>
      <groupName>格式问题</groupName>
      <ability>L2_HalfPunc</ability>
      <abilityName>全半角检查</abilityName>
      <candidateList>
        <item>（</item>
      </candidateList>
      <explain>文本全半角错误。</explain>
      <paraID>4E37736D</paraID>
      <start>5</start>
      <end>6</end>
      <status>unmodified</status>
      <modifiedWord/>
      <trackRevisions>false</trackRevisions>
    </reviewItem>
    <reviewItem>
      <errorID>2c97f0b2-3b6b-4ce3-ab07-0d2ce419b2a0</errorID>
      <errorWord>)</errorWord>
      <group>L1_Format</group>
      <groupName>格式问题</groupName>
      <ability>L2_HalfPunc</ability>
      <abilityName>全半角检查</abilityName>
      <candidateList>
        <item>）</item>
      </candidateList>
      <explain>文本全半角错误。</explain>
      <paraID>4E37736D</paraID>
      <start>9</start>
      <end>10</end>
      <status>unmodified</status>
      <modifiedWord/>
      <trackRevisions>false</trackRevisions>
    </reviewItem>
    <reviewItem>
      <errorID>fb725ed8-890f-41a5-8ef9-00823a5d21d4</errorID>
      <errorWord>，</errorWord>
      <group>L1_Format</group>
      <groupName>格式问题</groupName>
      <ability>L2_HalfPunc</ability>
      <abilityName>全半角检查</abilityName>
      <candidateList>
        <item>, </item>
      </candidateList>
      <explain>文本全半角错误。</explain>
      <paraID>7D7237D9</paraID>
      <start>6</start>
      <end>7</end>
      <status>unmodified</status>
      <modifiedWord/>
      <trackRevisions>false</trackRevisions>
    </reviewItem>
    <reviewItem>
      <errorID>d83cdd48-9bc2-4873-a0f2-16dfde55bc97</errorID>
      <errorWord>进人</errorWord>
      <group>L1_Word</group>
      <groupName>字词问题</groupName>
      <ability>L2_Typo</ability>
      <abilityName>字词错误</abilityName>
      <candidateList>
        <item>进入</item>
      </candidateList>
      <explain>〈动〉支进到某个范围或某个时期里：～学校｜～新阶段◇～角色。</explain>
      <paraID>7CA1223B</paraID>
      <start>2</start>
      <end>4</end>
      <status>unmodified</status>
      <modifiedWord/>
      <trackRevisions>false</trackRevisions>
    </reviewItem>
    <reviewItem>
      <errorID>149addb6-f65e-49a1-b434-7fd6a1743e61</errorID>
      <errorWord>(</errorWord>
      <group>L1_Format</group>
      <groupName>格式问题</groupName>
      <ability>L2_HalfPunc</ability>
      <abilityName>全半角检查</abilityName>
      <candidateList>
        <item>（</item>
      </candidateList>
      <explain>文本全半角错误。</explain>
      <paraID>7CA1223B</paraID>
      <start>5</start>
      <end>6</end>
      <status>unmodified</status>
      <modifiedWord/>
      <trackRevisions>false</trackRevisions>
    </reviewItem>
    <reviewItem>
      <errorID>27c6c653-2828-41a6-8346-3d5207fbbad5</errorID>
      <errorWord>)</errorWord>
      <group>L1_Format</group>
      <groupName>格式问题</groupName>
      <ability>L2_HalfPunc</ability>
      <abilityName>全半角检查</abilityName>
      <candidateList>
        <item>）</item>
      </candidateList>
      <explain>文本全半角错误。</explain>
      <paraID>7CA1223B</paraID>
      <start>9</start>
      <end>10</end>
      <status>unmodified</status>
      <modifiedWord/>
      <trackRevisions>false</trackRevisions>
    </reviewItem>
    <reviewItem>
      <errorID>996291d3-c42b-4d21-87e4-ed7c6f748cf2</errorID>
      <errorWord>，</errorWord>
      <group>L1_Format</group>
      <groupName>格式问题</groupName>
      <ability>L2_HalfPunc</ability>
      <abilityName>全半角检查</abilityName>
      <candidateList>
        <item>, </item>
      </candidateList>
      <explain>文本全半角错误。</explain>
      <paraID>52F524FE</paraID>
      <start>6</start>
      <end>7</end>
      <status>unmodified</status>
      <modifiedWord/>
      <trackRevisions>false</trackRevisions>
    </reviewItem>
    <reviewItem>
      <errorID>3bc31e08-4e13-4311-8528-1949ab12c0c3</errorID>
      <errorWord>，</errorWord>
      <group>L1_Format</group>
      <groupName>格式问题</groupName>
      <ability>L2_HalfPunc</ability>
      <abilityName>全半角检查</abilityName>
      <candidateList>
        <item>, </item>
      </candidateList>
      <explain>文本全半角错误。</explain>
      <paraID>7F719685</paraID>
      <start>6</start>
      <end>7</end>
      <status>unmodified</status>
      <modifiedWord/>
      <trackRevisions>false</trackRevisions>
    </reviewItem>
    <reviewItem>
      <errorID>ba9aed26-6e55-46b9-b2ad-76a9889d8014</errorID>
      <errorWord>，</errorWord>
      <group>L1_Format</group>
      <groupName>格式问题</groupName>
      <ability>L2_HalfPunc</ability>
      <abilityName>全半角检查</abilityName>
      <candidateList>
        <item>, </item>
      </candidateList>
      <explain>文本全半角错误。</explain>
      <paraID>1D4CAEAC</paraID>
      <start>6</start>
      <end>7</end>
      <status>unmodified</status>
      <modifiedWord/>
      <trackRevisions>false</trackRevisions>
    </reviewItem>
    <reviewItem>
      <errorID>2aa57601-7a34-481c-ac97-bf7d1cba7b7e</errorID>
      <errorWord>，</errorWord>
      <group>L1_Format</group>
      <groupName>格式问题</groupName>
      <ability>L2_HalfPunc</ability>
      <abilityName>全半角检查</abilityName>
      <candidateList>
        <item>, </item>
      </candidateList>
      <explain>文本全半角错误。</explain>
      <paraID>5A3CD498</paraID>
      <start>5</start>
      <end>6</end>
      <status>unmodified</status>
      <modifiedWord/>
      <trackRevisions>false</trackRevisions>
    </reviewItem>
    <reviewItem>
      <errorID>d67ee025-782c-45e3-866d-8bc60aa8d062</errorID>
      <errorWord>，</errorWord>
      <group>L1_Format</group>
      <groupName>格式问题</groupName>
      <ability>L2_HalfPunc</ability>
      <abilityName>全半角检查</abilityName>
      <candidateList>
        <item>, </item>
      </candidateList>
      <explain>文本全半角错误。</explain>
      <paraID>7A83648D</paraID>
      <start>5</start>
      <end>6</end>
      <status>unmodified</status>
      <modifiedWord/>
      <trackRevisions>false</trackRevisions>
    </reviewItem>
    <reviewItem>
      <errorID>5fdbc5a6-095e-44f8-a595-daa31edc619c</errorID>
      <errorWord>，</errorWord>
      <group>L1_Format</group>
      <groupName>格式问题</groupName>
      <ability>L2_HalfPunc</ability>
      <abilityName>全半角检查</abilityName>
      <candidateList>
        <item>, </item>
      </candidateList>
      <explain>文本全半角错误。</explain>
      <paraID>33B58BAA</paraID>
      <start>5</start>
      <end>6</end>
      <status>unmodified</status>
      <modifiedWord/>
      <trackRevisions>false</trackRevisions>
    </reviewItem>
    <reviewItem>
      <errorID>fcabd550-d480-456e-a277-bb5b2ab198e5</errorID>
      <errorWord>(</errorWord>
      <group>L1_Format</group>
      <groupName>格式问题</groupName>
      <ability>L2_HalfPunc</ability>
      <abilityName>全半角检查</abilityName>
      <candidateList>
        <item>（</item>
      </candidateList>
      <explain>文本全半角错误。</explain>
      <paraID>77C966F6</paraID>
      <start>4</start>
      <end>5</end>
      <status>unmodified</status>
      <modifiedWord/>
      <trackRevisions>false</trackRevisions>
    </reviewItem>
    <reviewItem>
      <errorID>d66e6ca2-dd47-422f-8622-fbb9eca159f2</errorID>
      <errorWord>)</errorWord>
      <group>L1_Format</group>
      <groupName>格式问题</groupName>
      <ability>L2_HalfPunc</ability>
      <abilityName>全半角检查</abilityName>
      <candidateList>
        <item>）</item>
      </candidateList>
      <explain>文本全半角错误。</explain>
      <paraID>77C966F6</paraID>
      <start>12</start>
      <end>13</end>
      <status>unmodified</status>
      <modifiedWord/>
      <trackRevisions>false</trackRevisions>
    </reviewItem>
    <reviewItem>
      <errorID>a8b86285-ccca-4a48-babd-0892ce7d73a4</errorID>
      <errorWord>(</errorWord>
      <group>L1_Format</group>
      <groupName>格式问题</groupName>
      <ability>L2_HalfPunc</ability>
      <abilityName>全半角检查</abilityName>
      <candidateList>
        <item>（</item>
      </candidateList>
      <explain>文本全半角错误。</explain>
      <paraID> FABA6FB</paraID>
      <start>4</start>
      <end>5</end>
      <status>unmodified</status>
      <modifiedWord/>
      <trackRevisions>false</trackRevisions>
    </reviewItem>
    <reviewItem>
      <errorID>8539ef9e-025a-492f-bf4a-5e9f03bbd412</errorID>
      <errorWord>)</errorWord>
      <group>L1_Format</group>
      <groupName>格式问题</groupName>
      <ability>L2_HalfPunc</ability>
      <abilityName>全半角检查</abilityName>
      <candidateList>
        <item>）</item>
      </candidateList>
      <explain>文本全半角错误。</explain>
      <paraID> FABA6FB</paraID>
      <start>12</start>
      <end>13</end>
      <status>unmodified</status>
      <modifiedWord/>
      <trackRevisions>false</trackRevisions>
    </reviewItem>
    <reviewItem>
      <errorID>9060c923-15ed-4b36-8a67-7880dd1d96cd</errorID>
      <errorWord>,</errorWord>
      <group>L1_Format</group>
      <groupName>格式问题</groupName>
      <ability>L2_HalfPunc</ability>
      <abilityName>全半角检查</abilityName>
      <candidateList>
        <item>，</item>
      </candidateList>
      <explain>文本全半角错误。</explain>
      <paraID>7BBCBD40</paraID>
      <start>63</start>
      <end>64</end>
      <status>unmodified</status>
      <modifiedWord/>
      <trackRevisions>false</trackRevisions>
    </reviewItem>
    <reviewItem>
      <errorID>ed5dce5b-dbec-4b6c-a2bd-57cb7e21b49f</errorID>
      <errorWord>,</errorWord>
      <group>L1_Format</group>
      <groupName>格式问题</groupName>
      <ability>L2_HalfPunc</ability>
      <abilityName>全半角检查</abilityName>
      <candidateList>
        <item>，</item>
      </candidateList>
      <explain>文本全半角错误。</explain>
      <paraID>40F2F105</paraID>
      <start>90</start>
      <end>91</end>
      <status>unmodified</status>
      <modifiedWord/>
      <trackRevisions>false</trackRevisions>
    </reviewItem>
    <reviewItem>
      <errorID>d43554ee-4524-44c2-8ef5-f8cbb1cbc801</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705114F9</paraID>
      <start>1</start>
      <end>2</end>
      <status>unmodified</status>
      <modifiedWord/>
      <trackRevisions>false</trackRevisions>
    </reviewItem>
    <reviewItem>
      <errorID>1eb5abdf-7b1c-4fef-b364-ff861d2a102f</errorID>
      <errorWord>范</errorWord>
      <group>L1_Word</group>
      <groupName>字词问题</groupName>
      <ability>L2_Typo</ability>
      <abilityName>字词错误</abilityName>
      <candidateList>
        <item>范等</item>
      </candidateList>
      <explain/>
      <paraID>17543718</paraID>
      <start>114</start>
      <end>115</end>
      <status>unmodified</status>
      <modifiedWord/>
      <trackRevisions>false</trackRevisions>
    </reviewItem>
    <reviewItem>
      <errorID>981b26c4-f119-4248-8103-d3748408d14f</errorID>
      <errorWord>共同协商</errorWord>
      <group>L1_Grammar</group>
      <groupName>语法问题</groupName>
      <ability>L2_Grammar</ability>
      <abilityName>语法错误</abilityName>
      <candidateList>
        <item>协商</item>
      </candidateList>
      <explain/>
      <paraID>5E9B351A</paraID>
      <start>50</start>
      <end>54</end>
      <status>unmodified</status>
      <modifiedWord/>
      <trackRevisions>false</trackRevisions>
    </reviewItem>
    <reviewItem>
      <errorID>aa3afa4b-55cd-4f0f-a3e6-1d1fa41619cd</errorID>
      <errorWord>(</errorWord>
      <group>L1_Format</group>
      <groupName>格式问题</groupName>
      <ability>L2_HalfPunc</ability>
      <abilityName>全半角检查</abilityName>
      <candidateList>
        <item>（</item>
      </candidateList>
      <explain>文本全半角错误。</explain>
      <paraID>18ECAC58</paraID>
      <start>12</start>
      <end>13</end>
      <status>unmodified</status>
      <modifiedWord/>
      <trackRevisions>false</trackRevisions>
    </reviewItem>
    <reviewItem>
      <errorID>8e92e68f-6281-41e3-9f89-df5853a1c91b</errorID>
      <errorWord>)</errorWord>
      <group>L1_Format</group>
      <groupName>格式问题</groupName>
      <ability>L2_HalfPunc</ability>
      <abilityName>全半角检查</abilityName>
      <candidateList>
        <item>）</item>
      </candidateList>
      <explain>文本全半角错误。</explain>
      <paraID>18ECAC58</paraID>
      <start>15</start>
      <end>16</end>
      <status>unmodified</status>
      <modifiedWord/>
      <trackRevisions>false</trackRevisions>
    </reviewItem>
    <reviewItem>
      <errorID>bf2c4589-6502-4bb6-9780-394e931b9658</errorID>
      <errorWord>坡口</errorWord>
      <group>L1_Word</group>
      <groupName>字词问题</groupName>
      <ability>L2_Typo</ability>
      <abilityName>字词错误</abilityName>
      <candidateList>
        <item>破口</item>
      </candidateList>
      <explain/>
      <paraID>5655AF1F</paraID>
      <start>22</start>
      <end>24</end>
      <status>unmodified</status>
      <modifiedWord/>
      <trackRevisions>false</trackRevisions>
    </reviewItem>
    <reviewItem>
      <errorID>9a17f399-3428-4b91-8df9-ec913f35d31b</errorID>
      <errorWord>JB</errorWord>
      <group>L1_Sensitive</group>
      <groupName>敏感问题</groupName>
      <ability>L2_Abuse</ability>
      <abilityName>侮辱言辞</abilityName>
      <candidateList/>
      <explain>【侮辱言辞】句中涉及侮辱性的敏感内容，请注意甄别。</explain>
      <paraID>2B2B9746</paraID>
      <start>0</start>
      <end>2</end>
      <status>unmodified</status>
      <modifiedWord/>
      <trackRevisions>false</trackRevisions>
    </reviewItem>
    <reviewItem>
      <errorID>6b8b69df-c529-4749-81a6-44e4303c33ab</errorID>
      <errorWord>终生</errorWord>
      <group>L1_Word</group>
      <groupName>字词问题</groupName>
      <ability>L2_Typo</ability>
      <abilityName>字词错误</abilityName>
      <candidateList>
        <item>终身</item>
      </candidateList>
      <explain>存在发音相近字词的误用。</explain>
      <paraID>19369D60</paraID>
      <start>66</start>
      <end>68</end>
      <status>unmodified</status>
      <modifiedWord/>
      <trackRevisions>false</trackRevisions>
    </reviewItem>
    <reviewItem>
      <errorID>5722e038-9004-42c7-9dbc-1765f2f734a2</errorID>
      <errorWord>JB</errorWord>
      <group>L1_Sensitive</group>
      <groupName>敏感问题</groupName>
      <ability>L2_Abuse</ability>
      <abilityName>侮辱言辞</abilityName>
      <candidateList/>
      <explain>【侮辱言辞】句中涉及侮辱性的敏感内容，请注意甄别。</explain>
      <paraID>6C9EB35F</paraID>
      <start>15</start>
      <end>17</end>
      <status>unmodified</status>
      <modifiedWord/>
      <trackRevisions>false</trackRevisions>
    </reviewItem>
    <reviewItem>
      <errorID>e70234cd-113e-4123-8ba7-35a62222008e</errorID>
      <errorWord>，</errorWord>
      <group>L1_Word</group>
      <groupName>字词问题</groupName>
      <ability>L2_Typo</ability>
      <abilityName>字词错误</abilityName>
      <candidateList>
        <item>，具</item>
      </candidateList>
      <explain/>
      <paraID>198E5A5B</paraID>
      <start>16</start>
      <end>17</end>
      <status>unmodified</status>
      <modifiedWord/>
      <trackRevisions>false</trackRevisions>
    </reviewItem>
    <reviewItem>
      <errorID>d3131e24-de87-4ef3-a9d2-cde49ea35d3c</errorID>
      <errorWord>JB</errorWord>
      <group>L1_Sensitive</group>
      <groupName>敏感问题</groupName>
      <ability>L2_Abuse</ability>
      <abilityName>侮辱言辞</abilityName>
      <candidateList/>
      <explain>【侮辱言辞】句中涉及侮辱性的敏感内容，请注意甄别。</explain>
      <paraID>198E5A5B</paraID>
      <start>51</start>
      <end>53</end>
      <status>unmodified</status>
      <modifiedWord/>
      <trackRevisions>false</trackRevisions>
    </reviewItem>
    <reviewItem>
      <errorID>8d76ad21-eeab-4797-ad79-826ba46c12b9</errorID>
      <errorWord>JB</errorWord>
      <group>L1_Sensitive</group>
      <groupName>敏感问题</groupName>
      <ability>L2_Abuse</ability>
      <abilityName>侮辱言辞</abilityName>
      <candidateList/>
      <explain>【侮辱言辞】句中涉及侮辱性的敏感内容，请注意甄别。</explain>
      <paraID>6919BE99</paraID>
      <start>20</start>
      <end>22</end>
      <status>unmodified</status>
      <modifiedWord/>
      <trackRevisions>false</trackRevisions>
    </reviewItem>
    <reviewItem>
      <errorID>5bc42334-e130-40b4-8900-885bf2995c91</errorID>
      <errorWord>编制</errorWord>
      <group>L1_Word</group>
      <groupName>字词问题</groupName>
      <ability>L2_Typo</ability>
      <abilityName>字词错误</abilityName>
      <candidateList>
        <item>编织</item>
      </candidateList>
      <explain>〈动〉把细长的东西互相交错或钩连而组织起来：～毛衣◇根据民间传说～成一篇美丽的童话。</explain>
      <paraID>1A1580F1</paraID>
      <start>85</start>
      <end>87</end>
      <status>unmodified</status>
      <modifiedWord/>
      <trackRevisions>false</trackRevisions>
    </reviewItem>
    <reviewItem>
      <errorID>d08a332f-aa22-4dc6-9e50-839dbeec7df6</errorID>
      <errorWord>JB</errorWord>
      <group>L1_Sensitive</group>
      <groupName>敏感问题</groupName>
      <ability>L2_Abuse</ability>
      <abilityName>侮辱言辞</abilityName>
      <candidateList/>
      <explain>【侮辱言辞】句中涉及侮辱性的敏感内容，请注意甄别。</explain>
      <paraID>1A1580F1</paraID>
      <start>92</start>
      <end>94</end>
      <status>unmodified</status>
      <modifiedWord/>
      <trackRevisions>false</trackRevisions>
    </reviewItem>
    <reviewItem>
      <errorID>9de86981-0c7b-4f41-b4fa-e9ed2eb290e2</errorID>
      <errorWord>适合</errorWord>
      <group>L1_Word</group>
      <groupName>字词问题</groupName>
      <ability>L2_Typo</ability>
      <abilityName>字词错误</abilityName>
      <candidateList>
        <item>符合</item>
      </candidateList>
      <explain>〈动〉（数量、形状、情节等）相合：～事实｜这些产品不～质量标准。</explain>
      <paraID> 683B7FB</paraID>
      <start>233</start>
      <end>235</end>
      <status>unmodified</status>
      <modifiedWord/>
      <trackRevisions>false</trackRevisions>
    </reviewItem>
    <reviewItem>
      <errorID>792361a9-bcd2-4dbe-9c9f-c5b02528ec3c</errorID>
      <errorWord>作</errorWord>
      <group>L1_Word</group>
      <groupName>字词问题</groupName>
      <ability>L2_Typo</ability>
      <abilityName>字词错误</abilityName>
      <candidateList>
        <item>做</item>
      </candidateList>
      <explain>（作）zuò〈动〉❶制造：～衣服｜用这木头～张桌子。❷写作：～文章。❸从事某种工作或活动：～工｜～事｜～买卖。❹举行庆祝或纪念活动：～寿｜～生日。❺充当；担任：～母亲的｜～官｜～教员｜～保育员｜今天开会由他～主席。❻当做：树皮可以～造纸的原料｜这篇文章可以～教材。❼结成（某种关系）：～亲｜～对头｜～朋友。</explain>
      <paraID>3F762379</paraID>
      <start>45</start>
      <end>46</end>
      <status>unmodified</status>
      <modifiedWord/>
      <trackRevisions>false</trackRevisions>
    </reviewItem>
    <reviewItem>
      <errorID>47ddbf60-781f-4ea0-a72a-938a2b423750</errorID>
      <errorWord>其它</errorWord>
      <group>L1_Word</group>
      <groupName>字词问题</groupName>
      <ability>L2_Alias</ability>
      <abilityName>也作/曾用词</abilityName>
      <candidateList>
        <item>其他</item>
      </candidateList>
      <explain>词汇[其它]为不规范表述或旧称，其规范书面表述为[其他]。</explain>
      <paraID>49C97F6D</paraID>
      <start>5</start>
      <end>7</end>
      <status>unmodified</status>
      <modifiedWord/>
      <trackRevisions>false</trackRevisions>
    </reviewItem>
    <reviewItem>
      <errorID>f0b23664-f371-439f-b1c8-821171615bf6</errorID>
      <errorWord>做出</errorWord>
      <group>L1_Word</group>
      <groupName>字词问题</groupName>
      <ability>L2_Typo</ability>
      <abilityName>字词错误</abilityName>
      <candidateList>
        <item>作出</item>
      </candidateList>
      <explain/>
      <paraID>6B4F377B</paraID>
      <start>34</start>
      <end>36</end>
      <status>unmodified</status>
      <modifiedWord/>
      <trackRevisions>false</trackRevisions>
    </reviewItem>
    <reviewItem>
      <errorID>6683a736-d39f-4ad0-a342-a6331fa3f754</errorID>
      <errorWord>且都</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73C4E2F4</paraID>
      <start>51</start>
      <end>53</end>
      <status>unmodified</status>
      <modifiedWord/>
      <trackRevisions>false</trackRevisions>
    </reviewItem>
    <reviewItem>
      <errorID>a9a700fa-37fd-45b8-baff-cf6ce8bdf15c</errorID>
      <errorWord>粘</errorWord>
      <group>L1_Word</group>
      <groupName>字词问题</groupName>
      <ability>L2_Typo</ability>
      <abilityName>字词错误</abilityName>
      <candidateList>
        <item>黏</item>
      </candidateList>
      <explain>存在发音相同字词的误用。</explain>
      <paraID>66F3E435</paraID>
      <start>129</start>
      <end>130</end>
      <status>unmodified</status>
      <modifiedWord/>
      <trackRevisions>false</trackRevisions>
    </reviewItem>
    <reviewItem>
      <errorID>781d6e78-1877-4fbd-b668-dd7dac8764d3</errorID>
      <errorWord>终生</errorWord>
      <group>L1_Word</group>
      <groupName>字词问题</groupName>
      <ability>L2_Typo</ability>
      <abilityName>字词错误</abilityName>
      <candidateList>
        <item>终身</item>
      </candidateList>
      <explain>存在发音相近字词的误用。</explain>
      <paraID>203288C9</paraID>
      <start>58</start>
      <end>60</end>
      <status>unmodified</status>
      <modifiedWord/>
      <trackRevisions>false</trackRevisions>
    </reviewItem>
    <reviewItem>
      <errorID>c8c69ab6-ab89-4c3d-8cbd-22038257b376</errorID>
      <errorWord>涡杆</errorWord>
      <group>L1_Word</group>
      <groupName>字词问题</groupName>
      <ability>L2_Typo</ability>
      <abilityName>字词错误</abilityName>
      <candidateList>
        <item>蜗杆</item>
      </candidateList>
      <explain>存在发音相同字词的误用。</explain>
      <paraID>203288C9</paraID>
      <start>80</start>
      <end>82</end>
      <status>unmodified</status>
      <modifiedWord/>
      <trackRevisions>false</trackRevisions>
    </reviewItem>
    <reviewItem>
      <errorID>03dfc051-6ec7-46a8-ac2f-4f8c0c54c57e</errorID>
      <errorWord>锥型</errorWord>
      <group>L1_Word</group>
      <groupName>字词问题</groupName>
      <ability>L2_Typo</ability>
      <abilityName>字词错误</abilityName>
      <candidateList>
        <item>锥形</item>
      </candidateList>
      <explain>存在发音相同字词的误用。</explain>
      <paraID>37F61684</paraID>
      <start>6</start>
      <end>8</end>
      <status>unmodified</status>
      <modifiedWord/>
      <trackRevisions>false</trackRevisions>
    </reviewItem>
    <reviewItem>
      <errorID>9ba895ef-debd-4b4a-b0e7-170dd242e182</errorID>
      <errorWord>其它</errorWord>
      <group>L1_Word</group>
      <groupName>字词问题</groupName>
      <ability>L2_Alias</ability>
      <abilityName>也作/曾用词</abilityName>
      <candidateList>
        <item>其他</item>
      </candidateList>
      <explain>词汇[其它]为不规范表述或旧称，其规范书面表述为[其他]。</explain>
      <paraID>7D3059BC</paraID>
      <start>0</start>
      <end>2</end>
      <status>unmodified</status>
      <modifiedWord/>
      <trackRevisions>false</trackRevisions>
    </reviewItem>
    <reviewItem>
      <errorID>7e69fce3-c197-46f0-984f-0ece9d2d11fa</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18AD17BD</paraID>
      <start>35</start>
      <end>38</end>
      <status>unmodified</status>
      <modifiedWord/>
      <trackRevisions>false</trackRevisions>
    </reviewItem>
    <reviewItem>
      <errorID>a615d4f6-d71c-4470-87f3-e29a2b7a4292</errorID>
      <errorWord>(</errorWord>
      <group>L1_Format</group>
      <groupName>格式问题</groupName>
      <ability>L2_HalfPunc</ability>
      <abilityName>全半角检查</abilityName>
      <candidateList>
        <item>（</item>
      </candidateList>
      <explain>文本全半角错误。</explain>
      <paraID>5B0DEE70</paraID>
      <start>0</start>
      <end>1</end>
      <status>unmodified</status>
      <modifiedWord/>
      <trackRevisions>false</trackRevisions>
    </reviewItem>
    <reviewItem>
      <errorID>467b82b5-64b8-4bcb-bbfd-8f6dc7f173ce</errorID>
      <errorWord>阀门</errorWord>
      <group>L1_Word</group>
      <groupName>字词问题</groupName>
      <ability>L2_Typo</ability>
      <abilityName>字词错误</abilityName>
      <candidateList>
        <item>阀</item>
      </candidateList>
      <explain/>
      <paraID>785451E1</paraID>
      <start>82</start>
      <end>84</end>
      <status>unmodified</status>
      <modifiedWord/>
      <trackRevisions>false</trackRevisions>
    </reviewItem>
    <reviewItem>
      <errorID>afcdcc4e-7165-4fc8-9473-e507962cdd27</errorID>
      <errorWord>应</errorWord>
      <group>L1_Word</group>
      <groupName>字词问题</groupName>
      <ability>L2_Typo</ability>
      <abilityName>字词错误</abilityName>
      <candidateList>
        <item>因</item>
      </candidateList>
      <explain>存在发音相近字词的误用。</explain>
      <paraID>3F4FCFBC</paraID>
      <start>50</start>
      <end>51</end>
      <status>unmodified</status>
      <modifiedWord/>
      <trackRevisions>false</trackRevisions>
    </reviewItem>
    <reviewItem>
      <errorID>7a0025b2-22aa-4ac7-ac65-1c14d4693eed</errorID>
      <errorWord>只</errorWord>
      <group>L1_Knowledge</group>
      <groupName>知识性问题</groupName>
      <ability>L2_Knowledge</ability>
      <abilityName>其他知识</abilityName>
      <candidateList>
        <item>支</item>
      </candidateList>
      <explain>请检查“只”是否为量词使用错误，建议修改为“支”。</explain>
      <paraID>24E20B2E</paraID>
      <start>14</start>
      <end>15</end>
      <status>unmodified</status>
      <modifiedWord/>
      <trackRevisions>false</trackRevisions>
    </reviewItem>
    <reviewItem>
      <errorID>d689fca4-745d-4586-9bfb-deccfdd5d91c</errorID>
      <errorWord>噪音</errorWord>
      <group>L1_Word</group>
      <groupName>字词问题</groupName>
      <ability>L2_Alias</ability>
      <abilityName>也作/曾用词</abilityName>
      <candidateList>
        <item>噪声</item>
      </candidateList>
      <explain>词汇[噪音]为不规范表述或旧称，其规范书面表述为[噪声]。</explain>
      <paraID>1EC4A7D7</paraID>
      <start>93</start>
      <end>95</end>
      <status>unmodified</status>
      <modifiedWord/>
      <trackRevisions>false</trackRevisions>
    </reviewItem>
    <reviewItem>
      <errorID>82125a15-f334-48d0-913c-a20b62e0d46d</errorID>
      <errorWord>应</errorWord>
      <group>L1_Word</group>
      <groupName>字词问题</groupName>
      <ability>L2_Typo</ability>
      <abilityName>字词错误</abilityName>
      <candidateList>
        <item>因</item>
      </candidateList>
      <explain>存在发音相近字词的误用。</explain>
      <paraID>156890ED</paraID>
      <start>50</start>
      <end>51</end>
      <status>unmodified</status>
      <modifiedWord/>
      <trackRevisions>false</trackRevisions>
    </reviewItem>
    <reviewItem>
      <errorID>08bcdf40-e531-4db9-a7d6-1f6367920f89</errorID>
      <errorWord>噪音</errorWord>
      <group>L1_Word</group>
      <groupName>字词问题</groupName>
      <ability>L2_Alias</ability>
      <abilityName>也作/曾用词</abilityName>
      <candidateList>
        <item>噪声</item>
      </candidateList>
      <explain>词汇[噪音]为不规范表述或旧称，其规范书面表述为[噪声]。</explain>
      <paraID>1328B034</paraID>
      <start>12</start>
      <end>14</end>
      <status>unmodified</status>
      <modifiedWord/>
      <trackRevisions>false</trackRevisions>
    </reviewItem>
    <reviewItem>
      <errorID>1ab2fa13-75cf-451a-a1b2-c833ead612bd</errorID>
      <errorWord>JB</errorWord>
      <group>L1_Sensitive</group>
      <groupName>敏感问题</groupName>
      <ability>L2_Abuse</ability>
      <abilityName>侮辱言辞</abilityName>
      <candidateList/>
      <explain>【侮辱言辞】句中涉及侮辱性的敏感内容，请注意甄别。</explain>
      <paraID> 69BC2F7</paraID>
      <start>33</start>
      <end>35</end>
      <status>unmodified</status>
      <modifiedWord/>
      <trackRevisions>false</trackRevisions>
    </reviewItem>
    <reviewItem>
      <errorID>8605ea1d-ab1e-4788-9e28-75d6e982ae58</errorID>
      <errorWord>少于</errorWord>
      <group>L1_Word</group>
      <groupName>字词问题</groupName>
      <ability>L2_Typo</ability>
      <abilityName>字词错误</abilityName>
      <candidateList>
        <item>小于</item>
      </candidateList>
      <explain/>
      <paraID>5158FFE9</paraID>
      <start>34</start>
      <end>36</end>
      <status>unmodified</status>
      <modifiedWord/>
      <trackRevisions>false</trackRevisions>
    </reviewItem>
    <reviewItem>
      <errorID>d6ad1d31-c62a-4cb3-ba9e-734bf7c381c7</errorID>
      <errorWord>“V”型</errorWord>
      <group>L1_Word</group>
      <groupName>字词问题</groupName>
      <ability>L2_Typo</ability>
      <abilityName>字词错误</abilityName>
      <candidateList>
        <item>“V”形</item>
      </candidateList>
      <explain/>
      <paraID> 4D0CC60</paraID>
      <start>35</start>
      <end>39</end>
      <status>unmodified</status>
      <modifiedWord/>
      <trackRevisions>false</trackRevisions>
    </reviewItem>
    <reviewItem>
      <errorID>dc53fd8b-bc22-4a9e-a1d9-9fbf94efe188</errorID>
      <errorWord>“O”型</errorWord>
      <group>L1_Word</group>
      <groupName>字词问题</groupName>
      <ability>L2_Typo</ability>
      <abilityName>字词错误</abilityName>
      <candidateList>
        <item>“O”形</item>
      </candidateList>
      <explain/>
      <paraID> 4D0CC60</paraID>
      <start>42</start>
      <end>46</end>
      <status>unmodified</status>
      <modifiedWord/>
      <trackRevisions>false</trackRevisions>
    </reviewItem>
    <reviewItem>
      <errorID>20ae8346-689e-4147-a914-317800318857</errorID>
      <errorWord>“O”型</errorWord>
      <group>L1_Word</group>
      <groupName>字词问题</groupName>
      <ability>L2_Typo</ability>
      <abilityName>字词错误</abilityName>
      <candidateList>
        <item>“O”形</item>
      </candidateList>
      <explain/>
      <paraID> 4D0CC60</paraID>
      <start>60</start>
      <end>64</end>
      <status>unmodified</status>
      <modifiedWord/>
      <trackRevisions>false</trackRevisions>
    </reviewItem>
    <reviewItem>
      <errorID>0673ce69-90de-4d0f-a9f1-1ff84b7d9120</errorID>
      <errorWord>其它</errorWord>
      <group>L1_Word</group>
      <groupName>字词问题</groupName>
      <ability>L2_Alias</ability>
      <abilityName>也作/曾用词</abilityName>
      <candidateList>
        <item>其他</item>
      </candidateList>
      <explain>词汇[其它]为不规范表述或旧称，其规范书面表述为[其他]。</explain>
      <paraID> 738FA61</paraID>
      <start>26</start>
      <end>28</end>
      <status>unmodified</status>
      <modifiedWord/>
      <trackRevisions>false</trackRevisions>
    </reviewItem>
    <reviewItem>
      <errorID>e2dcd747-be8d-4d9b-a868-735b536bb31e</errorID>
      <errorWord>HZ</errorWord>
      <group>L1_Word</group>
      <groupName>字词问题</groupName>
      <ability>L2_Typo</ability>
      <abilityName>字词错误</abilityName>
      <candidateList>
        <item>Hz</item>
      </candidateList>
      <explain/>
      <paraID>3544C348</paraID>
      <start>33</start>
      <end>35</end>
      <status>unmodified</status>
      <modifiedWord/>
      <trackRevisions>false</trackRevisions>
    </reviewItem>
    <reviewItem>
      <errorID>ba3ab235-21d6-4d33-a652-3976800e7ee9</errorID>
      <errorWord>JB</errorWord>
      <group>L1_Sensitive</group>
      <groupName>敏感问题</groupName>
      <ability>L2_Abuse</ability>
      <abilityName>侮辱言辞</abilityName>
      <candidateList/>
      <explain>【侮辱言辞】句中涉及侮辱性的敏感内容，请注意甄别。</explain>
      <paraID>6123F122</paraID>
      <start>64</start>
      <end>66</end>
      <status>unmodified</status>
      <modifiedWord/>
      <trackRevisions>false</trackRevisions>
    </reviewItem>
    <reviewItem>
      <errorID>ebc0a6da-1519-42b4-955e-954ece9dc959</errorID>
      <errorWord>JB</errorWord>
      <group>L1_Sensitive</group>
      <groupName>敏感问题</groupName>
      <ability>L2_Abuse</ability>
      <abilityName>侮辱言辞</abilityName>
      <candidateList/>
      <explain>【侮辱言辞】句中涉及侮辱性的敏感内容，请注意甄别。</explain>
      <paraID>776BEACD</paraID>
      <start>25</start>
      <end>27</end>
      <status>unmodified</status>
      <modifiedWord/>
      <trackRevisions>false</trackRevisions>
    </reviewItem>
    <reviewItem>
      <errorID>7d6d6c92-ed34-4917-8137-dca7b7af6d40</errorID>
      <errorWord>辩别</errorWord>
      <group>L1_Word</group>
      <groupName>字词问题</groupName>
      <ability>L2_Typo</ability>
      <abilityName>字词错误</abilityName>
      <candidateList>
        <item>辨别</item>
      </candidateList>
      <explain/>
      <paraID> 70750C6</paraID>
      <start>30</start>
      <end>32</end>
      <status>unmodified</status>
      <modifiedWord/>
      <trackRevisions>false</trackRevisions>
    </reviewItem>
    <reviewItem>
      <errorID>9dcc2949-66b0-4c95-86ab-488ada30c54b</errorID>
      <errorWord>应</errorWord>
      <group>L1_Word</group>
      <groupName>字词问题</groupName>
      <ability>L2_Typo</ability>
      <abilityName>字词错误</abilityName>
      <candidateList>
        <item>应有</item>
      </candidateList>
      <explain/>
      <paraID>6D7760C8</paraID>
      <start>16</start>
      <end>17</end>
      <status>unmodified</status>
      <modifiedWord/>
      <trackRevisions>false</trackRevisions>
    </reviewItem>
    <reviewItem>
      <errorID>59431c6e-242e-4508-8d5f-4c8fca6dc421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5C1A2DCC</paraID>
      <start>37</start>
      <end>38</end>
      <status>unmodified</status>
      <modifiedWord/>
      <trackRevisions>false</trackRevisions>
    </reviewItem>
    <reviewItem>
      <errorID>bc3a5e52-bf8a-49ba-9e76-76085a5d6c25</errorID>
      <errorWord>发生</errorWord>
      <group>L1_Word</group>
      <groupName>字词问题</groupName>
      <ability>L2_Typo</ability>
      <abilityName>字词错误</abilityName>
      <candidateList>
        <item>发声</item>
      </candidateList>
      <explain/>
      <paraID>4F77D821</paraID>
      <start>6</start>
      <end>8</end>
      <status>unmodified</status>
      <modifiedWord/>
      <trackRevisions>false</trackRevisions>
    </reviewItem>
    <reviewItem>
      <errorID>04d6b0d3-6a8b-4b24-9f1e-afa7a41c7d34</errorID>
      <errorWord>应能</errorWord>
      <group>L1_Word</group>
      <groupName>字词问题</groupName>
      <ability>L2_Typo</ability>
      <abilityName>字词错误</abilityName>
      <candidateList>
        <item>应</item>
      </candidateList>
      <explain/>
      <paraID>4F77D821</paraID>
      <start>16</start>
      <end>18</end>
      <status>unmodified</status>
      <modifiedWord/>
      <trackRevisions>false</trackRevisions>
    </reviewItem>
    <reviewItem>
      <errorID>165adac3-6f46-4427-a448-7ec4335ebec2</errorID>
      <errorWord>附合</errorWord>
      <group>L1_Word</group>
      <groupName>字词问题</groupName>
      <ability>L2_Typo</ability>
      <abilityName>字词错误</abilityName>
      <candidateList>
        <item>符合</item>
      </candidateList>
      <explain>〈动〉（数量、形状、情节等）相合：～事实｜这些产品不～质量标准。</explain>
      <paraID>58812B2A</paraID>
      <start>35</start>
      <end>37</end>
      <status>unmodified</status>
      <modifiedWord/>
      <trackRevisions>false</trackRevisions>
    </reviewItem>
    <reviewItem>
      <errorID>754414ec-60aa-45b4-824c-d630a6178c76</errorID>
      <errorWord>联接</errorWord>
      <group>L1_Word</group>
      <groupName>字词问题</groupName>
      <ability>L2_Typo</ability>
      <abilityName>字词错误</abilityName>
      <candidateList>
        <item>连接</item>
      </candidateList>
      <explain>存在发音相同字词的误用。</explain>
      <paraID>4008EC20</paraID>
      <start>26</start>
      <end>28</end>
      <status>unmodified</status>
      <modifiedWord/>
      <trackRevisions>false</trackRevisions>
    </reviewItem>
    <reviewItem>
      <errorID>18e92af6-a188-492c-b2dc-e931baed2f33</errorID>
      <errorWord>其它</errorWord>
      <group>L1_Word</group>
      <groupName>字词问题</groupName>
      <ability>L2_Alias</ability>
      <abilityName>也作/曾用词</abilityName>
      <candidateList>
        <item>其他</item>
      </candidateList>
      <explain>词汇[其它]为不规范表述或旧称，其规范书面表述为[其他]。</explain>
      <paraID>689DA523</paraID>
      <start>9</start>
      <end>11</end>
      <status>unmodified</status>
      <modifiedWord/>
      <trackRevisions>false</trackRevisions>
    </reviewItem>
    <reviewItem>
      <errorID>667ec7c9-c3d5-4be0-88f3-934aa7512cdf</errorID>
      <errorWord>联接</errorWord>
      <group>L1_Word</group>
      <groupName>字词问题</groupName>
      <ability>L2_Typo</ability>
      <abilityName>字词错误</abilityName>
      <candidateList>
        <item>连接</item>
      </candidateList>
      <explain>（联接）liánjiē〈动〉❶（事物）互相衔接：山岭～。❷使连接：～线路。</explain>
      <paraID>21F6D346</paraID>
      <start>43</start>
      <end>45</end>
      <status>unmodified</status>
      <modifiedWord/>
      <trackRevisions>false</trackRevisions>
    </reviewItem>
    <reviewItem>
      <errorID>fb7cc52f-d5fc-44cc-a0c4-e5a5f912f802</errorID>
      <errorWord>在</errorWord>
      <group>L1_Word</group>
      <groupName>字词问题</groupName>
      <ability>L2_Typo</ability>
      <abilityName>字词错误</abilityName>
      <candidateList>
        <item>再</item>
      </candidateList>
      <explain>❶〈副〉a）表示又一次（有时专指第二次）：～版｜～接～厉｜一而～，～而三｜学习，学习，～学习。注意表示已经重复的动作用“又”，表示将要重复的动作用“再”，如：这部书前几天我又读了一遍，以后有时间我还要～读一遍。b）表示更加：高点儿，～高点儿｜～多一点儿就好了。c）表示如果继续下去就会怎样：学习～不努力，就得留级了｜离开车只剩半个钟头了，～不走可赶不上了。</explain>
      <paraID> 1B1C890</paraID>
      <start>7</start>
      <end>8</end>
      <status>unmodified</status>
      <modifiedWord/>
      <trackRevisions>false</trackRevisions>
    </reviewItem>
    <reviewItem>
      <errorID>86c40169-d6ad-413c-9cb5-26b31dc60eab</errorID>
      <errorWord>无极</errorWord>
      <group>L1_Word</group>
      <groupName>字词问题</groupName>
      <ability>L2_Typo</ability>
      <abilityName>字词错误</abilityName>
      <candidateList>
        <item>无级</item>
      </candidateList>
      <explain>存在发音相同字词的误用。</explain>
      <paraID>  B92D15</paraID>
      <start>46</start>
      <end>48</end>
      <status>unmodified</status>
      <modifiedWord/>
      <trackRevisions>false</trackRevisions>
    </reviewItem>
    <reviewItem>
      <errorID>87094fb1-8916-478f-a096-cb698894e9ac</errorID>
      <errorWord>支承</errorWord>
      <group>L1_Word</group>
      <groupName>字词问题</groupName>
      <ability>L2_Typo</ability>
      <abilityName>字词错误</abilityName>
      <candidateList>
        <item>支撑</item>
      </candidateList>
      <explain>〈动〉❶抵抗住压力使东西不倒塌：坑道里用柱子～着。❷勉强维持：他～着坐起来，头还在发晕｜一家的生活由他一人～。</explain>
      <paraID>48089979</paraID>
      <start>32</start>
      <end>34</end>
      <status>unmodified</status>
      <modifiedWord/>
      <trackRevisions>false</trackRevisions>
    </reviewItem>
    <reviewItem>
      <errorID>af9c5d64-d585-4a80-9d29-bfa16712e027</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6A31AAEF</paraID>
      <start>28</start>
      <end>29</end>
      <status>unmodified</status>
      <modifiedWord/>
      <trackRevisions>false</trackRevisions>
    </reviewItem>
    <reviewItem>
      <errorID>62660979-af16-4e3d-9635-10f72be7c948</errorID>
      <errorWord>突出</errorWord>
      <group>L1_Word</group>
      <groupName>字词问题</groupName>
      <ability>L2_Typo</ability>
      <abilityName>字词错误</abilityName>
      <candidateList>
        <item>凸出</item>
      </candidateList>
      <explain>存在发音相同字词的误用。</explain>
      <paraID>7A18DCBF</paraID>
      <start>14</start>
      <end>16</end>
      <status>unmodified</status>
      <modifiedWord/>
      <trackRevisions>false</trackRevisions>
    </reviewItem>
    <reviewItem>
      <errorID>c76b2b0f-52be-4378-ae57-c4495458d7f9</errorID>
      <errorWord>突出</errorWord>
      <group>L1_Word</group>
      <groupName>字词问题</groupName>
      <ability>L2_Typo</ability>
      <abilityName>字词错误</abilityName>
      <candidateList>
        <item>凸出</item>
      </candidateList>
      <explain>存在发音相同字词的误用。</explain>
      <paraID>7A18DCBF</paraID>
      <start>43</start>
      <end>45</end>
      <status>unmodified</status>
      <modifiedWord/>
      <trackRevisions>false</trackRevisions>
    </reviewItem>
    <reviewItem>
      <errorID>470987f9-c004-4fa2-bcbc-12515f47e1ec</errorID>
      <errorWord>亚</errorWord>
      <group>L1_Word</group>
      <groupName>字词问题</groupName>
      <ability>L2_Typo</ability>
      <abilityName>字词错误</abilityName>
      <candidateList>
        <item>哑</item>
      </candidateList>
      <explain/>
      <paraID>6388B694</paraID>
      <start>47</start>
      <end>48</end>
      <status>unmodified</status>
      <modifiedWord/>
      <trackRevisions>false</trackRevisions>
    </reviewItem>
    <reviewItem>
      <errorID>ac3fd7a2-771e-460e-8791-6cefbcb37b2c</errorID>
      <errorWord>亚</errorWord>
      <group>L1_Word</group>
      <groupName>字词问题</groupName>
      <ability>L2_Typo</ability>
      <abilityName>字词错误</abilityName>
      <candidateList>
        <item>哑</item>
      </candidateList>
      <explain/>
      <paraID> 72E1052</paraID>
      <start>47</start>
      <end>48</end>
      <status>unmodified</status>
      <modifiedWord/>
      <trackRevisions>false</trackRevisions>
    </reviewItem>
    <reviewItem>
      <errorID>c634365f-e298-4586-99e4-844e215242f6</errorID>
      <errorWord>JB</errorWord>
      <group>L1_Sensitive</group>
      <groupName>敏感问题</groupName>
      <ability>L2_Abuse</ability>
      <abilityName>侮辱言辞</abilityName>
      <candidateList/>
      <explain>【侮辱言辞】句中涉及侮辱性的敏感内容，请注意甄别。</explain>
      <paraID>65A975E3</paraID>
      <start>8</start>
      <end>10</end>
      <status>unmodified</status>
      <modifiedWord/>
      <trackRevisions>false</trackRevisions>
    </reviewItem>
    <reviewItem>
      <errorID>6131d103-af1e-41b4-837b-e69b8907777e</errorID>
      <errorWord>)</errorWord>
      <group>L1_Format</group>
      <groupName>格式问题</groupName>
      <ability>L2_HalfPunc</ability>
      <abilityName>全半角检查</abilityName>
      <candidateList>
        <item>）</item>
      </candidateList>
      <explain>文本全半角错误。</explain>
      <paraID> 15C4960</paraID>
      <start>22</start>
      <end>23</end>
      <status>unmodified</status>
      <modifiedWord/>
      <trackRevisions>false</trackRevisions>
    </reviewItem>
    <reviewItem>
      <errorID>6782e359-d0b8-47cb-9dbb-f08223063134</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23E70D18</paraID>
      <start>18</start>
      <end>21</end>
      <status>unmodified</status>
      <modifiedWord/>
      <trackRevisions>false</trackRevisions>
    </reviewItem>
    <reviewItem>
      <errorID>646c7db5-a851-45a5-8ebb-32927cade2ca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6DE7953C</paraID>
      <start>0</start>
      <end>2</end>
      <status>unmodified</status>
      <modifiedWord/>
      <trackRevisions>false</trackRevisions>
    </reviewItem>
    <reviewItem>
      <errorID>45747be3-c46e-4d64-bbc3-09399114e015</errorID>
      <errorWord>，</errorWord>
      <group>L1_Format</group>
      <groupName>格式问题</groupName>
      <ability>L2_HalfPunc</ability>
      <abilityName>全半角检查</abilityName>
      <candidateList>
        <item>, </item>
      </candidateList>
      <explain>文本全半角错误。</explain>
      <paraID>4BEBF2ED</paraID>
      <start>5</start>
      <end>6</end>
      <status>unmodified</status>
      <modifiedWord/>
      <trackRevisions>false</trackRevisions>
    </reviewItem>
    <reviewItem>
      <errorID>c91caa56-5349-415a-8f95-871dd1ccbb15</errorID>
      <errorWord>，</errorWord>
      <group>L1_Format</group>
      <groupName>格式问题</groupName>
      <ability>L2_HalfPunc</ability>
      <abilityName>全半角检查</abilityName>
      <candidateList>
        <item>, </item>
      </candidateList>
      <explain>文本全半角错误。</explain>
      <paraID> A41AD4D</paraID>
      <start>3</start>
      <end>4</end>
      <status>unmodified</status>
      <modifiedWord/>
      <trackRevisions>false</trackRevisions>
    </reviewItem>
    <reviewItem>
      <errorID>b04708f8-e4e2-4294-b3f1-89c910881653</errorID>
      <errorWord>，</errorWord>
      <group>L1_Format</group>
      <groupName>格式问题</groupName>
      <ability>L2_HalfPunc</ability>
      <abilityName>全半角检查</abilityName>
      <candidateList>
        <item>, </item>
      </candidateList>
      <explain>文本全半角错误。</explain>
      <paraID>30CAEDD9</paraID>
      <start>5</start>
      <end>6</end>
      <status>unmodified</status>
      <modifiedWord/>
      <trackRevisions>false</trackRevisions>
    </reviewItem>
    <reviewItem>
      <errorID>46976a71-db9a-40df-b7ff-7936f34c4364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465AE34A</paraID>
      <start>0</start>
      <end>2</end>
      <status>unmodified</status>
      <modifiedWord/>
      <trackRevisions>false</trackRevisions>
    </reviewItem>
    <reviewItem>
      <errorID>35237ccb-a744-4b32-987c-fa1da0f4c034</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413700A2</paraID>
      <start>11</start>
      <end>13</end>
      <status>unmodified</status>
      <modifiedWord/>
      <trackRevisions>false</trackRevisions>
    </reviewItem>
    <reviewItem>
      <errorID>b9029ad8-cf5e-4f14-b961-7880e746e80f</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7D3A93C1</paraID>
      <start>2</start>
      <end>5</end>
      <status>unmodified</status>
      <modifiedWord/>
      <trackRevisions>false</trackRevisions>
    </reviewItem>
    <reviewItem>
      <errorID>b0be02be-8cae-44a4-8aff-83ceeb5ba336</errorID>
      <errorWord>行走</errorWord>
      <group>L1_Word</group>
      <groupName>字词问题</groupName>
      <ability>L2_Typo</ability>
      <abilityName>字词错误</abilityName>
      <candidateList>
        <item>行政</item>
      </candidateList>
      <explain/>
      <paraID>7A167725</paraID>
      <start>0</start>
      <end>2</end>
      <status>unmodified</status>
      <modifiedWord/>
      <trackRevisions>false</trackRevisions>
    </reviewItem>
    <reviewItem>
      <errorID>0553af06-a812-400f-a5d4-e0f0f0d29a91</errorID>
      <errorWord>，</errorWord>
      <group>L1_Word</group>
      <groupName>字词问题</groupName>
      <ability>L2_Typo</ability>
      <abilityName>字词错误</abilityName>
      <candidateList>
        <item>，可</item>
      </candidateList>
      <explain/>
      <paraID>4773FC73</paraID>
      <start>42</start>
      <end>43</end>
      <status>unmodified</status>
      <modifiedWord/>
      <trackRevisions>false</trackRevisions>
    </reviewItem>
    <reviewItem>
      <errorID>7222df4e-0a83-48b6-809d-5ae9bf66cc69</errorID>
      <errorWord>时效</errorWord>
      <group>L1_Word</group>
      <groupName>字词问题</groupName>
      <ability>L2_Typo</ability>
      <abilityName>字词错误</abilityName>
      <candidateList>
        <item>失效</item>
      </candidateList>
      <explain/>
      <paraID>6B00A8B3</paraID>
      <start>91</start>
      <end>93</end>
      <status>unmodified</status>
      <modifiedWord/>
      <trackRevisions>false</trackRevisions>
    </reviewItem>
    <reviewItem>
      <errorID>842ba488-e684-4d04-bfbf-47b0f4b5b854</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2811A2D1</paraID>
      <start>30</start>
      <end>32</end>
      <status>unmodified</status>
      <modifiedWord/>
      <trackRevisions>false</trackRevisions>
    </reviewItem>
    <reviewItem>
      <errorID>365b9d3f-7d41-4d03-b933-2cb862dc8880</errorID>
      <errorWord>级</errorWord>
      <group>L1_Word</group>
      <groupName>字词问题</groupName>
      <ability>L2_Typo</ability>
      <abilityName>字词错误</abilityName>
      <candidateList>
        <item>级为</item>
      </candidateList>
      <explain/>
      <paraID>65982538</paraID>
      <start>45</start>
      <end>46</end>
      <status>unmodified</status>
      <modifiedWord/>
      <trackRevisions>false</trackRevisions>
    </reviewItem>
    <reviewItem>
      <errorID>b3491642-2491-45e7-b2bf-56ce3afbc764</errorID>
      <errorWord>HZ</errorWord>
      <group>L1_Word</group>
      <groupName>字词问题</groupName>
      <ability>L2_Typo</ability>
      <abilityName>字词错误</abilityName>
      <candidateList>
        <item>Hz</item>
      </candidateList>
      <explain/>
      <paraID>65E9D252</paraID>
      <start>49</start>
      <end>51</end>
      <status>unmodified</status>
      <modifiedWord/>
      <trackRevisions>false</trackRevisions>
    </reviewItem>
    <reviewItem>
      <errorID>4eb5b4f5-390e-46a4-b4a2-e3d737632fd8</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65E9D252</paraID>
      <start>60</start>
      <end>62</end>
      <status>unmodified</status>
      <modifiedWord/>
      <trackRevisions>false</trackRevisions>
    </reviewItem>
    <reviewItem>
      <errorID>69dfa7db-b21b-4437-aca0-5b2801ab1698</errorID>
      <errorWord>起动</errorWord>
      <group>L1_Word</group>
      <groupName>字词问题</groupName>
      <ability>L2_Typo</ability>
      <abilityName>字词错误</abilityName>
      <candidateList>
        <item>启动</item>
      </candidateList>
      <explain>存在发音相同字词的误用。</explain>
      <paraID>5A2162FD</paraID>
      <start>16</start>
      <end>18</end>
      <status>unmodified</status>
      <modifiedWord/>
      <trackRevisions>false</trackRevisions>
    </reviewItem>
    <reviewItem>
      <errorID>c1f1ee0a-67ff-4a09-b7cf-bcd6eb8fec91</errorID>
      <errorWord>起动</errorWord>
      <group>L1_Word</group>
      <groupName>字词问题</groupName>
      <ability>L2_Typo</ability>
      <abilityName>字词错误</abilityName>
      <candidateList>
        <item>启动</item>
      </candidateList>
      <explain>〈动〉❶（机器、仪表、电气设备等）开始工作：～电流｜～继电器｜车轮～。❷（法令、规划、方案等）开始实施或进行：扶贫工程已正式～。❸开拓；发动：～农村市场｜大力～消费需求。</explain>
      <paraID>6A0956E8</paraID>
      <start>7</start>
      <end>9</end>
      <status>unmodified</status>
      <modifiedWord/>
      <trackRevisions>false</trackRevisions>
    </reviewItem>
    <reviewItem>
      <errorID>de3c6015-eff7-4b7e-9d3f-5ab8b5bd8af8</errorID>
      <errorWord>联接</errorWord>
      <group>L1_Word</group>
      <groupName>字词问题</groupName>
      <ability>L2_Typo</ability>
      <abilityName>字词错误</abilityName>
      <candidateList>
        <item>连接</item>
      </candidateList>
      <explain>存在发音相同字词的误用。</explain>
      <paraID>29F200D1</paraID>
      <start>13</start>
      <end>15</end>
      <status>unmodified</status>
      <modifiedWord/>
      <trackRevisions>false</trackRevisions>
    </reviewItem>
    <reviewItem>
      <errorID>4d29dce2-5022-4447-b153-2d6da0aa5230</errorID>
      <errorWord>其它</errorWord>
      <group>L1_Word</group>
      <groupName>字词问题</groupName>
      <ability>L2_Alias</ability>
      <abilityName>也作/曾用词</abilityName>
      <candidateList>
        <item>其他</item>
      </candidateList>
      <explain>词汇[其它]为不规范表述或旧称，其规范书面表述为[其他]。</explain>
      <paraID>232287D1</paraID>
      <start>8</start>
      <end>10</end>
      <status>unmodified</status>
      <modifiedWord/>
      <trackRevisions>false</trackRevisions>
    </reviewItem>
    <reviewItem>
      <errorID>78f91cad-bcc0-42d5-bbaf-89a6dd54aab5</errorID>
      <errorWord>表明</errorWord>
      <group>L1_Word</group>
      <groupName>字词问题</groupName>
      <ability>L2_Typo</ability>
      <abilityName>字词错误</abilityName>
      <candidateList>
        <item>标明</item>
      </candidateList>
      <explain>〈动〉做出记号或写出文字使人知道：～号码｜车站的时刻表上～由上海来的快车在四点钟到达。</explain>
      <paraID>2C750C24</paraID>
      <start>75</start>
      <end>77</end>
      <status>unmodified</status>
      <modifiedWord/>
      <trackRevisions>false</trackRevisions>
    </reviewItem>
    <reviewItem>
      <errorID>cf256665-e789-4283-a894-325e5edefed6</errorID>
      <errorWord>电器设备</errorWord>
      <group>L1_Word</group>
      <groupName>字词问题</groupName>
      <ability>L2_Typo</ability>
      <abilityName>字词错误</abilityName>
      <candidateList>
        <item>电气设备</item>
      </candidateList>
      <explain/>
      <paraID>23081BF9</paraID>
      <start>3</start>
      <end>7</end>
      <status>unmodified</status>
      <modifiedWord/>
      <trackRevisions>false</trackRevisions>
    </reviewItem>
    <reviewItem>
      <errorID>0d35339d-962d-4087-aab5-08bf21cb105b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31ED623B</paraID>
      <start>0</start>
      <end>2</end>
      <status>unmodified</status>
      <modifiedWord/>
      <trackRevisions>false</trackRevisions>
    </reviewItem>
    <reviewItem>
      <errorID>89298b25-00d0-47d0-bf1c-bc2a695a07a7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4EAAB86F</paraID>
      <start>0</start>
      <end>2</end>
      <status>unmodified</status>
      <modifiedWord/>
      <trackRevisions>false</trackRevisions>
    </reviewItem>
    <reviewItem>
      <errorID>3c3ae7c6-a1cc-4c54-b9f5-ee0e277bb27b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76AAED7B</paraID>
      <start>0</start>
      <end>2</end>
      <status>unmodified</status>
      <modifiedWord/>
      <trackRevisions>false</trackRevisions>
    </reviewItem>
    <reviewItem>
      <errorID>5c83e242-e102-42c6-9934-2ae9a2ae7482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39AB08A8</paraID>
      <start>0</start>
      <end>2</end>
      <status>unmodified</status>
      <modifiedWord/>
      <trackRevisions>false</trackRevisions>
    </reviewItem>
    <reviewItem>
      <errorID>599d1534-bca5-4348-b11a-4a4f5738ce8a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4C36AB9C</paraID>
      <start>0</start>
      <end>2</end>
      <status>unmodified</status>
      <modifiedWord/>
      <trackRevisions>false</trackRevisions>
    </reviewItem>
    <reviewItem>
      <errorID>0fc5e5d5-c948-4bd4-91bb-213f5e8b781f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26909141</paraID>
      <start>0</start>
      <end>2</end>
      <status>unmodified</status>
      <modifiedWord/>
      <trackRevisions>false</trackRevisions>
    </reviewItem>
    <reviewItem>
      <errorID>e56e4d2b-5cdd-4100-b4b3-522e574293a0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6B9D9680</paraID>
      <start>0</start>
      <end>2</end>
      <status>unmodified</status>
      <modifiedWord/>
      <trackRevisions>false</trackRevisions>
    </reviewItem>
    <reviewItem>
      <errorID>d32514db-e95c-4dae-9944-cb55f151f726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4AC812F1</paraID>
      <start>0</start>
      <end>2</end>
      <status>unmodified</status>
      <modifiedWord/>
      <trackRevisions>false</trackRevisions>
    </reviewItem>
    <reviewItem>
      <errorID>c1c3439d-599a-4960-845c-438587cce6ab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6A84D6BF</paraID>
      <start>0</start>
      <end>2</end>
      <status>unmodified</status>
      <modifiedWord/>
      <trackRevisions>false</trackRevisions>
    </reviewItem>
    <reviewItem>
      <errorID>e2a14e78-2101-4997-83a5-c07b9c6d269e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6B83A223</paraID>
      <start>0</start>
      <end>2</end>
      <status>unmodified</status>
      <modifiedWord/>
      <trackRevisions>false</trackRevisions>
    </reviewItem>
    <reviewItem>
      <errorID>46ba66ee-b658-4e1b-9bf5-fe333fdad399</errorID>
      <errorWord>设主</errorWord>
      <group>L1_Word</group>
      <groupName>字词问题</groupName>
      <ability>L2_Typo</ability>
      <abilityName>字词错误</abilityName>
      <candidateList>
        <item>设置</item>
      </candidateList>
      <explain>〈动〉❶设立：这座剧院是为儿童～的。❷安放；安装：～障碍。</explain>
      <paraID>47FB3FFB</paraID>
      <start>7</start>
      <end>9</end>
      <status>unmodified</status>
      <modifiedWord/>
      <trackRevisions>false</trackRevisions>
    </reviewItem>
    <reviewItem>
      <errorID>6d7b994a-534a-4725-87fa-b6911f713d1b</errorID>
      <errorWord>其它</errorWord>
      <group>L1_Word</group>
      <groupName>字词问题</groupName>
      <ability>L2_Alias</ability>
      <abilityName>也作/曾用词</abilityName>
      <candidateList>
        <item>其他</item>
      </candidateList>
      <explain>词汇[其它]为不规范表述或旧称，其规范书面表述为[其他]。</explain>
      <paraID>47FB3FFB</paraID>
      <start>17</start>
      <end>19</end>
      <status>unmodified</status>
      <modifiedWord/>
      <trackRevisions>false</trackRevisions>
    </reviewItem>
    <reviewItem>
      <errorID>98ae7943-851b-4c26-97cc-6867baa2858d</errorID>
      <errorWord>地</errorWord>
      <group>L1_Word</group>
      <groupName>字词问题</groupName>
      <ability>L2_DDD</ability>
      <abilityName>的地得用法</abilityName>
      <candidateList>
        <item>的</item>
      </candidateList>
      <explain>“的”常用于连接修饰语与名词性中心语，表示属性、所属或描述。</explain>
      <paraID>5082E86B</paraID>
      <start>51</start>
      <end>52</end>
      <status>unmodified</status>
      <modifiedWord/>
      <trackRevisions>false</trackRevisions>
    </reviewItem>
    <reviewItem>
      <errorID>94cb91ab-f88d-4317-98d0-94e1df5b8c1d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7A7B698C</paraID>
      <start>0</start>
      <end>2</end>
      <status>unmodified</status>
      <modifiedWord/>
      <trackRevisions>false</trackRevisions>
    </reviewItem>
    <reviewItem>
      <errorID>775b86d8-e705-454e-862c-fd6f862c852b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71E9D200</paraID>
      <start>0</start>
      <end>2</end>
      <status>unmodified</status>
      <modifiedWord/>
      <trackRevisions>false</trackRevisions>
    </reviewItem>
    <reviewItem>
      <errorID>b037fa84-3e25-4eed-ac8a-251a73f767a2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6F681A72</paraID>
      <start>0</start>
      <end>2</end>
      <status>unmodified</status>
      <modifiedWord/>
      <trackRevisions>false</trackRevisions>
    </reviewItem>
    <reviewItem>
      <errorID>ef0a4167-ad4a-4ee9-b6c3-c3271a6d1035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5D3A66A4</paraID>
      <start>0</start>
      <end>2</end>
      <status>unmodified</status>
      <modifiedWord/>
      <trackRevisions>false</trackRevisions>
    </reviewItem>
    <reviewItem>
      <errorID>e18ee53a-b488-4490-83f3-85cc5a399307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3DED46BC</paraID>
      <start>0</start>
      <end>2</end>
      <status>unmodified</status>
      <modifiedWord/>
      <trackRevisions>false</trackRevisions>
    </reviewItem>
    <reviewItem>
      <errorID>4c87fb77-752d-457e-a001-cc449f3fa525</errorID>
      <errorWord>支承架</errorWord>
      <group>L1_Word</group>
      <groupName>字词问题</groupName>
      <ability>L2_Typo</ability>
      <abilityName>字词错误</abilityName>
      <candidateList>
        <item>支撑架</item>
      </candidateList>
      <explain/>
      <paraID>7615E734</paraID>
      <start>7</start>
      <end>10</end>
      <status>unmodified</status>
      <modifiedWord/>
      <trackRevisions>false</trackRevisions>
    </reviewItem>
    <reviewItem>
      <errorID>4e754e90-1d71-4cd6-bbf0-e839b6a81e2e</errorID>
      <errorWord>支承架</errorWord>
      <group>L1_Word</group>
      <groupName>字词问题</groupName>
      <ability>L2_Typo</ability>
      <abilityName>字词错误</abilityName>
      <candidateList>
        <item>支撑架</item>
      </candidateList>
      <explain/>
      <paraID>48E6F9D7</paraID>
      <start>29</start>
      <end>32</end>
      <status>unmodified</status>
      <modifiedWord/>
      <trackRevisions>false</trackRevisions>
    </reviewItem>
    <reviewItem>
      <errorID>6bd5e13e-cfde-48f3-8948-79632fbac63b</errorID>
      <errorWord>档</errorWord>
      <group>L1_Word</group>
      <groupName>字词问题</groupName>
      <ability>L2_Typo</ability>
      <abilityName>字词错误</abilityName>
      <candidateList>
        <item>挡</item>
      </candidateList>
      <explain>存在发音相同字词的误用。</explain>
      <paraID>20145EB4</paraID>
      <start>8</start>
      <end>9</end>
      <status>unmodified</status>
      <modifiedWord/>
      <trackRevisions>false</trackRevisions>
    </reviewItem>
    <reviewItem>
      <errorID>7ff25de2-b33f-4f06-be4b-d46cff384eb4</errorID>
      <errorWord>档</errorWord>
      <group>L1_Word</group>
      <groupName>字词问题</groupName>
      <ability>L2_Typo</ability>
      <abilityName>字词错误</abilityName>
      <candidateList>
        <item>挡</item>
      </candidateList>
      <explain/>
      <paraID>2567831F</paraID>
      <start>10</start>
      <end>11</end>
      <status>unmodified</status>
      <modifiedWord/>
      <trackRevisions>false</trackRevisions>
    </reviewItem>
    <reviewItem>
      <errorID>73003e2f-2b08-45c4-a1ed-3d1fbd112ac2</errorID>
      <errorWord>档</errorWord>
      <group>L1_Word</group>
      <groupName>字词问题</groupName>
      <ability>L2_Typo</ability>
      <abilityName>字词错误</abilityName>
      <candidateList>
        <item>挡</item>
      </candidateList>
      <explain>存在发音相同字词的误用。</explain>
      <paraID>2567831F</paraID>
      <start>13</start>
      <end>14</end>
      <status>unmodified</status>
      <modifiedWord/>
      <trackRevisions>false</trackRevisions>
    </reviewItem>
    <reviewItem>
      <errorID>6201d87c-6316-46ec-ab0d-bd01fbfda3de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226F7C4E</paraID>
      <start>0</start>
      <end>2</end>
      <status>unmodified</status>
      <modifiedWord/>
      <trackRevisions>false</trackRevisions>
    </reviewItem>
    <reviewItem>
      <errorID>eb9feba5-f35e-4103-84e3-e7a37cee812f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3C949C5C</paraID>
      <start>0</start>
      <end>2</end>
      <status>unmodified</status>
      <modifiedWord/>
      <trackRevisions>false</trackRevisions>
    </reviewItem>
    <reviewItem>
      <errorID>cd61be73-d1b4-46dc-b971-71a79c31432c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24F92AA0</paraID>
      <start>0</start>
      <end>2</end>
      <status>unmodified</status>
      <modifiedWord/>
      <trackRevisions>false</trackRevisions>
    </reviewItem>
    <reviewItem>
      <errorID>b0a88021-441f-4b15-9e06-38c5c7259480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66FD5E6D</paraID>
      <start>0</start>
      <end>2</end>
      <status>unmodified</status>
      <modifiedWord/>
      <trackRevisions>false</trackRevisions>
    </reviewItem>
    <reviewItem>
      <errorID>a91d6f2c-c62d-4c5e-97fe-0deb48a5c156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4A76C922</paraID>
      <start>0</start>
      <end>2</end>
      <status>unmodified</status>
      <modifiedWord/>
      <trackRevisions>false</trackRevisions>
    </reviewItem>
    <reviewItem>
      <errorID>568542e0-a63b-4539-951b-de3383dbbb67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7C514234</paraID>
      <start>0</start>
      <end>2</end>
      <status>unmodified</status>
      <modifiedWord/>
      <trackRevisions>false</trackRevisions>
    </reviewItem>
    <reviewItem>
      <errorID>6bc836fe-1836-4c0e-9bd6-942bd1466e1a</errorID>
      <errorWord>(</errorWord>
      <group>L1_Format</group>
      <groupName>格式问题</groupName>
      <ability>L2_HalfPunc</ability>
      <abilityName>全半角检查</abilityName>
      <candidateList>
        <item>（</item>
      </candidateList>
      <explain>文本全半角错误。</explain>
      <paraID>6E3DB5C1</paraID>
      <start>0</start>
      <end>1</end>
      <status>unmodified</status>
      <modifiedWord/>
      <trackRevisions>false</trackRevisions>
    </reviewItem>
    <reviewItem>
      <errorID>32e87954-b56b-4519-9c45-605d9f692972</errorID>
      <errorWord>总</errorWord>
      <group>L1_Word</group>
      <groupName>字词问题</groupName>
      <ability>L2_Typo</ability>
      <abilityName>字词错误</abilityName>
      <candidateList>
        <item>总体</item>
      </candidateList>
      <explain/>
      <paraID>6E3DB5C1</paraID>
      <start>11</start>
      <end>12</end>
      <status>unmodified</status>
      <modifiedWord/>
      <trackRevisions>false</trackRevisions>
    </reviewItem>
    <reviewItem>
      <errorID>d50ebf80-4c8b-4758-a93e-56dc84d1c22e</errorID>
      <errorWord>噪音</errorWord>
      <group>L1_Word</group>
      <groupName>字词问题</groupName>
      <ability>L2_Alias</ability>
      <abilityName>也作/曾用词</abilityName>
      <candidateList>
        <item>噪声</item>
      </candidateList>
      <explain>词汇[噪音]为不规范表述或旧称，其规范书面表述为[噪声]。</explain>
      <paraID>471AADBA</paraID>
      <start>0</start>
      <end>2</end>
      <status>unmodified</status>
      <modifiedWord/>
      <trackRevisions>false</trackRevisions>
    </reviewItem>
    <reviewItem>
      <errorID>dbd7b9b0-a517-440f-96b4-e869443972e8</errorID>
      <errorWord>噪音</errorWord>
      <group>L1_Word</group>
      <groupName>字词问题</groupName>
      <ability>L2_Alias</ability>
      <abilityName>也作/曾用词</abilityName>
      <candidateList>
        <item>噪声</item>
      </candidateList>
      <explain>词汇[噪音]为不规范表述或旧称，其规范书面表述为[噪声]。</explain>
      <paraID>72192871</paraID>
      <start>60</start>
      <end>62</end>
      <status>unmodified</status>
      <modifiedWord/>
      <trackRevisions>false</trackRevisions>
    </reviewItem>
    <reviewItem>
      <errorID>ffd34b76-c876-45db-a28c-27dfb74cf779</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2A65941A</paraID>
      <start>36</start>
      <end>39</end>
      <status>unmodified</status>
      <modifiedWord/>
      <trackRevisions>false</trackRevisions>
    </reviewItem>
    <reviewItem>
      <errorID>8d85032b-11db-4769-beb2-0fa2eb60c9ac</errorID>
      <errorWord>做</errorWord>
      <group>L1_Word</group>
      <groupName>字词问题</groupName>
      <ability>L2_Typo</ability>
      <abilityName>字词错误</abilityName>
      <candidateList>
        <item>作</item>
      </candidateList>
      <explain>存在发音相同字词的误用。</explain>
      <paraID>2A65941A</paraID>
      <start>87</start>
      <end>88</end>
      <status>unmodified</status>
      <modifiedWord/>
      <trackRevisions>false</trackRevisions>
    </reviewItem>
    <reviewItem>
      <errorID>b9c45ce8-39f3-4fd9-944d-8c2e3eeb4dba</errorID>
      <errorWord>凹凸的</errorWord>
      <group>L1_Word</group>
      <groupName>字词问题</groupName>
      <ability>L2_Typo</ability>
      <abilityName>字词错误</abilityName>
      <candidateList>
        <item>凹凸</item>
      </candidateList>
      <explain/>
      <paraID>1A2DEE12</paraID>
      <start>42</start>
      <end>45</end>
      <status>unmodified</status>
      <modifiedWord/>
      <trackRevisions>false</trackRevisions>
    </reviewItem>
    <reviewItem>
      <errorID>473cc399-c205-41a5-ae87-6d9c52b2ffba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2F113DA5</paraID>
      <start>0</start>
      <end>2</end>
      <status>unmodified</status>
      <modifiedWord/>
      <trackRevisions>false</trackRevisions>
    </reviewItem>
    <reviewItem>
      <errorID>34c1512e-8c45-491a-9a46-d67e66d99ac5</errorID>
      <errorWord>;</errorWord>
      <group>L1_Format</group>
      <groupName>格式问题</groupName>
      <ability>L2_HalfPunc</ability>
      <abilityName>全半角检查</abilityName>
      <candidateList>
        <item>；</item>
      </candidateList>
      <explain>文本全半角错误。</explain>
      <paraID> 75B0523</paraID>
      <start>28</start>
      <end>29</end>
      <status>unmodified</status>
      <modifiedWord/>
      <trackRevisions>false</trackRevisions>
    </reviewItem>
    <reviewItem>
      <errorID>ae549bf4-1de8-43a4-ab01-1ce9c2182253</errorID>
      <errorWord>后的</errorWord>
      <group>L1_Word</group>
      <groupName>字词问题</groupName>
      <ability>L2_Typo</ability>
      <abilityName>字词错误</abilityName>
      <candidateList>
        <item>后</item>
      </candidateList>
      <explain>❶君主的妻子：皇～｜～妃。❷古代称君主：商之先～。❸（Hòu）〈名〉姓。</explain>
      <paraID>12560E5C</paraID>
      <start>23</start>
      <end>25</end>
      <status>unmodified</status>
      <modifiedWord/>
      <trackRevisions>false</trackRevisions>
    </reviewItem>
    <reviewItem>
      <errorID>44b9e483-8036-40cd-b716-2b288ce6e297</errorID>
      <errorWord>干扰能</errorWord>
      <group>L1_Knowledge</group>
      <groupName>知识性问题</groupName>
      <ability>L2_Term</ability>
      <abilityName>专业术语</abilityName>
      <candidateList>
        <item>干扰素</item>
      </candidateList>
      <explain>医学名词[干扰能]为不规范表述或旧称，其规范书面表述为[干扰素]。</explain>
      <paraID>12560E5C</paraID>
      <start>49</start>
      <end>52</end>
      <status>unmodified</status>
      <modifiedWord/>
      <trackRevisions>false</trackRevisions>
    </reviewItem>
    <reviewItem>
      <errorID>f09db364-3b27-4351-97cd-8de2dafc4734</errorID>
      <errorWord>起</errorWord>
      <group>L1_Word</group>
      <groupName>字词问题</groupName>
      <ability>L2_Typo</ability>
      <abilityName>字词错误</abilityName>
      <candidateList>
        <item>七</item>
      </candidateList>
      <explain/>
      <paraID>5FCD3F09</paraID>
      <start>83</start>
      <end>84</end>
      <status>unmodified</status>
      <modifiedWord/>
      <trackRevisions>false</trackRevisions>
    </reviewItem>
    <reviewItem>
      <errorID>fa1d1a08-dd9a-4c63-b1f1-4910aac61c2d</errorID>
      <errorWord>表</errorWord>
      <group>L1_Word</group>
      <groupName>字词问题</groupName>
      <ability>L2_Typo</ability>
      <abilityName>字词错误</abilityName>
      <candidateList>
        <item>表人</item>
      </candidateList>
      <explain/>
      <paraID>45EE72BA</paraID>
      <start>3</start>
      <end>4</end>
      <status>unmodified</status>
      <modifiedWord/>
      <trackRevisions>false</trackRevisions>
    </reviewItem>
    <reviewItem>
      <errorID>ed1459f5-2345-43ff-b94b-62721e3f46f4</errorID>
      <errorWord>：。</errorWord>
      <group>L1_Punc</group>
      <groupName>标点问题</groupName>
      <ability>L2_Punc</ability>
      <abilityName>标点符号检查</abilityName>
      <candidateList>
        <item>：</item>
      </candidateList>
      <explain/>
      <paraID>5CC64B9B</paraID>
      <start>7</start>
      <end>9</end>
      <status>unmodified</status>
      <modifiedWord/>
      <trackRevisions>false</trackRevisions>
    </reviewItem>
    <reviewItem>
      <errorID>94ec7b29-db2b-4cc5-8de8-02cb5b1c422e</errorID>
      <errorWord>(</errorWord>
      <group>L1_Format</group>
      <groupName>格式问题</groupName>
      <ability>L2_HalfPunc</ability>
      <abilityName>全半角检查</abilityName>
      <candidateList>
        <item>（</item>
      </candidateList>
      <explain>文本全半角错误。</explain>
      <paraID>7D37A89D</paraID>
      <start>2</start>
      <end>3</end>
      <status>unmodified</status>
      <modifiedWord/>
      <trackRevisions>false</trackRevisions>
    </reviewItem>
    <reviewItem>
      <errorID>1d48cda1-91d6-44b8-98ee-76a6bc0078a7</errorID>
      <errorWord>)</errorWord>
      <group>L1_Format</group>
      <groupName>格式问题</groupName>
      <ability>L2_HalfPunc</ability>
      <abilityName>全半角检查</abilityName>
      <candidateList>
        <item>）</item>
      </candidateList>
      <explain>文本全半角错误。</explain>
      <paraID>7D37A89D</paraID>
      <start>4</start>
      <end>5</end>
      <status>unmodified</status>
      <modifiedWord/>
      <trackRevisions>false</trackRevisions>
    </reviewItem>
    <reviewItem>
      <errorID>d56094cb-22f7-4f98-9dd1-5258654e5440</errorID>
      <errorWord>合价</errorWord>
      <group>L1_Word</group>
      <groupName>字词问题</groupName>
      <ability>L2_Typo</ability>
      <abilityName>字词错误</abilityName>
      <candidateList>
        <item>合计</item>
      </candidateList>
      <explain/>
      <paraID>4B704C78</paraID>
      <start>0</start>
      <end>2</end>
      <status>unmodified</status>
      <modifiedWord/>
      <trackRevisions>false</trackRevisions>
    </reviewItem>
    <reviewItem>
      <errorID>673d46ef-e536-44a1-aea2-d59e3eb42b1e</errorID>
      <errorWord>(</errorWord>
      <group>L1_Format</group>
      <groupName>格式问题</groupName>
      <ability>L2_HalfPunc</ability>
      <abilityName>全半角检查</abilityName>
      <candidateList>
        <item>（</item>
      </candidateList>
      <explain>文本全半角错误。</explain>
      <paraID>4B704C78</paraID>
      <start>2</start>
      <end>3</end>
      <status>unmodified</status>
      <modifiedWord/>
      <trackRevisions>false</trackRevisions>
    </reviewItem>
    <reviewItem>
      <errorID>ab950f35-139a-4357-b924-e2eeb70971c9</errorID>
      <errorWord>)</errorWord>
      <group>L1_Format</group>
      <groupName>格式问题</groupName>
      <ability>L2_HalfPunc</ability>
      <abilityName>全半角检查</abilityName>
      <candidateList>
        <item>）</item>
      </candidateList>
      <explain>文本全半角错误。</explain>
      <paraID>4B704C78</paraID>
      <start>4</start>
      <end>5</end>
      <status>unmodified</status>
      <modifiedWord/>
      <trackRevisions>false</trackRevisions>
    </reviewItem>
    <reviewItem>
      <errorID>dbea1901-2c99-4734-aab5-15c50987c4e3</errorID>
      <errorWord>(</errorWord>
      <group>L1_Format</group>
      <groupName>格式问题</groupName>
      <ability>L2_HalfPunc</ability>
      <abilityName>全半角检查</abilityName>
      <candidateList>
        <item>（</item>
      </candidateList>
      <explain>文本全半角错误。</explain>
      <paraID>405CE9BC</paraID>
      <start>0</start>
      <end>1</end>
      <status>unmodified</status>
      <modifiedWord/>
      <trackRevisions>false</trackRevisions>
    </reviewItem>
    <reviewItem>
      <errorID>328ca212-2cd2-41e3-8e88-8208ead43be3</errorID>
      <errorWord>)</errorWord>
      <group>L1_Format</group>
      <groupName>格式问题</groupName>
      <ability>L2_HalfPunc</ability>
      <abilityName>全半角检查</abilityName>
      <candidateList>
        <item>）</item>
      </candidateList>
      <explain>文本全半角错误。</explain>
      <paraID>405CE9BC</paraID>
      <start>2</start>
      <end>3</end>
      <status>unmodified</status>
      <modifiedWord/>
      <trackRevisions>false</trackRevisions>
    </reviewItem>
    <reviewItem>
      <errorID>9d648753-ea81-41b4-94de-b4a180fead7c</errorID>
      <errorWord>，</errorWord>
      <group>L1_Format</group>
      <groupName>格式问题</groupName>
      <ability>L2_HalfPunc</ability>
      <abilityName>全半角检查</abilityName>
      <candidateList>
        <item>, </item>
      </candidateList>
      <explain>文本全半角错误。</explain>
      <paraID>7C18D898</paraID>
      <start>6</start>
      <end>7</end>
      <status>unmodified</status>
      <modifiedWord/>
      <trackRevisions>false</trackRevisions>
    </reviewItem>
    <reviewItem>
      <errorID>7016e432-e5eb-4999-a342-a24861971c97</errorID>
      <errorWord>，</errorWord>
      <group>L1_Format</group>
      <groupName>格式问题</groupName>
      <ability>L2_HalfPunc</ability>
      <abilityName>全半角检查</abilityName>
      <candidateList>
        <item>, </item>
      </candidateList>
      <explain>文本全半角错误。</explain>
      <paraID>393FC48A</paraID>
      <start>6</start>
      <end>7</end>
      <status>unmodified</status>
      <modifiedWord/>
      <trackRevisions>false</trackRevisions>
    </reviewItem>
    <reviewItem>
      <errorID>d684e596-f542-4b50-9d42-85acd1bbea6f</errorID>
      <errorWord>，</errorWord>
      <group>L1_Format</group>
      <groupName>格式问题</groupName>
      <ability>L2_HalfPunc</ability>
      <abilityName>全半角检查</abilityName>
      <candidateList>
        <item>, </item>
      </candidateList>
      <explain>文本全半角错误。</explain>
      <paraID>38825C1B</paraID>
      <start>5</start>
      <end>6</end>
      <status>unmodified</status>
      <modifiedWord/>
      <trackRevisions>false</trackRevisions>
    </reviewItem>
    <reviewItem>
      <errorID>e7cfa285-4405-4f6e-9de6-88a72e3471ec</errorID>
      <errorWord>，</errorWord>
      <group>L1_Format</group>
      <groupName>格式问题</groupName>
      <ability>L2_HalfPunc</ability>
      <abilityName>全半角检查</abilityName>
      <candidateList>
        <item>, </item>
      </candidateList>
      <explain>文本全半角错误。</explain>
      <paraID>1E979B27</paraID>
      <start>5</start>
      <end>6</end>
      <status>unmodified</status>
      <modifiedWord/>
      <trackRevisions>false</trackRevisions>
    </reviewItem>
    <reviewItem>
      <errorID>db977371-5687-4bb2-aee5-e4f26f6e8c33</errorID>
      <errorWord>(</errorWord>
      <group>L1_Format</group>
      <groupName>格式问题</groupName>
      <ability>L2_HalfPunc</ability>
      <abilityName>全半角检查</abilityName>
      <candidateList>
        <item>（</item>
      </candidateList>
      <explain>文本全半角错误。</explain>
      <paraID>2BB0799D</paraID>
      <start>0</start>
      <end>1</end>
      <status>unmodified</status>
      <modifiedWord/>
      <trackRevisions>false</trackRevisions>
    </reviewItem>
    <reviewItem>
      <errorID>c5f38952-7bc6-4da4-b5cc-6d8e3180a45b</errorID>
      <errorWord>)</errorWord>
      <group>L1_Format</group>
      <groupName>格式问题</groupName>
      <ability>L2_HalfPunc</ability>
      <abilityName>全半角检查</abilityName>
      <candidateList>
        <item>）</item>
      </candidateList>
      <explain>文本全半角错误。</explain>
      <paraID>2BB0799D</paraID>
      <start>2</start>
      <end>3</end>
      <status>unmodified</status>
      <modifiedWord/>
      <trackRevisions>false</trackRevisions>
    </reviewItem>
    <reviewItem>
      <errorID>61a297f7-e95b-420d-8be8-afbcf4ba32fa</errorID>
      <errorWord>，</errorWord>
      <group>L1_Format</group>
      <groupName>格式问题</groupName>
      <ability>L2_HalfPunc</ability>
      <abilityName>全半角检查</abilityName>
      <candidateList>
        <item>, </item>
      </candidateList>
      <explain>文本全半角错误。</explain>
      <paraID>4C46E848</paraID>
      <start>5</start>
      <end>6</end>
      <status>unmodified</status>
      <modifiedWord/>
      <trackRevisions>false</trackRevisions>
    </reviewItem>
    <reviewItem>
      <errorID>dede1e3e-3e7b-4270-9da4-7f35811d6361</errorID>
      <errorWord>，</errorWord>
      <group>L1_Format</group>
      <groupName>格式问题</groupName>
      <ability>L2_HalfPunc</ability>
      <abilityName>全半角检查</abilityName>
      <candidateList>
        <item>, </item>
      </candidateList>
      <explain>文本全半角错误。</explain>
      <paraID>4E329F9C</paraID>
      <start>6</start>
      <end>7</end>
      <status>unmodified</status>
      <modifiedWord/>
      <trackRevisions>false</trackRevisions>
    </reviewItem>
    <reviewItem>
      <errorID>e5b16aa4-007a-48c5-84c0-eb2ee2e4d418</errorID>
      <errorWord>，</errorWord>
      <group>L1_Format</group>
      <groupName>格式问题</groupName>
      <ability>L2_HalfPunc</ability>
      <abilityName>全半角检查</abilityName>
      <candidateList>
        <item>, </item>
      </candidateList>
      <explain>文本全半角错误。</explain>
      <paraID>44D84617</paraID>
      <start>6</start>
      <end>7</end>
      <status>unmodified</status>
      <modifiedWord/>
      <trackRevisions>false</trackRevisions>
    </reviewItem>
    <reviewItem>
      <errorID>121dffac-a30b-49a9-85cf-4851b86c387a</errorID>
      <errorWord>，</errorWord>
      <group>L1_Format</group>
      <groupName>格式问题</groupName>
      <ability>L2_HalfPunc</ability>
      <abilityName>全半角检查</abilityName>
      <candidateList>
        <item>, </item>
      </candidateList>
      <explain>文本全半角错误。</explain>
      <paraID>117FCE11</paraID>
      <start>5</start>
      <end>6</end>
      <status>unmodified</status>
      <modifiedWord/>
      <trackRevisions>false</trackRevisions>
    </reviewItem>
    <reviewItem>
      <errorID>2797e833-bf53-45dd-8abd-8e6db5079fe9</errorID>
      <errorWord>，</errorWord>
      <group>L1_Format</group>
      <groupName>格式问题</groupName>
      <ability>L2_HalfPunc</ability>
      <abilityName>全半角检查</abilityName>
      <candidateList>
        <item>, </item>
      </candidateList>
      <explain>文本全半角错误。</explain>
      <paraID>7C59BEE1</paraID>
      <start>5</start>
      <end>6</end>
      <status>unmodified</status>
      <modifiedWord/>
      <trackRevisions>false</trackRevisions>
    </reviewItem>
    <reviewItem>
      <errorID>070ce7e7-a838-4484-9997-b4ac1b1beda5</errorID>
      <errorWord>，</errorWord>
      <group>L1_Format</group>
      <groupName>格式问题</groupName>
      <ability>L2_HalfPunc</ability>
      <abilityName>全半角检查</abilityName>
      <candidateList>
        <item>, </item>
      </candidateList>
      <explain>文本全半角错误。</explain>
      <paraID>5C40A673</paraID>
      <start>5</start>
      <end>6</end>
      <status>unmodified</status>
      <modifiedWord/>
      <trackRevisions>false</trackRevisions>
    </reviewItem>
    <reviewItem>
      <errorID>21ec6919-6d43-4201-837d-8a2e5507a1d3</errorID>
      <errorWord>，</errorWord>
      <group>L1_Format</group>
      <groupName>格式问题</groupName>
      <ability>L2_HalfPunc</ability>
      <abilityName>全半角检查</abilityName>
      <candidateList>
        <item>, </item>
      </candidateList>
      <explain>文本全半角错误。</explain>
      <paraID>6B81CACC</paraID>
      <start>5</start>
      <end>6</end>
      <status>unmodified</status>
      <modifiedWord/>
      <trackRevisions>false</trackRevisions>
    </reviewItem>
    <reviewItem>
      <errorID>18ee5fb8-842c-49a2-890e-b46462d8e2cc</errorID>
      <errorWord>(</errorWord>
      <group>L1_Format</group>
      <groupName>格式问题</groupName>
      <ability>L2_HalfPunc</ability>
      <abilityName>全半角检查</abilityName>
      <candidateList>
        <item>（</item>
      </candidateList>
      <explain>文本全半角错误。</explain>
      <paraID>2E477626</paraID>
      <start>0</start>
      <end>1</end>
      <status>unmodified</status>
      <modifiedWord/>
      <trackRevisions>false</trackRevisions>
    </reviewItem>
    <reviewItem>
      <errorID>3e3c2063-3621-4b77-a2ce-e8459d8fb483</errorID>
      <errorWord>)</errorWord>
      <group>L1_Format</group>
      <groupName>格式问题</groupName>
      <ability>L2_HalfPunc</ability>
      <abilityName>全半角检查</abilityName>
      <candidateList>
        <item>）</item>
      </candidateList>
      <explain>文本全半角错误。</explain>
      <paraID>2E477626</paraID>
      <start>2</start>
      <end>3</end>
      <status>unmodified</status>
      <modifiedWord/>
      <trackRevisions>false</trackRevisions>
    </reviewItem>
    <reviewItem>
      <errorID>02d142e9-991f-4175-a5f4-0ee57430f62f</errorID>
      <errorWord>(</errorWord>
      <group>L1_Format</group>
      <groupName>格式问题</groupName>
      <ability>L2_HalfPunc</ability>
      <abilityName>全半角检查</abilityName>
      <candidateList>
        <item>（</item>
      </candidateList>
      <explain>文本全半角错误。</explain>
      <paraID>63C75D6D</paraID>
      <start>2</start>
      <end>3</end>
      <status>unmodified</status>
      <modifiedWord/>
      <trackRevisions>false</trackRevisions>
    </reviewItem>
    <reviewItem>
      <errorID>0eda61f0-362a-4c1a-b43e-1d7032fec341</errorID>
      <errorWord>)</errorWord>
      <group>L1_Format</group>
      <groupName>格式问题</groupName>
      <ability>L2_HalfPunc</ability>
      <abilityName>全半角检查</abilityName>
      <candidateList>
        <item>）</item>
      </candidateList>
      <explain>文本全半角错误。</explain>
      <paraID>63C75D6D</paraID>
      <start>5</start>
      <end>6</end>
      <status>unmodified</status>
      <modifiedWord/>
      <trackRevisions>false</trackRevisions>
    </reviewItem>
    <reviewItem>
      <errorID>2fa72e90-1f78-4346-91a3-8798523509de</errorID>
      <errorWord>，</errorWord>
      <group>L1_Format</group>
      <groupName>格式问题</groupName>
      <ability>L2_HalfPunc</ability>
      <abilityName>全半角检查</abilityName>
      <candidateList>
        <item>, </item>
      </candidateList>
      <explain>文本全半角错误。</explain>
      <paraID>2CF18708</paraID>
      <start>6</start>
      <end>7</end>
      <status>unmodified</status>
      <modifiedWord/>
      <trackRevisions>false</trackRevisions>
    </reviewItem>
    <reviewItem>
      <errorID>8ab26115-02eb-42fc-8e7d-c807be1171da</errorID>
      <errorWord>，</errorWord>
      <group>L1_Format</group>
      <groupName>格式问题</groupName>
      <ability>L2_HalfPunc</ability>
      <abilityName>全半角检查</abilityName>
      <candidateList>
        <item>, </item>
      </candidateList>
      <explain>文本全半角错误。</explain>
      <paraID>6E983696</paraID>
      <start>5</start>
      <end>6</end>
      <status>unmodified</status>
      <modifiedWord/>
      <trackRevisions>false</trackRevisions>
    </reviewItem>
    <reviewItem>
      <errorID>f6761e1e-ef48-42b3-93a0-a00c40bc5b12</errorID>
      <errorWord>，</errorWord>
      <group>L1_Format</group>
      <groupName>格式问题</groupName>
      <ability>L2_HalfPunc</ability>
      <abilityName>全半角检查</abilityName>
      <candidateList>
        <item>, </item>
      </candidateList>
      <explain>文本全半角错误。</explain>
      <paraID>44E3A8F0</paraID>
      <start>5</start>
      <end>6</end>
      <status>unmodified</status>
      <modifiedWord/>
      <trackRevisions>false</trackRevisions>
    </reviewItem>
    <reviewItem>
      <errorID>32fc184d-ad59-49d2-aad0-516ad05fc961</errorID>
      <errorWord>(</errorWord>
      <group>L1_Format</group>
      <groupName>格式问题</groupName>
      <ability>L2_HalfPunc</ability>
      <abilityName>全半角检查</abilityName>
      <candidateList>
        <item>（</item>
      </candidateList>
      <explain>文本全半角错误。</explain>
      <paraID>505C496C</paraID>
      <start>0</start>
      <end>1</end>
      <status>unmodified</status>
      <modifiedWord/>
      <trackRevisions>false</trackRevisions>
    </reviewItem>
    <reviewItem>
      <errorID>b8f6092b-2649-4a9c-a453-541b611eb33a</errorID>
      <errorWord>)</errorWord>
      <group>L1_Format</group>
      <groupName>格式问题</groupName>
      <ability>L2_HalfPunc</ability>
      <abilityName>全半角检查</abilityName>
      <candidateList>
        <item>）</item>
      </candidateList>
      <explain>文本全半角错误。</explain>
      <paraID>505C496C</paraID>
      <start>2</start>
      <end>3</end>
      <status>unmodified</status>
      <modifiedWord/>
      <trackRevisions>false</trackRevisions>
    </reviewItem>
    <reviewItem>
      <errorID>0fb5adcd-a8fe-4ffa-9622-ed458a70dbee</errorID>
      <errorWord>，</errorWord>
      <group>L1_Format</group>
      <groupName>格式问题</groupName>
      <ability>L2_HalfPunc</ability>
      <abilityName>全半角检查</abilityName>
      <candidateList>
        <item>, </item>
      </candidateList>
      <explain>文本全半角错误。</explain>
      <paraID> DD0792A</paraID>
      <start>6</start>
      <end>7</end>
      <status>unmodified</status>
      <modifiedWord/>
      <trackRevisions>false</trackRevisions>
    </reviewItem>
    <reviewItem>
      <errorID>52579e73-c002-4e1f-ba26-9a2c72d9aafc</errorID>
      <errorWord>，</errorWord>
      <group>L1_Format</group>
      <groupName>格式问题</groupName>
      <ability>L2_HalfPunc</ability>
      <abilityName>全半角检查</abilityName>
      <candidateList>
        <item>, </item>
      </candidateList>
      <explain>文本全半角错误。</explain>
      <paraID>5984DF28</paraID>
      <start>5</start>
      <end>6</end>
      <status>unmodified</status>
      <modifiedWord/>
      <trackRevisions>false</trackRevisions>
    </reviewItem>
    <reviewItem>
      <errorID>1d6f2b27-80fb-4d98-a776-25a03bc08757</errorID>
      <errorWord>，</errorWord>
      <group>L1_Format</group>
      <groupName>格式问题</groupName>
      <ability>L2_HalfPunc</ability>
      <abilityName>全半角检查</abilityName>
      <candidateList>
        <item>, </item>
      </candidateList>
      <explain>文本全半角错误。</explain>
      <paraID>3C72DD01</paraID>
      <start>5</start>
      <end>6</end>
      <status>unmodified</status>
      <modifiedWord/>
      <trackRevisions>false</trackRevisions>
    </reviewItem>
    <reviewItem>
      <errorID>ba3568bf-01f9-443d-856b-574e01eb75e2</errorID>
      <errorWord>，</errorWord>
      <group>L1_Format</group>
      <groupName>格式问题</groupName>
      <ability>L2_HalfPunc</ability>
      <abilityName>全半角检查</abilityName>
      <candidateList>
        <item>, </item>
      </candidateList>
      <explain>文本全半角错误。</explain>
      <paraID>7350D9E9</paraID>
      <start>5</start>
      <end>6</end>
      <status>unmodified</status>
      <modifiedWord/>
      <trackRevisions>false</trackRevisions>
    </reviewItem>
    <reviewItem>
      <errorID>6af075bd-8797-45fb-bf1f-05f2f5e7fd8b</errorID>
      <errorWord>(</errorWord>
      <group>L1_Format</group>
      <groupName>格式问题</groupName>
      <ability>L2_HalfPunc</ability>
      <abilityName>全半角检查</abilityName>
      <candidateList>
        <item>（</item>
      </candidateList>
      <explain>文本全半角错误。</explain>
      <paraID>7125D1C9</paraID>
      <start>0</start>
      <end>1</end>
      <status>unmodified</status>
      <modifiedWord/>
      <trackRevisions>false</trackRevisions>
    </reviewItem>
    <reviewItem>
      <errorID>0cc58eae-e084-40cf-893f-57392acdb03c</errorID>
      <errorWord>)</errorWord>
      <group>L1_Format</group>
      <groupName>格式问题</groupName>
      <ability>L2_HalfPunc</ability>
      <abilityName>全半角检查</abilityName>
      <candidateList>
        <item>）</item>
      </candidateList>
      <explain>文本全半角错误。</explain>
      <paraID>7125D1C9</paraID>
      <start>2</start>
      <end>3</end>
      <status>unmodified</status>
      <modifiedWord/>
      <trackRevisions>false</trackRevisions>
    </reviewItem>
    <reviewItem>
      <errorID>9ab38bd6-1692-43a2-895a-e9431bcea8b2</errorID>
      <errorWord>(</errorWord>
      <group>L1_Format</group>
      <groupName>格式问题</groupName>
      <ability>L2_HalfPunc</ability>
      <abilityName>全半角检查</abilityName>
      <candidateList>
        <item>（</item>
      </candidateList>
      <explain>文本全半角错误。</explain>
      <paraID>52A2D5E4</paraID>
      <start>6</start>
      <end>7</end>
      <status>unmodified</status>
      <modifiedWord/>
      <trackRevisions>false</trackRevisions>
    </reviewItem>
    <reviewItem>
      <errorID>63debe90-c83d-4973-aec8-393839ac7cb8</errorID>
      <errorWord>)</errorWord>
      <group>L1_Format</group>
      <groupName>格式问题</groupName>
      <ability>L2_HalfPunc</ability>
      <abilityName>全半角检查</abilityName>
      <candidateList>
        <item>）</item>
      </candidateList>
      <explain>文本全半角错误。</explain>
      <paraID>52A2D5E4</paraID>
      <start>18</start>
      <end>19</end>
      <status>unmodified</status>
      <modifiedWord/>
      <trackRevisions>false</trackRevisions>
    </reviewItem>
    <reviewItem>
      <errorID>505b958f-19a4-4cc3-a7f1-d10461c0078b</errorID>
      <errorWord>，</errorWord>
      <group>L1_Format</group>
      <groupName>格式问题</groupName>
      <ability>L2_HalfPunc</ability>
      <abilityName>全半角检查</abilityName>
      <candidateList>
        <item>, </item>
      </candidateList>
      <explain>文本全半角错误。</explain>
      <paraID>6D04014E</paraID>
      <start>5</start>
      <end>6</end>
      <status>unmodified</status>
      <modifiedWord/>
      <trackRevisions>false</trackRevisions>
    </reviewItem>
    <reviewItem>
      <errorID>f3dab359-88e1-4098-83f5-c0a542c9fb02</errorID>
      <errorWord>(</errorWord>
      <group>L1_Format</group>
      <groupName>格式问题</groupName>
      <ability>L2_HalfPunc</ability>
      <abilityName>全半角检查</abilityName>
      <candidateList>
        <item>（</item>
      </candidateList>
      <explain>文本全半角错误。</explain>
      <paraID>75D70385</paraID>
      <start>0</start>
      <end>1</end>
      <status>unmodified</status>
      <modifiedWord/>
      <trackRevisions>false</trackRevisions>
    </reviewItem>
    <reviewItem>
      <errorID>db3ef3c0-b051-45be-a82a-b0661ca28260</errorID>
      <errorWord>)</errorWord>
      <group>L1_Format</group>
      <groupName>格式问题</groupName>
      <ability>L2_HalfPunc</ability>
      <abilityName>全半角检查</abilityName>
      <candidateList>
        <item>）</item>
      </candidateList>
      <explain>文本全半角错误。</explain>
      <paraID>75D70385</paraID>
      <start>2</start>
      <end>3</end>
      <status>unmodified</status>
      <modifiedWord/>
      <trackRevisions>false</trackRevisions>
    </reviewItem>
    <reviewItem>
      <errorID>1e54f661-b120-4492-a002-2736e6837a44</errorID>
      <errorWord>，</errorWord>
      <group>L1_Format</group>
      <groupName>格式问题</groupName>
      <ability>L2_HalfPunc</ability>
      <abilityName>全半角检查</abilityName>
      <candidateList>
        <item>, </item>
      </candidateList>
      <explain>文本全半角错误。</explain>
      <paraID>1CAD55A5</paraID>
      <start>5</start>
      <end>6</end>
      <status>unmodified</status>
      <modifiedWord/>
      <trackRevisions>false</trackRevisions>
    </reviewItem>
    <reviewItem>
      <errorID>4f005107-1c53-4c15-b875-71d050d7a33a</errorID>
      <errorWord>(</errorWord>
      <group>L1_Format</group>
      <groupName>格式问题</groupName>
      <ability>L2_HalfPunc</ability>
      <abilityName>全半角检查</abilityName>
      <candidateList>
        <item>（</item>
      </candidateList>
      <explain>文本全半角错误。</explain>
      <paraID>56F253B7</paraID>
      <start>0</start>
      <end>1</end>
      <status>unmodified</status>
      <modifiedWord/>
      <trackRevisions>false</trackRevisions>
    </reviewItem>
    <reviewItem>
      <errorID>337b3c31-6515-4d19-b537-f76bfe914679</errorID>
      <errorWord>)</errorWord>
      <group>L1_Format</group>
      <groupName>格式问题</groupName>
      <ability>L2_HalfPunc</ability>
      <abilityName>全半角检查</abilityName>
      <candidateList>
        <item>）</item>
      </candidateList>
      <explain>文本全半角错误。</explain>
      <paraID>56F253B7</paraID>
      <start>2</start>
      <end>3</end>
      <status>unmodified</status>
      <modifiedWord/>
      <trackRevisions>false</trackRevisions>
    </reviewItem>
    <reviewItem>
      <errorID>35f27b7d-d1f9-419d-840f-501e3f50a202</errorID>
      <errorWord>，</errorWord>
      <group>L1_Format</group>
      <groupName>格式问题</groupName>
      <ability>L2_HalfPunc</ability>
      <abilityName>全半角检查</abilityName>
      <candidateList>
        <item>, </item>
      </candidateList>
      <explain>文本全半角错误。</explain>
      <paraID>13CEDB50</paraID>
      <start>5</start>
      <end>6</end>
      <status>unmodified</status>
      <modifiedWord/>
      <trackRevisions>false</trackRevisions>
    </reviewItem>
    <reviewItem>
      <errorID>86f7c8b0-7776-452c-9f17-dbfa78f4ef61</errorID>
      <errorWord>，</errorWord>
      <group>L1_Format</group>
      <groupName>格式问题</groupName>
      <ability>L2_HalfPunc</ability>
      <abilityName>全半角检查</abilityName>
      <candidateList>
        <item>, </item>
      </candidateList>
      <explain>文本全半角错误。</explain>
      <paraID> AC0184C</paraID>
      <start>4</start>
      <end>5</end>
      <status>unmodified</status>
      <modifiedWord/>
      <trackRevisions>false</trackRevisions>
    </reviewItem>
    <reviewItem>
      <errorID>d57c9aac-1da1-4922-9ab0-b6cc1508fddd</errorID>
      <errorWord>(</errorWord>
      <group>L1_Format</group>
      <groupName>格式问题</groupName>
      <ability>L2_HalfPunc</ability>
      <abilityName>全半角检查</abilityName>
      <candidateList>
        <item>（</item>
      </candidateList>
      <explain>文本全半角错误。</explain>
      <paraID>57C78A65</paraID>
      <start>0</start>
      <end>1</end>
      <status>unmodified</status>
      <modifiedWord/>
      <trackRevisions>false</trackRevisions>
    </reviewItem>
    <reviewItem>
      <errorID>2d72533d-1c92-41c4-92ca-6fcf189cfb13</errorID>
      <errorWord>)</errorWord>
      <group>L1_Format</group>
      <groupName>格式问题</groupName>
      <ability>L2_HalfPunc</ability>
      <abilityName>全半角检查</abilityName>
      <candidateList>
        <item>）</item>
      </candidateList>
      <explain>文本全半角错误。</explain>
      <paraID>57C78A65</paraID>
      <start>2</start>
      <end>3</end>
      <status>unmodified</status>
      <modifiedWord/>
      <trackRevisions>false</trackRevisions>
    </reviewItem>
    <reviewItem>
      <errorID>82e2df93-1fdf-4b2d-b263-95a8afe1bbc0</errorID>
      <errorWord>，</errorWord>
      <group>L1_Format</group>
      <groupName>格式问题</groupName>
      <ability>L2_HalfPunc</ability>
      <abilityName>全半角检查</abilityName>
      <candidateList>
        <item>, </item>
      </candidateList>
      <explain>文本全半角错误。</explain>
      <paraID>6326955D</paraID>
      <start>5</start>
      <end>6</end>
      <status>unmodified</status>
      <modifiedWord/>
      <trackRevisions>false</trackRevisions>
    </reviewItem>
    <reviewItem>
      <errorID>8e28d3e9-b62f-41a4-9697-ea8818b2d10b</errorID>
      <errorWord>)</errorWord>
      <group>L1_Format</group>
      <groupName>格式问题</groupName>
      <ability>L2_HalfPunc</ability>
      <abilityName>全半角检查</abilityName>
      <candidateList>
        <item>）</item>
      </candidateList>
      <explain>文本全半角错误。</explain>
      <paraID>37E15703</paraID>
      <start>34</start>
      <end>35</end>
      <status>unmodified</status>
      <modifiedWord/>
      <trackRevisions>false</trackRevisions>
    </reviewItem>
    <reviewItem>
      <errorID>6054cfd7-561f-4d7d-bd4f-d78db1770b03</errorID>
      <errorWord>)</errorWord>
      <group>L1_Format</group>
      <groupName>格式问题</groupName>
      <ability>L2_HalfPunc</ability>
      <abilityName>全半角检查</abilityName>
      <candidateList>
        <item>）</item>
      </candidateList>
      <explain>文本全半角错误。</explain>
      <paraID>37E15703</paraID>
      <start>56</start>
      <end>57</end>
      <status>unmodified</status>
      <modifiedWord/>
      <trackRevisions>false</trackRevisions>
    </reviewItem>
    <reviewItem>
      <errorID>cb10ae6c-14ce-4293-8934-4c90c1928702</errorID>
      <errorWord>)</errorWord>
      <group>L1_Format</group>
      <groupName>格式问题</groupName>
      <ability>L2_HalfPunc</ability>
      <abilityName>全半角检查</abilityName>
      <candidateList>
        <item>）</item>
      </candidateList>
      <explain>文本全半角错误。</explain>
      <paraID>37E15703</paraID>
      <start>86</start>
      <end>87</end>
      <status>unmodified</status>
      <modifiedWord/>
      <trackRevisions>false</trackRevisions>
    </reviewItem>
    <reviewItem>
      <errorID>01af7a4a-7d10-44e2-9a47-a098059aa2b7</errorID>
      <errorWord>(</errorWord>
      <group>L1_Format</group>
      <groupName>格式问题</groupName>
      <ability>L2_HalfPunc</ability>
      <abilityName>全半角检查</abilityName>
      <candidateList>
        <item>（</item>
      </candidateList>
      <explain>文本全半角错误。</explain>
      <paraID>37E15703</paraID>
      <start>98</start>
      <end>99</end>
      <status>unmodified</status>
      <modifiedWord/>
      <trackRevisions>false</trackRevisions>
    </reviewItem>
    <reviewItem>
      <errorID>a63bfb95-b6e7-4e57-beb6-ac8715d35f61</errorID>
      <errorWord>)</errorWord>
      <group>L1_Format</group>
      <groupName>格式问题</groupName>
      <ability>L2_HalfPunc</ability>
      <abilityName>全半角检查</abilityName>
      <candidateList>
        <item>）</item>
      </candidateList>
      <explain>文本全半角错误。</explain>
      <paraID>37E15703</paraID>
      <start>103</start>
      <end>104</end>
      <status>unmodified</status>
      <modifiedWord/>
      <trackRevisions>false</trackRevisions>
    </reviewItem>
    <reviewItem>
      <errorID>e8d60757-c953-46fa-a2b7-3ce332ea0f9c</errorID>
      <errorWord>)</errorWord>
      <group>L1_Format</group>
      <groupName>格式问题</groupName>
      <ability>L2_HalfPunc</ability>
      <abilityName>全半角检查</abilityName>
      <candidateList>
        <item>）</item>
      </candidateList>
      <explain>文本全半角错误。</explain>
      <paraID>37E15703</paraID>
      <start>107</start>
      <end>108</end>
      <status>unmodified</status>
      <modifiedWord/>
      <trackRevisions>false</trackRevisions>
    </reviewItem>
    <reviewItem>
      <errorID>4bfab696-8104-45c9-80a6-011cd3987f01</errorID>
      <errorWord>)</errorWord>
      <group>L1_Format</group>
      <groupName>格式问题</groupName>
      <ability>L2_HalfPunc</ability>
      <abilityName>全半角检查</abilityName>
      <candidateList>
        <item>）</item>
      </candidateList>
      <explain>文本全半角错误。</explain>
      <paraID>37E15703</paraID>
      <start>122</start>
      <end>123</end>
      <status>unmodified</status>
      <modifiedWord/>
      <trackRevisions>false</trackRevisions>
    </reviewItem>
    <reviewItem>
      <errorID>546e690b-49db-4f87-9e54-4cd8970c1dc2</errorID>
      <errorWord>(</errorWord>
      <group>L1_Format</group>
      <groupName>格式问题</groupName>
      <ability>L2_HalfPunc</ability>
      <abilityName>全半角检查</abilityName>
      <candidateList>
        <item>（</item>
      </candidateList>
      <explain>文本全半角错误。</explain>
      <paraID>15D01A2A</paraID>
      <start>5</start>
      <end>6</end>
      <status>unmodified</status>
      <modifiedWord/>
      <trackRevisions>false</trackRevisions>
    </reviewItem>
    <reviewItem>
      <errorID>835cdf6f-079c-45d9-9688-6a6077507d24</errorID>
      <errorWord>)</errorWord>
      <group>L1_Format</group>
      <groupName>格式问题</groupName>
      <ability>L2_HalfPunc</ability>
      <abilityName>全半角检查</abilityName>
      <candidateList>
        <item>）</item>
      </candidateList>
      <explain>文本全半角错误。</explain>
      <paraID>15D01A2A</paraID>
      <start>9</start>
      <end>10</end>
      <status>unmodified</status>
      <modifiedWord/>
      <trackRevisions>false</trackRevisions>
    </reviewItem>
    <reviewItem>
      <errorID>c6536f7c-9718-4094-87e7-c3373414165c</errorID>
      <errorWord>)</errorWord>
      <group>L1_Format</group>
      <groupName>格式问题</groupName>
      <ability>L2_HalfPunc</ability>
      <abilityName>全半角检查</abilityName>
      <candidateList>
        <item>）</item>
      </candidateList>
      <explain>文本全半角错误。</explain>
      <paraID>4B96E9BA</paraID>
      <start>25</start>
      <end>26</end>
      <status>unmodified</status>
      <modifiedWord/>
      <trackRevisions>false</trackRevisions>
    </reviewItem>
    <reviewItem>
      <errorID>992ad96e-8bab-4949-9d79-78ad70f11001</errorID>
      <errorWord>)</errorWord>
      <group>L1_Format</group>
      <groupName>格式问题</groupName>
      <ability>L2_HalfPunc</ability>
      <abilityName>全半角检查</abilityName>
      <candidateList>
        <item>）</item>
      </candidateList>
      <explain>文本全半角错误。</explain>
      <paraID>4B96E9BA</paraID>
      <start>38</start>
      <end>39</end>
      <status>unmodified</status>
      <modifiedWord/>
      <trackRevisions>false</trackRevisions>
    </reviewItem>
    <reviewItem>
      <errorID>e4e45765-8f2d-47ce-b747-0fcd5e71ba1f</errorID>
      <errorWord>)</errorWord>
      <group>L1_Format</group>
      <groupName>格式问题</groupName>
      <ability>L2_HalfPunc</ability>
      <abilityName>全半角检查</abilityName>
      <candidateList>
        <item>）</item>
      </candidateList>
      <explain>文本全半角错误。</explain>
      <paraID>4B96E9BA</paraID>
      <start>58</start>
      <end>59</end>
      <status>unmodified</status>
      <modifiedWord/>
      <trackRevisions>false</trackRevisions>
    </reviewItem>
    <reviewItem>
      <errorID>bdeb444a-3a49-482f-8fcc-7b1f7dcb7d3a</errorID>
      <errorWord>)</errorWord>
      <group>L1_Format</group>
      <groupName>格式问题</groupName>
      <ability>L2_HalfPunc</ability>
      <abilityName>全半角检查</abilityName>
      <candidateList>
        <item>）</item>
      </candidateList>
      <explain>文本全半角错误。</explain>
      <paraID>4B96E9BA</paraID>
      <start>72</start>
      <end>73</end>
      <status>unmodified</status>
      <modifiedWord/>
      <trackRevisions>false</trackRevisions>
    </reviewItem>
    <reviewItem>
      <errorID>34ec9f31-02be-4a71-8dbd-257654f639b6</errorID>
      <errorWord>)</errorWord>
      <group>L1_Format</group>
      <groupName>格式问题</groupName>
      <ability>L2_HalfPunc</ability>
      <abilityName>全半角检查</abilityName>
      <candidateList>
        <item>）</item>
      </candidateList>
      <explain>文本全半角错误。</explain>
      <paraID>4B96E9BA</paraID>
      <start>91</start>
      <end>92</end>
      <status>unmodified</status>
      <modifiedWord/>
      <trackRevisions>false</trackRevisions>
    </reviewItem>
    <reviewItem>
      <errorID>1aa88303-f1f7-461e-b55f-7f238645217f</errorID>
      <errorWord>噪音</errorWord>
      <group>L1_Word</group>
      <groupName>字词问题</groupName>
      <ability>L2_Alias</ability>
      <abilityName>也作/曾用词</abilityName>
      <candidateList>
        <item>噪声</item>
      </candidateList>
      <explain>词汇[噪音]为不规范表述或旧称，其规范书面表述为[噪声]。</explain>
      <paraID>5EB4A5F0</paraID>
      <start>0</start>
      <end>2</end>
      <status>unmodified</status>
      <modifiedWord/>
      <trackRevisions>false</trackRevisions>
    </reviewItem>
    <reviewItem>
      <errorID>04a0322a-488a-4e16-bc07-aa51f42c6389</errorID>
      <errorWord>噪音</errorWord>
      <group>L1_Word</group>
      <groupName>字词问题</groupName>
      <ability>L2_Alias</ability>
      <abilityName>也作/曾用词</abilityName>
      <candidateList>
        <item>噪声</item>
      </candidateList>
      <explain>词汇[噪音]为不规范表述或旧称，其规范书面表述为[噪声]。</explain>
      <paraID> E782F74</paraID>
      <start>4</start>
      <end>6</end>
      <status>unmodified</status>
      <modifiedWord/>
      <trackRevisions>false</trackRevisions>
    </reviewItem>
    <reviewItem>
      <errorID>53b7b7aa-72b9-414d-8a6f-0aefc2865050</errorID>
      <errorWord>噪音</errorWord>
      <group>L1_Word</group>
      <groupName>字词问题</groupName>
      <ability>L2_Alias</ability>
      <abilityName>也作/曾用词</abilityName>
      <candidateList>
        <item>噪声</item>
      </candidateList>
      <explain>词汇[噪音]为不规范表述或旧称，其规范书面表述为[噪声]。</explain>
      <paraID> E782F74</paraID>
      <start>9</start>
      <end>11</end>
      <status>unmodified</status>
      <modifiedWord/>
      <trackRevisions>false</trackRevisions>
    </reviewItem>
    <reviewItem>
      <errorID>fb6b9bcf-a9d0-4651-b4e8-381b07f239c8</errorID>
      <errorWord>)</errorWord>
      <group>L1_Format</group>
      <groupName>格式问题</groupName>
      <ability>L2_HalfPunc</ability>
      <abilityName>全半角检查</abilityName>
      <candidateList>
        <item>）</item>
      </candidateList>
      <explain>文本全半角错误。</explain>
      <paraID> E782F74</paraID>
      <start>24</start>
      <end>25</end>
      <status>unmodified</status>
      <modifiedWord/>
      <trackRevisions>false</trackRevisions>
    </reviewItem>
    <reviewItem>
      <errorID>70dc0876-f27f-4535-a576-fd8eb93c05bb</errorID>
      <errorWord>)</errorWord>
      <group>L1_Format</group>
      <groupName>格式问题</groupName>
      <ability>L2_HalfPunc</ability>
      <abilityName>全半角检查</abilityName>
      <candidateList>
        <item>）</item>
      </candidateList>
      <explain>文本全半角错误。</explain>
      <paraID> E782F74</paraID>
      <start>40</start>
      <end>41</end>
      <status>unmodified</status>
      <modifiedWord/>
      <trackRevisions>false</trackRevisions>
    </reviewItem>
    <reviewItem>
      <errorID>80ca5210-fee8-45db-b985-c110b5b6012f</errorID>
      <errorWord>)</errorWord>
      <group>L1_Format</group>
      <groupName>格式问题</groupName>
      <ability>L2_HalfPunc</ability>
      <abilityName>全半角检查</abilityName>
      <candidateList>
        <item>）</item>
      </candidateList>
      <explain>文本全半角错误。</explain>
      <paraID> E782F74</paraID>
      <start>58</start>
      <end>59</end>
      <status>unmodified</status>
      <modifiedWord/>
      <trackRevisions>false</trackRevisions>
    </reviewItem>
    <reviewItem>
      <errorID>f0ead718-3930-4ede-ae85-c21ec6ea442b</errorID>
      <errorWord>)</errorWord>
      <group>L1_Format</group>
      <groupName>格式问题</groupName>
      <ability>L2_HalfPunc</ability>
      <abilityName>全半角检查</abilityName>
      <candidateList>
        <item>）</item>
      </candidateList>
      <explain>文本全半角错误。</explain>
      <paraID> E782F74</paraID>
      <start>75</start>
      <end>76</end>
      <status>unmodified</status>
      <modifiedWord/>
      <trackRevisions>false</trackRevisions>
    </reviewItem>
    <reviewItem>
      <errorID>190f2d97-995c-4a59-8a46-b208ab886b4b</errorID>
      <errorWord>)</errorWord>
      <group>L1_Format</group>
      <groupName>格式问题</groupName>
      <ability>L2_HalfPunc</ability>
      <abilityName>全半角检查</abilityName>
      <candidateList>
        <item>）</item>
      </candidateList>
      <explain>文本全半角错误。</explain>
      <paraID> E782F74</paraID>
      <start>89</start>
      <end>90</end>
      <status>unmodified</status>
      <modifiedWord/>
      <trackRevisions>false</trackRevisions>
    </reviewItem>
    <reviewItem>
      <errorID>b4403124-c333-4d94-8d72-ba7a3ea79bae</errorID>
      <errorWord>)</errorWord>
      <group>L1_Format</group>
      <groupName>格式问题</groupName>
      <ability>L2_HalfPunc</ability>
      <abilityName>全半角检查</abilityName>
      <candidateList>
        <item>）</item>
      </candidateList>
      <explain>文本全半角错误。</explain>
      <paraID> E782F74</paraID>
      <start>104</start>
      <end>105</end>
      <status>unmodified</status>
      <modifiedWord/>
      <trackRevisions>false</trackRevisions>
    </reviewItem>
    <reviewItem>
      <errorID>012aab1d-584e-481b-8ec8-a30c09562f0c</errorID>
      <errorWord>)</errorWord>
      <group>L1_Format</group>
      <groupName>格式问题</groupName>
      <ability>L2_HalfPunc</ability>
      <abilityName>全半角检查</abilityName>
      <candidateList>
        <item>）</item>
      </candidateList>
      <explain>文本全半角错误。</explain>
      <paraID> E782F74</paraID>
      <start>119</start>
      <end>120</end>
      <status>unmodified</status>
      <modifiedWord/>
      <trackRevisions>false</trackRevisions>
    </reviewItem>
    <reviewItem>
      <errorID>8f58ac20-59bc-4e68-a973-28d8511278a0</errorID>
      <errorWord>(</errorWord>
      <group>L1_Format</group>
      <groupName>格式问题</groupName>
      <ability>L2_HalfPunc</ability>
      <abilityName>全半角检查</abilityName>
      <candidateList>
        <item>（</item>
      </candidateList>
      <explain>文本全半角错误。</explain>
      <paraID>47B194A6</paraID>
      <start>43</start>
      <end>44</end>
      <status>unmodified</status>
      <modifiedWord/>
      <trackRevisions>false</trackRevisions>
    </reviewItem>
    <reviewItem>
      <errorID>a1dc0453-f4b8-4454-a462-e11175f3783e</errorID>
      <errorWord>)</errorWord>
      <group>L1_Format</group>
      <groupName>格式问题</groupName>
      <ability>L2_HalfPunc</ability>
      <abilityName>全半角检查</abilityName>
      <candidateList>
        <item>）</item>
      </candidateList>
      <explain>文本全半角错误。</explain>
      <paraID>47B194A6</paraID>
      <start>53</start>
      <end>54</end>
      <status>unmodified</status>
      <modifiedWord/>
      <trackRevisions>false</trackRevisions>
    </reviewItem>
    <reviewItem>
      <errorID>50539a7e-a42f-4a1d-a4e0-4db70c7a41bc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5F4DF0E</paraID>
      <start>43</start>
      <end>44</end>
      <status>unmodified</status>
      <modifiedWord/>
      <trackRevisions>false</trackRevisions>
    </reviewItem>
    <reviewItem>
      <errorID>76d20e5c-05fe-4288-bb5b-3dce0039c6d4</errorID>
      <errorWord>(</errorWord>
      <group>L1_Format</group>
      <groupName>格式问题</groupName>
      <ability>L2_HalfPunc</ability>
      <abilityName>全半角检查</abilityName>
      <candidateList>
        <item>（</item>
      </candidateList>
      <explain>文本全半角错误。</explain>
      <paraID> 5F4DF0E</paraID>
      <start>97</start>
      <end>98</end>
      <status>unmodified</status>
      <modifiedWord/>
      <trackRevisions>false</trackRevisions>
    </reviewItem>
    <reviewItem>
      <errorID>ab6c4ca5-d1b7-4906-a9a3-e1549f1e1264</errorID>
      <errorWord>)</errorWord>
      <group>L1_Format</group>
      <groupName>格式问题</groupName>
      <ability>L2_HalfPunc</ability>
      <abilityName>全半角检查</abilityName>
      <candidateList>
        <item>）</item>
      </candidateList>
      <explain>文本全半角错误。</explain>
      <paraID> 5F4DF0E</paraID>
      <start>100</start>
      <end>101</end>
      <status>unmodified</status>
      <modifiedWord/>
      <trackRevisions>false</trackRevisions>
    </reviewItem>
    <reviewItem>
      <errorID>7da3cc7d-1824-4fc2-8eca-5f2052a3fe23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53505E3C</paraID>
      <start>8</start>
      <end>9</end>
      <status>unmodified</status>
      <modifiedWord/>
      <trackRevisions>false</trackRevisions>
    </reviewItem>
    <reviewItem>
      <errorID>be6f6f37-6365-4467-a9ab-55ff0dafa748</errorID>
      <errorWord>个</errorWord>
      <group>L1_Knowledge</group>
      <groupName>知识性问题</groupName>
      <ability>L2_Knowledge</ability>
      <abilityName>其他知识</abilityName>
      <candidateList>
        <item>眼</item>
      </candidateList>
      <explain/>
      <paraID>2B11BFF8</paraID>
      <start>71</start>
      <end>72</end>
      <status>unmodified</status>
      <modifiedWord/>
      <trackRevisions>false</trackRevisions>
    </reviewItem>
    <reviewItem>
      <errorID>38ea6b64-44b8-4bdf-b7fa-637316e81138</errorID>
      <errorWord>)</errorWord>
      <group>L1_Format</group>
      <groupName>格式问题</groupName>
      <ability>L2_HalfPunc</ability>
      <abilityName>全半角检查</abilityName>
      <candidateList>
        <item>）</item>
      </candidateList>
      <explain>文本全半角错误。</explain>
      <paraID> 25B426A</paraID>
      <start>28</start>
      <end>29</end>
      <status>unmodified</status>
      <modifiedWord/>
      <trackRevisions>false</trackRevisions>
    </reviewItem>
    <reviewItem>
      <errorID>6734ceb0-f8cf-429f-8b71-ef9e036d8510</errorID>
      <errorWord>)</errorWord>
      <group>L1_Format</group>
      <groupName>格式问题</groupName>
      <ability>L2_HalfPunc</ability>
      <abilityName>全半角检查</abilityName>
      <candidateList>
        <item>）</item>
      </candidateList>
      <explain>文本全半角错误。</explain>
      <paraID> 25B426A</paraID>
      <start>45</start>
      <end>46</end>
      <status>unmodified</status>
      <modifiedWord/>
      <trackRevisions>false</trackRevisions>
    </reviewItem>
    <reviewItem>
      <errorID>108b57da-4735-4ada-9e18-2cf074923d30</errorID>
      <errorWord>)</errorWord>
      <group>L1_Format</group>
      <groupName>格式问题</groupName>
      <ability>L2_HalfPunc</ability>
      <abilityName>全半角检查</abilityName>
      <candidateList>
        <item>）</item>
      </candidateList>
      <explain>文本全半角错误。</explain>
      <paraID> 25B426A</paraID>
      <start>71</start>
      <end>72</end>
      <status>unmodified</status>
      <modifiedWord/>
      <trackRevisions>false</trackRevisions>
    </reviewItem>
    <reviewItem>
      <errorID>79e43d47-2b8e-4a02-a497-e91ac81ca7d3</errorID>
      <errorWord>(</errorWord>
      <group>L1_Format</group>
      <groupName>格式问题</groupName>
      <ability>L2_HalfPunc</ability>
      <abilityName>全半角检查</abilityName>
      <candidateList>
        <item>（</item>
      </candidateList>
      <explain>文本全半角错误。</explain>
      <paraID> 25B426A</paraID>
      <start>86</start>
      <end>87</end>
      <status>unmodified</status>
      <modifiedWord/>
      <trackRevisions>false</trackRevisions>
    </reviewItem>
    <reviewItem>
      <errorID>c58d5d48-fc58-4d81-a9f8-78e208b8ebc3</errorID>
      <errorWord>)</errorWord>
      <group>L1_Format</group>
      <groupName>格式问题</groupName>
      <ability>L2_HalfPunc</ability>
      <abilityName>全半角检查</abilityName>
      <candidateList>
        <item>）</item>
      </candidateList>
      <explain>文本全半角错误。</explain>
      <paraID> 25B426A</paraID>
      <start>96</start>
      <end>97</end>
      <status>unmodified</status>
      <modifiedWord/>
      <trackRevisions>false</trackRevisions>
    </reviewItem>
    <reviewItem>
      <errorID>6f24ab22-8200-4a7b-8100-a700f7276cf0</errorID>
      <errorWord>)</errorWord>
      <group>L1_Format</group>
      <groupName>格式问题</groupName>
      <ability>L2_HalfPunc</ability>
      <abilityName>全半角检查</abilityName>
      <candidateList>
        <item>）</item>
      </candidateList>
      <explain>文本全半角错误。</explain>
      <paraID> 25B426A</paraID>
      <start>114</start>
      <end>115</end>
      <status>unmodified</status>
      <modifiedWord/>
      <trackRevisions>false</trackRevisions>
    </reviewItem>
    <reviewItem>
      <errorID>ba6e72f1-4f0d-4c56-a841-eb90d35564cf</errorID>
      <errorWord>)</errorWord>
      <group>L1_Format</group>
      <groupName>格式问题</groupName>
      <ability>L2_HalfPunc</ability>
      <abilityName>全半角检查</abilityName>
      <candidateList>
        <item>）</item>
      </candidateList>
      <explain>文本全半角错误。</explain>
      <paraID> 25B426A</paraID>
      <start>127</start>
      <end>128</end>
      <status>unmodified</status>
      <modifiedWord/>
      <trackRevisions>false</trackRevisions>
    </reviewItem>
    <reviewItem>
      <errorID>93fa94ea-cca8-49f6-ae6e-fb7e0030a2c6</errorID>
      <errorWord>)</errorWord>
      <group>L1_Format</group>
      <groupName>格式问题</groupName>
      <ability>L2_HalfPunc</ability>
      <abilityName>全半角检查</abilityName>
      <candidateList>
        <item>）</item>
      </candidateList>
      <explain>文本全半角错误。</explain>
      <paraID> 25B426A</paraID>
      <start>140</start>
      <end>141</end>
      <status>unmodified</status>
      <modifiedWord/>
      <trackRevisions>false</trackRevisions>
    </reviewItem>
    <reviewItem>
      <errorID>750320c4-c60a-4177-b150-f383d37d6103</errorID>
      <errorWord>)</errorWord>
      <group>L1_Format</group>
      <groupName>格式问题</groupName>
      <ability>L2_HalfPunc</ability>
      <abilityName>全半角检查</abilityName>
      <candidateList>
        <item>）</item>
      </candidateList>
      <explain>文本全半角错误。</explain>
      <paraID> 25B426A</paraID>
      <start>155</start>
      <end>156</end>
      <status>unmodified</status>
      <modifiedWord/>
      <trackRevisions>false</trackRevisions>
    </reviewItem>
    <reviewItem>
      <errorID>528a741d-571a-41b4-ba1b-079e7933d534</errorID>
      <errorWord>)</errorWord>
      <group>L1_Format</group>
      <groupName>格式问题</groupName>
      <ability>L2_HalfPunc</ability>
      <abilityName>全半角检查</abilityName>
      <candidateList>
        <item>）</item>
      </candidateList>
      <explain>文本全半角错误。</explain>
      <paraID> 25B426A</paraID>
      <start>172</start>
      <end>173</end>
      <status>unmodified</status>
      <modifiedWord/>
      <trackRevisions>false</trackRevisions>
    </reviewItem>
    <reviewItem>
      <errorID>76c73d4f-5c12-4259-8147-8db3af0d0eae</errorID>
      <errorWord>)</errorWord>
      <group>L1_Format</group>
      <groupName>格式问题</groupName>
      <ability>L2_HalfPunc</ability>
      <abilityName>全半角检查</abilityName>
      <candidateList>
        <item>）</item>
      </candidateList>
      <explain>文本全半角错误。</explain>
      <paraID> 25B426A</paraID>
      <start>189</start>
      <end>190</end>
      <status>unmodified</status>
      <modifiedWord/>
      <trackRevisions>false</trackRevisions>
    </reviewItem>
    <reviewItem>
      <errorID>1ba9f977-5d2b-4fad-9b2c-eaafb30cc19a</errorID>
      <errorWord>)</errorWord>
      <group>L1_Format</group>
      <groupName>格式问题</groupName>
      <ability>L2_HalfPunc</ability>
      <abilityName>全半角检查</abilityName>
      <candidateList>
        <item>）</item>
      </candidateList>
      <explain>文本全半角错误。</explain>
      <paraID> 25B426A</paraID>
      <start>212</start>
      <end>213</end>
      <status>unmodified</status>
      <modifiedWord/>
      <trackRevisions>false</trackRevisions>
    </reviewItem>
    <reviewItem>
      <errorID>db2a38a2-5670-4f0b-8a96-01d2ca5c2e7e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25B426A</paraID>
      <start>226</start>
      <end>227</end>
      <status>unmodified</status>
      <modifiedWord/>
      <trackRevisions>false</trackRevisions>
    </reviewItem>
    <reviewItem>
      <errorID>2f3ea176-4493-4062-9aa3-6cb5bf891c12</errorID>
      <errorWord>)</errorWord>
      <group>L1_Format</group>
      <groupName>格式问题</groupName>
      <ability>L2_HalfPunc</ability>
      <abilityName>全半角检查</abilityName>
      <candidateList>
        <item>）</item>
      </candidateList>
      <explain>文本全半角错误。</explain>
      <paraID> 25B426A</paraID>
      <start>233</start>
      <end>234</end>
      <status>unmodified</status>
      <modifiedWord/>
      <trackRevisions>false</trackRevisions>
    </reviewItem>
    <reviewItem>
      <errorID>0607e7af-c800-4323-9aa0-92e40551cd19</errorID>
      <errorWord>)</errorWord>
      <group>L1_Format</group>
      <groupName>格式问题</groupName>
      <ability>L2_HalfPunc</ability>
      <abilityName>全半角检查</abilityName>
      <candidateList>
        <item>）</item>
      </candidateList>
      <explain>文本全半角错误。</explain>
      <paraID>361B0763</paraID>
      <start>20</start>
      <end>21</end>
      <status>unmodified</status>
      <modifiedWord/>
      <trackRevisions>false</trackRevisions>
    </reviewItem>
    <reviewItem>
      <errorID>0ee0d097-26c6-4f7f-9fa0-f5d0fbe085ec</errorID>
      <errorWord>(</errorWord>
      <group>L1_Format</group>
      <groupName>格式问题</groupName>
      <ability>L2_HalfPunc</ability>
      <abilityName>全半角检查</abilityName>
      <candidateList>
        <item>（</item>
      </candidateList>
      <explain>文本全半角错误。</explain>
      <paraID>361B0763</paraID>
      <start>29</start>
      <end>30</end>
      <status>unmodified</status>
      <modifiedWord/>
      <trackRevisions>false</trackRevisions>
    </reviewItem>
    <reviewItem>
      <errorID>4fcdf1a8-ebfb-4d8b-aef7-8217997b1dcf</errorID>
      <errorWord>)</errorWord>
      <group>L1_Format</group>
      <groupName>格式问题</groupName>
      <ability>L2_HalfPunc</ability>
      <abilityName>全半角检查</abilityName>
      <candidateList>
        <item>）</item>
      </candidateList>
      <explain>文本全半角错误。</explain>
      <paraID>361B0763</paraID>
      <start>42</start>
      <end>43</end>
      <status>unmodified</status>
      <modifiedWord/>
      <trackRevisions>false</trackRevisions>
    </reviewItem>
    <reviewItem>
      <errorID>51ea3cab-7917-466b-bf3c-aee09a5fc84b</errorID>
      <errorWord>)</errorWord>
      <group>L1_Format</group>
      <groupName>格式问题</groupName>
      <ability>L2_HalfPunc</ability>
      <abilityName>全半角检查</abilityName>
      <candidateList>
        <item>）</item>
      </candidateList>
      <explain>文本全半角错误。</explain>
      <paraID>361B0763</paraID>
      <start>45</start>
      <end>46</end>
      <status>unmodified</status>
      <modifiedWord/>
      <trackRevisions>false</trackRevisions>
    </reviewItem>
    <reviewItem>
      <errorID>733d70bd-d475-4147-a5b0-6439c7759918</errorID>
      <errorWord>)</errorWord>
      <group>L1_Format</group>
      <groupName>格式问题</groupName>
      <ability>L2_HalfPunc</ability>
      <abilityName>全半角检查</abilityName>
      <candidateList>
        <item>）</item>
      </candidateList>
      <explain>文本全半角错误。</explain>
      <paraID>361B0763</paraID>
      <start>57</start>
      <end>58</end>
      <status>unmodified</status>
      <modifiedWord/>
      <trackRevisions>false</trackRevisions>
    </reviewItem>
    <reviewItem>
      <errorID>98813a66-373d-43d6-a6a1-57dc7c2b7166</errorID>
      <errorWord>)</errorWord>
      <group>L1_Format</group>
      <groupName>格式问题</groupName>
      <ability>L2_HalfPunc</ability>
      <abilityName>全半角检查</abilityName>
      <candidateList>
        <item>）</item>
      </candidateList>
      <explain>文本全半角错误。</explain>
      <paraID>361B0763</paraID>
      <start>78</start>
      <end>79</end>
      <status>unmodified</status>
      <modifiedWord/>
      <trackRevisions>false</trackRevisions>
    </reviewItem>
    <reviewItem>
      <errorID>698e66b6-d401-4317-8da0-29f0e284f642</errorID>
      <errorWord>)</errorWord>
      <group>L1_Format</group>
      <groupName>格式问题</groupName>
      <ability>L2_HalfPunc</ability>
      <abilityName>全半角检查</abilityName>
      <candidateList>
        <item>）</item>
      </candidateList>
      <explain>文本全半角错误。</explain>
      <paraID>361B0763</paraID>
      <start>103</start>
      <end>104</end>
      <status>unmodified</status>
      <modifiedWord/>
      <trackRevisions>false</trackRevisions>
    </reviewItem>
    <reviewItem>
      <errorID>38bc54ce-7dd2-4a00-b55d-03f6d85f9a11</errorID>
      <errorWord>)</errorWord>
      <group>L1_Format</group>
      <groupName>格式问题</groupName>
      <ability>L2_HalfPunc</ability>
      <abilityName>全半角检查</abilityName>
      <candidateList>
        <item>）</item>
      </candidateList>
      <explain>文本全半角错误。</explain>
      <paraID>361B0763</paraID>
      <start>126</start>
      <end>127</end>
      <status>unmodified</status>
      <modifiedWord/>
      <trackRevisions>false</trackRevisions>
    </reviewItem>
    <reviewItem>
      <errorID>e49bcc09-36a9-4b40-b66f-cd017decbe40</errorID>
      <errorWord>)</errorWord>
      <group>L1_Format</group>
      <groupName>格式问题</groupName>
      <ability>L2_HalfPunc</ability>
      <abilityName>全半角检查</abilityName>
      <candidateList>
        <item>）</item>
      </candidateList>
      <explain>文本全半角错误。</explain>
      <paraID>361B0763</paraID>
      <start>169</start>
      <end>170</end>
      <status>unmodified</status>
      <modifiedWord/>
      <trackRevisions>false</trackRevisions>
    </reviewItem>
    <reviewItem>
      <errorID>71bad727-a8c1-466a-846d-c5457444369b</errorID>
      <errorWord>)</errorWord>
      <group>L1_Format</group>
      <groupName>格式问题</groupName>
      <ability>L2_HalfPunc</ability>
      <abilityName>全半角检查</abilityName>
      <candidateList>
        <item>）</item>
      </candidateList>
      <explain>文本全半角错误。</explain>
      <paraID>361B0763</paraID>
      <start>187</start>
      <end>188</end>
      <status>unmodified</status>
      <modifiedWord/>
      <trackRevisions>false</trackRevisions>
    </reviewItem>
    <reviewItem>
      <errorID>ce97f94a-e32a-42b5-b64d-9a0c726d47db</errorID>
      <errorWord>~</errorWord>
      <group>L1_Format</group>
      <groupName>格式问题</groupName>
      <ability>L2_HalfPunc</ability>
      <abilityName>全半角检查</abilityName>
      <candidateList>
        <item>～</item>
      </candidateList>
      <explain>文本全半角错误。</explain>
      <paraID>361B0763</paraID>
      <start>194</start>
      <end>195</end>
      <status>unmodified</status>
      <modifiedWord/>
      <trackRevisions>false</trackRevisions>
    </reviewItem>
    <reviewItem>
      <errorID>8fb1d08a-a450-4613-9a27-ed45f84b5c7d</errorID>
      <errorWord>个</errorWord>
      <group>L1_Knowledge</group>
      <groupName>知识性问题</groupName>
      <ability>L2_Knowledge</ability>
      <abilityName>其他知识</abilityName>
      <candidateList>
        <item>眼</item>
      </candidateList>
      <explain/>
      <paraID>55D22D3F</paraID>
      <start>32</start>
      <end>33</end>
      <status>unmodified</status>
      <modifiedWord/>
      <trackRevisions>false</trackRevisions>
    </reviewItem>
    <reviewItem>
      <errorID>fe2db77e-e508-4368-9eb1-659dc7427dde</errorID>
      <errorWord>，</errorWord>
      <group>L1_Format</group>
      <groupName>格式问题</groupName>
      <ability>L2_HalfPunc</ability>
      <abilityName>全半角检查</abilityName>
      <candidateList>
        <item>, </item>
      </candidateList>
      <explain>文本全半角错误。</explain>
      <paraID>6814193C</paraID>
      <start>5</start>
      <end>6</end>
      <status>unmodified</status>
      <modifiedWord/>
      <trackRevisions>false</trackRevisions>
    </reviewItem>
    <reviewItem>
      <errorID>8791a113-1eb5-437a-98c6-18e81bf41c3b</errorID>
      <errorWord>，</errorWord>
      <group>L1_Format</group>
      <groupName>格式问题</groupName>
      <ability>L2_HalfPunc</ability>
      <abilityName>全半角检查</abilityName>
      <candidateList>
        <item>, </item>
      </candidateList>
      <explain>文本全半角错误。</explain>
      <paraID>7FBAFF16</paraID>
      <start>3</start>
      <end>4</end>
      <status>unmodified</status>
      <modifiedWord/>
      <trackRevisions>false</trackRevisions>
    </reviewItem>
    <reviewItem>
      <errorID>49594bc9-f41a-4bdb-bc27-3750f186a604</errorID>
      <errorWord>(</errorWord>
      <group>L1_Format</group>
      <groupName>格式问题</groupName>
      <ability>L2_HalfPunc</ability>
      <abilityName>全半角检查</abilityName>
      <candidateList>
        <item>（</item>
      </candidateList>
      <explain>文本全半角错误。</explain>
      <paraID>283AC6B3</paraID>
      <start>0</start>
      <end>1</end>
      <status>unmodified</status>
      <modifiedWord/>
      <trackRevisions>false</trackRevisions>
    </reviewItem>
    <reviewItem>
      <errorID>f64c44a8-003b-4af8-8f1c-f22a2cde5d23</errorID>
      <errorWord>)</errorWord>
      <group>L1_Format</group>
      <groupName>格式问题</groupName>
      <ability>L2_HalfPunc</ability>
      <abilityName>全半角检查</abilityName>
      <candidateList>
        <item>）</item>
      </candidateList>
      <explain>文本全半角错误。</explain>
      <paraID>283AC6B3</paraID>
      <start>2</start>
      <end>3</end>
      <status>unmodified</status>
      <modifiedWord/>
      <trackRevisions>false</trackRevisions>
    </reviewItem>
    <reviewItem>
      <errorID>f6ff6c5c-08b4-4253-840d-299ac2eae147</errorID>
      <errorWord>(</errorWord>
      <group>L1_Format</group>
      <groupName>格式问题</groupName>
      <ability>L2_HalfPunc</ability>
      <abilityName>全半角检查</abilityName>
      <candidateList>
        <item>（</item>
      </candidateList>
      <explain>文本全半角错误。</explain>
      <paraID>58F25651</paraID>
      <start>0</start>
      <end>1</end>
      <status>unmodified</status>
      <modifiedWord/>
      <trackRevisions>false</trackRevisions>
    </reviewItem>
    <reviewItem>
      <errorID>76865282-087d-46ae-a61a-0e9418f86a18</errorID>
      <errorWord>)</errorWord>
      <group>L1_Format</group>
      <groupName>格式问题</groupName>
      <ability>L2_HalfPunc</ability>
      <abilityName>全半角检查</abilityName>
      <candidateList>
        <item>）</item>
      </candidateList>
      <explain>文本全半角错误。</explain>
      <paraID>58F25651</paraID>
      <start>2</start>
      <end>3</end>
      <status>unmodified</status>
      <modifiedWord/>
      <trackRevisions>false</trackRevisions>
    </reviewItem>
    <reviewItem>
      <errorID>678f1bdb-9bb9-427d-9e85-405106503ed1</errorID>
      <errorWord>，</errorWord>
      <group>L1_Format</group>
      <groupName>格式问题</groupName>
      <ability>L2_HalfPunc</ability>
      <abilityName>全半角检查</abilityName>
      <candidateList>
        <item>, </item>
      </candidateList>
      <explain>文本全半角错误。</explain>
      <paraID>15B8B73B</paraID>
      <start>6</start>
      <end>7</end>
      <status>unmodified</status>
      <modifiedWord/>
      <trackRevisions>false</trackRevisions>
    </reviewItem>
    <reviewItem>
      <errorID>d8959358-a631-477f-bc56-5356f52283e6</errorID>
      <errorWord>，</errorWord>
      <group>L1_Format</group>
      <groupName>格式问题</groupName>
      <ability>L2_HalfPunc</ability>
      <abilityName>全半角检查</abilityName>
      <candidateList>
        <item>, </item>
      </candidateList>
      <explain>文本全半角错误。</explain>
      <paraID>7743D0C2</paraID>
      <start>5</start>
      <end>6</end>
      <status>unmodified</status>
      <modifiedWord/>
      <trackRevisions>false</trackRevisions>
    </reviewItem>
    <reviewItem>
      <errorID>f457496c-0420-4a30-a0be-113fbdb79a23</errorID>
      <errorWord>，</errorWord>
      <group>L1_Format</group>
      <groupName>格式问题</groupName>
      <ability>L2_HalfPunc</ability>
      <abilityName>全半角检查</abilityName>
      <candidateList>
        <item>, </item>
      </candidateList>
      <explain>文本全半角错误。</explain>
      <paraID>57F55DCE</paraID>
      <start>5</start>
      <end>6</end>
      <status>unmodified</status>
      <modifiedWord/>
      <trackRevisions>false</trackRevisions>
    </reviewItem>
    <reviewItem>
      <errorID>bc785ade-5840-4d24-a36f-aed5012ba5e1</errorID>
      <errorWord>，</errorWord>
      <group>L1_Format</group>
      <groupName>格式问题</groupName>
      <ability>L2_HalfPunc</ability>
      <abilityName>全半角检查</abilityName>
      <candidateList>
        <item>, </item>
      </candidateList>
      <explain>文本全半角错误。</explain>
      <paraID>161E1312</paraID>
      <start>5</start>
      <end>6</end>
      <status>unmodified</status>
      <modifiedWord/>
      <trackRevisions>false</trackRevisions>
    </reviewItem>
    <reviewItem>
      <errorID>dfd37fe8-45aa-4d22-85f8-cf0bb2a50e6e</errorID>
      <errorWord>，</errorWord>
      <group>L1_Format</group>
      <groupName>格式问题</groupName>
      <ability>L2_HalfPunc</ability>
      <abilityName>全半角检查</abilityName>
      <candidateList>
        <item>, </item>
      </candidateList>
      <explain>文本全半角错误。</explain>
      <paraID>511D37BD</paraID>
      <start>5</start>
      <end>6</end>
      <status>unmodified</status>
      <modifiedWord/>
      <trackRevisions>false</trackRevisions>
    </reviewItem>
    <reviewItem>
      <errorID>9bf95259-6a9f-4574-8e4e-cfac8aa7667d</errorID>
      <errorWord>，</errorWord>
      <group>L1_Format</group>
      <groupName>格式问题</groupName>
      <ability>L2_HalfPunc</ability>
      <abilityName>全半角检查</abilityName>
      <candidateList>
        <item>, </item>
      </candidateList>
      <explain>文本全半角错误。</explain>
      <paraID>178C7FDD</paraID>
      <start>5</start>
      <end>6</end>
      <status>unmodified</status>
      <modifiedWord/>
      <trackRevisions>false</trackRevisions>
    </reviewItem>
    <reviewItem>
      <errorID>06ce2234-56e6-495f-adbb-39df718a2404</errorID>
      <errorWord>，</errorWord>
      <group>L1_Format</group>
      <groupName>格式问题</groupName>
      <ability>L2_HalfPunc</ability>
      <abilityName>全半角检查</abilityName>
      <candidateList>
        <item>, </item>
      </candidateList>
      <explain>文本全半角错误。</explain>
      <paraID>72B4C084</paraID>
      <start>5</start>
      <end>6</end>
      <status>unmodified</status>
      <modifiedWord/>
      <trackRevisions>false</trackRevisions>
    </reviewItem>
    <reviewItem>
      <errorID>9274b2ed-519e-4d69-bd2e-6915491eea75</errorID>
      <errorWord>，</errorWord>
      <group>L1_Format</group>
      <groupName>格式问题</groupName>
      <ability>L2_HalfPunc</ability>
      <abilityName>全半角检查</abilityName>
      <candidateList>
        <item>, </item>
      </candidateList>
      <explain>文本全半角错误。</explain>
      <paraID>7351452A</paraID>
      <start>5</start>
      <end>6</end>
      <status>unmodified</status>
      <modifiedWord/>
      <trackRevisions>false</trackRevisions>
    </reviewItem>
    <reviewItem>
      <errorID>ed022b8a-3406-4520-becf-428ec73d091c</errorID>
      <errorWord>，</errorWord>
      <group>L1_Format</group>
      <groupName>格式问题</groupName>
      <ability>L2_HalfPunc</ability>
      <abilityName>全半角检查</abilityName>
      <candidateList>
        <item>, </item>
      </candidateList>
      <explain>文本全半角错误。</explain>
      <paraID> 2D76076</paraID>
      <start>8</start>
      <end>9</end>
      <status>unmodified</status>
      <modifiedWord/>
      <trackRevisions>false</trackRevisions>
    </reviewItem>
    <reviewItem>
      <errorID>6164a990-a9b6-4488-8ea6-2634f34ad710</errorID>
      <errorWord>，</errorWord>
      <group>L1_Format</group>
      <groupName>格式问题</groupName>
      <ability>L2_HalfPunc</ability>
      <abilityName>全半角检查</abilityName>
      <candidateList>
        <item>,</item>
      </candidateList>
      <explain>文本全半角错误。</explain>
      <paraID> 2D76076</paraID>
      <start>14</start>
      <end>15</end>
      <status>unmodified</status>
      <modifiedWord/>
      <trackRevisions>false</trackRevisions>
    </reviewItem>
    <reviewItem>
      <errorID>fa819061-804f-4fcc-94e8-dfc4625deaef</errorID>
      <errorWord>，</errorWord>
      <group>L1_Format</group>
      <groupName>格式问题</groupName>
      <ability>L2_HalfPunc</ability>
      <abilityName>全半角检查</abilityName>
      <candidateList>
        <item>,</item>
      </candidateList>
      <explain>文本全半角错误。</explain>
      <paraID>6E41D492</paraID>
      <start>7</start>
      <end>8</end>
      <status>unmodified</status>
      <modifiedWord/>
      <trackRevisions>false</trackRevisions>
    </reviewItem>
    <reviewItem>
      <errorID>a67c6385-a323-4843-b934-693a67454b45</errorID>
      <errorWord>，</errorWord>
      <group>L1_Format</group>
      <groupName>格式问题</groupName>
      <ability>L2_HalfPunc</ability>
      <abilityName>全半角检查</abilityName>
      <candidateList>
        <item>,</item>
      </candidateList>
      <explain>文本全半角错误。</explain>
      <paraID>6E41D492</paraID>
      <start>11</start>
      <end>12</end>
      <status>unmodified</status>
      <modifiedWord/>
      <trackRevisions>false</trackRevisions>
    </reviewItem>
    <reviewItem>
      <errorID>7f41fb44-c014-4e7d-b0a4-5fc4fdc21104</errorID>
      <errorWord>kw</errorWord>
      <group>L1_Word</group>
      <groupName>字词问题</groupName>
      <ability>L2_Typo</ability>
      <abilityName>字词错误</abilityName>
      <candidateList>
        <item>kW</item>
      </candidateList>
      <explain/>
      <paraID>6E41D492</paraID>
      <start>14</start>
      <end>16</end>
      <status>unmodified</status>
      <modifiedWord/>
      <trackRevisions>false</trackRevisions>
    </reviewItem>
    <reviewItem>
      <errorID>41f4b812-c79e-4a6d-b815-5e07707c59dc</errorID>
      <errorWord>，</errorWord>
      <group>L1_Format</group>
      <groupName>格式问题</groupName>
      <ability>L2_HalfPunc</ability>
      <abilityName>全半角检查</abilityName>
      <candidateList>
        <item>, </item>
      </candidateList>
      <explain>文本全半角错误。</explain>
      <paraID>2CFA2C30</paraID>
      <start>7</start>
      <end>8</end>
      <status>unmodified</status>
      <modifiedWord/>
      <trackRevisions>false</trackRevisions>
    </reviewItem>
    <reviewItem>
      <errorID>8a3103ac-7875-44bd-8d67-e6f4567d7713</errorID>
      <errorWord>，</errorWord>
      <group>L1_Format</group>
      <groupName>格式问题</groupName>
      <ability>L2_HalfPunc</ability>
      <abilityName>全半角检查</abilityName>
      <candidateList>
        <item>, </item>
      </candidateList>
      <explain>文本全半角错误。</explain>
      <paraID>77CE7040</paraID>
      <start>7</start>
      <end>8</end>
      <status>unmodified</status>
      <modifiedWord/>
      <trackRevisions>false</trackRevisions>
    </reviewItem>
    <reviewItem>
      <errorID>e6a85f9d-83ff-4f52-8960-bb749eaf58e2</errorID>
      <errorWord>，</errorWord>
      <group>L1_Format</group>
      <groupName>格式问题</groupName>
      <ability>L2_HalfPunc</ability>
      <abilityName>全半角检查</abilityName>
      <candidateList>
        <item>, </item>
      </candidateList>
      <explain>文本全半角错误。</explain>
      <paraID>7818744E</paraID>
      <start>7</start>
      <end>8</end>
      <status>unmodified</status>
      <modifiedWord/>
      <trackRevisions>false</trackRevisions>
    </reviewItem>
    <reviewItem>
      <errorID>37b85054-5ef2-495a-af77-034a5ad405b5</errorID>
      <errorWord>，</errorWord>
      <group>L1_Format</group>
      <groupName>格式问题</groupName>
      <ability>L2_HalfPunc</ability>
      <abilityName>全半角检查</abilityName>
      <candidateList>
        <item>,</item>
      </candidateList>
      <explain>文本全半角错误。</explain>
      <paraID>541837ED</paraID>
      <start>5</start>
      <end>6</end>
      <status>unmodified</status>
      <modifiedWord/>
      <trackRevisions>false</trackRevisions>
    </reviewItem>
    <reviewItem>
      <errorID>64d461bd-a319-4133-81e6-abd3e3017951</errorID>
      <errorWord>，</errorWord>
      <group>L1_Format</group>
      <groupName>格式问题</groupName>
      <ability>L2_HalfPunc</ability>
      <abilityName>全半角检查</abilityName>
      <candidateList>
        <item>,</item>
      </candidateList>
      <explain>文本全半角错误。</explain>
      <paraID>541837ED</paraID>
      <start>9</start>
      <end>10</end>
      <status>unmodified</status>
      <modifiedWord/>
      <trackRevisions>false</trackRevisions>
    </reviewItem>
    <reviewItem>
      <errorID>5fc3f76c-55c8-4cb5-8299-4508b8eab57f</errorID>
      <errorWord>kw</errorWord>
      <group>L1_Word</group>
      <groupName>字词问题</groupName>
      <ability>L2_Typo</ability>
      <abilityName>字词错误</abilityName>
      <candidateList>
        <item>kW</item>
      </candidateList>
      <explain/>
      <paraID>541837ED</paraID>
      <start>14</start>
      <end>16</end>
      <status>unmodified</status>
      <modifiedWord/>
      <trackRevisions>false</trackRevisions>
    </reviewItem>
    <reviewItem>
      <errorID>c79e47a3-6790-4c74-9621-5e713b5bd8e1</errorID>
      <errorWord>，</errorWord>
      <group>L1_Format</group>
      <groupName>格式问题</groupName>
      <ability>L2_HalfPunc</ability>
      <abilityName>全半角检查</abilityName>
      <candidateList>
        <item>, </item>
      </candidateList>
      <explain>文本全半角错误。</explain>
      <paraID>1698EF03</paraID>
      <start>6</start>
      <end>7</end>
      <status>unmodified</status>
      <modifiedWord/>
      <trackRevisions>false</trackRevisions>
    </reviewItem>
    <reviewItem>
      <errorID>d0999832-d279-4b2c-a10e-5fe58aa23126</errorID>
      <errorWord>，</errorWord>
      <group>L1_Format</group>
      <groupName>格式问题</groupName>
      <ability>L2_HalfPunc</ability>
      <abilityName>全半角检查</abilityName>
      <candidateList>
        <item>,</item>
      </candidateList>
      <explain>文本全半角错误。</explain>
      <paraID>68614C14</paraID>
      <start>5</start>
      <end>6</end>
      <status>unmodified</status>
      <modifiedWord/>
      <trackRevisions>false</trackRevisions>
    </reviewItem>
    <reviewItem>
      <errorID>f9c773c9-c7b0-4759-b126-fa637d36116c</errorID>
      <errorWord>，</errorWord>
      <group>L1_Format</group>
      <groupName>格式问题</groupName>
      <ability>L2_HalfPunc</ability>
      <abilityName>全半角检查</abilityName>
      <candidateList>
        <item>, </item>
      </candidateList>
      <explain>文本全半角错误。</explain>
      <paraID>11CA10B1</paraID>
      <start>5</start>
      <end>6</end>
      <status>unmodified</status>
      <modifiedWord/>
      <trackRevisions>false</trackRevisions>
    </reviewItem>
    <reviewItem>
      <errorID>dddce09b-6f66-490a-b2f0-5bdf9b53d982</errorID>
      <errorWord>,</errorWord>
      <group>L1_Format</group>
      <groupName>格式问题</groupName>
      <ability>L2_HalfPunc</ability>
      <abilityName>全半角检查</abilityName>
      <candidateList>
        <item>，</item>
      </candidateList>
      <explain>文本全半角错误。</explain>
      <paraID> 24A92B9</paraID>
      <start>19</start>
      <end>20</end>
      <status>unmodified</status>
      <modifiedWord/>
      <trackRevisions>false</trackRevisions>
    </reviewItem>
    <reviewItem>
      <errorID>ec78c3db-db53-4ee9-ad61-4a9b3133bf0b</errorID>
      <errorWord>(</errorWord>
      <group>L1_Format</group>
      <groupName>格式问题</groupName>
      <ability>L2_HalfPunc</ability>
      <abilityName>全半角检查</abilityName>
      <candidateList>
        <item>（</item>
      </candidateList>
      <explain>文本全半角错误。</explain>
      <paraID>443A0A89</paraID>
      <start>5</start>
      <end>6</end>
      <status>unmodified</status>
      <modifiedWord/>
      <trackRevisions>false</trackRevisions>
    </reviewItem>
    <reviewItem>
      <errorID>bac6301a-31d5-4102-ac8c-fece30d5129a</errorID>
      <errorWord>)</errorWord>
      <group>L1_Format</group>
      <groupName>格式问题</groupName>
      <ability>L2_HalfPunc</ability>
      <abilityName>全半角检查</abilityName>
      <candidateList>
        <item>）</item>
      </candidateList>
      <explain>文本全半角错误。</explain>
      <paraID>443A0A89</paraID>
      <start>9</start>
      <end>10</end>
      <status>unmodified</status>
      <modifiedWord/>
      <trackRevisions>false</trackRevisions>
    </reviewItem>
    <reviewItem>
      <errorID>59248989-4632-4cbd-93bc-13475b4f064b</errorID>
      <errorWord>,</errorWord>
      <group>L1_Format</group>
      <groupName>格式问题</groupName>
      <ability>L2_HalfPunc</ability>
      <abilityName>全半角检查</abilityName>
      <candidateList>
        <item>，</item>
      </candidateList>
      <explain>文本全半角错误。</explain>
      <paraID>75B66A1E</paraID>
      <start>15</start>
      <end>16</end>
      <status>unmodified</status>
      <modifiedWord/>
      <trackRevisions>false</trackRevisions>
    </reviewItem>
    <reviewItem>
      <errorID>c215e184-cad2-4ee7-bc95-6a56cf9b936d</errorID>
      <errorWord>,</errorWord>
      <group>L1_Format</group>
      <groupName>格式问题</groupName>
      <ability>L2_HalfPunc</ability>
      <abilityName>全半角检查</abilityName>
      <candidateList>
        <item>，</item>
      </candidateList>
      <explain>文本全半角错误。</explain>
      <paraID>193FB85A</paraID>
      <start>15</start>
      <end>16</end>
      <status>unmodified</status>
      <modifiedWord/>
      <trackRevisions>false</trackRevisions>
    </reviewItem>
    <reviewItem>
      <errorID>0f874fd3-08f6-4770-b303-594db20ea9ee</errorID>
      <errorWord>，</errorWord>
      <group>L1_Format</group>
      <groupName>格式问题</groupName>
      <ability>L2_HalfPunc</ability>
      <abilityName>全半角检查</abilityName>
      <candidateList>
        <item>,</item>
      </candidateList>
      <explain>文本全半角错误。</explain>
      <paraID>4EF358E7</paraID>
      <start>9</start>
      <end>10</end>
      <status>unmodified</status>
      <modifiedWord/>
      <trackRevisions>false</trackRevisions>
    </reviewItem>
    <reviewItem>
      <errorID>7ea20f03-d97e-4458-a553-651e44ed9bc9</errorID>
      <errorWord>，</errorWord>
      <group>L1_Format</group>
      <groupName>格式问题</groupName>
      <ability>L2_HalfPunc</ability>
      <abilityName>全半角检查</abilityName>
      <candidateList>
        <item>, </item>
      </candidateList>
      <explain>文本全半角错误。</explain>
      <paraID>46949B7D</paraID>
      <start>10</start>
      <end>11</end>
      <status>unmodified</status>
      <modifiedWord/>
      <trackRevisions>false</trackRevisions>
    </reviewItem>
    <reviewItem>
      <errorID>deea30a9-0563-4864-844f-bd5c8040f5c1</errorID>
      <errorWord>，</errorWord>
      <group>L1_Format</group>
      <groupName>格式问题</groupName>
      <ability>L2_HalfPunc</ability>
      <abilityName>全半角检查</abilityName>
      <candidateList>
        <item>, </item>
      </candidateList>
      <explain>文本全半角错误。</explain>
      <paraID>6594B9AD</paraID>
      <start>11</start>
      <end>12</end>
      <status>unmodified</status>
      <modifiedWord/>
      <trackRevisions>false</trackRevisions>
    </reviewItem>
    <reviewItem>
      <errorID>ee2c205f-3005-42d6-a195-fd77d87f1e8e</errorID>
      <errorWord>，</errorWord>
      <group>L1_Format</group>
      <groupName>格式问题</groupName>
      <ability>L2_HalfPunc</ability>
      <abilityName>全半角检查</abilityName>
      <candidateList>
        <item>, </item>
      </candidateList>
      <explain>文本全半角错误。</explain>
      <paraID>44A98199</paraID>
      <start>11</start>
      <end>12</end>
      <status>unmodified</status>
      <modifiedWord/>
      <trackRevisions>false</trackRevisions>
    </reviewItem>
    <reviewItem>
      <errorID>02b5320d-f9f2-4f55-bfdb-981fb882ce05</errorID>
      <errorWord>，</errorWord>
      <group>L1_Format</group>
      <groupName>格式问题</groupName>
      <ability>L2_HalfPunc</ability>
      <abilityName>全半角检查</abilityName>
      <candidateList>
        <item>, </item>
      </candidateList>
      <explain>文本全半角错误。</explain>
      <paraID>17D444A0</paraID>
      <start>5</start>
      <end>6</end>
      <status>unmodified</status>
      <modifiedWord/>
      <trackRevisions>false</trackRevisions>
    </reviewItem>
    <reviewItem>
      <errorID>bdca1818-8d64-4bd5-a363-c5dafd2f9929</errorID>
      <errorWord>，</errorWord>
      <group>L1_Format</group>
      <groupName>格式问题</groupName>
      <ability>L2_HalfPunc</ability>
      <abilityName>全半角检查</abilityName>
      <candidateList>
        <item>,</item>
      </candidateList>
      <explain>文本全半角错误。</explain>
      <paraID>39045E80</paraID>
      <start>9</start>
      <end>10</end>
      <status>unmodified</status>
      <modifiedWord/>
      <trackRevisions>false</trackRevisions>
    </reviewItem>
    <reviewItem>
      <errorID>17b0dd5e-aece-4092-b65c-3bcb5e6271a3</errorID>
      <errorWord>，</errorWord>
      <group>L1_Format</group>
      <groupName>格式问题</groupName>
      <ability>L2_HalfPunc</ability>
      <abilityName>全半角检查</abilityName>
      <candidateList>
        <item>,</item>
      </candidateList>
      <explain>文本全半角错误。</explain>
      <paraID>6595677E</paraID>
      <start>9</start>
      <end>10</end>
      <status>unmodified</status>
      <modifiedWord/>
      <trackRevisions>false</trackRevisions>
    </reviewItem>
    <reviewItem>
      <errorID>1d03b87e-b779-4e98-b723-978a8709df61</errorID>
      <errorWord>，</errorWord>
      <group>L1_Format</group>
      <groupName>格式问题</groupName>
      <ability>L2_HalfPunc</ability>
      <abilityName>全半角检查</abilityName>
      <candidateList>
        <item>, </item>
      </candidateList>
      <explain>文本全半角错误。</explain>
      <paraID>67714B95</paraID>
      <start>5</start>
      <end>6</end>
      <status>unmodified</status>
      <modifiedWord/>
      <trackRevisions>false</trackRevisions>
    </reviewItem>
    <reviewItem>
      <errorID>db61881d-e4e6-4af2-8b11-89d6c0371b8e</errorID>
      <errorWord>，</errorWord>
      <group>L1_Format</group>
      <groupName>格式问题</groupName>
      <ability>L2_HalfPunc</ability>
      <abilityName>全半角检查</abilityName>
      <candidateList>
        <item>, </item>
      </candidateList>
      <explain>文本全半角错误。</explain>
      <paraID> 187C3E3</paraID>
      <start>5</start>
      <end>6</end>
      <status>unmodified</status>
      <modifiedWord/>
      <trackRevisions>false</trackRevisions>
    </reviewItem>
    <reviewItem>
      <errorID>343a46a2-956b-490a-953b-b3690aa6a38f</errorID>
      <errorWord>，</errorWord>
      <group>L1_Format</group>
      <groupName>格式问题</groupName>
      <ability>L2_HalfPunc</ability>
      <abilityName>全半角检查</abilityName>
      <candidateList>
        <item>, </item>
      </candidateList>
      <explain>文本全半角错误。</explain>
      <paraID>2077AE66</paraID>
      <start>5</start>
      <end>6</end>
      <status>unmodified</status>
      <modifiedWord/>
      <trackRevisions>false</trackRevisions>
    </reviewItem>
    <reviewItem>
      <errorID>f9d87170-f6f3-478c-a5f3-d403d29d3f11</errorID>
      <errorWord>，</errorWord>
      <group>L1_Format</group>
      <groupName>格式问题</groupName>
      <ability>L2_HalfPunc</ability>
      <abilityName>全半角检查</abilityName>
      <candidateList>
        <item>, </item>
      </candidateList>
      <explain>文本全半角错误。</explain>
      <paraID>69FA9CBC</paraID>
      <start>5</start>
      <end>6</end>
      <status>unmodified</status>
      <modifiedWord/>
      <trackRevisions>false</trackRevisions>
    </reviewItem>
    <reviewItem>
      <errorID>aafc70ea-e9de-4ba6-b857-4807fed16dd3</errorID>
      <errorWord>，</errorWord>
      <group>L1_Format</group>
      <groupName>格式问题</groupName>
      <ability>L2_HalfPunc</ability>
      <abilityName>全半角检查</abilityName>
      <candidateList>
        <item>, </item>
      </candidateList>
      <explain>文本全半角错误。</explain>
      <paraID>1FD71D34</paraID>
      <start>5</start>
      <end>6</end>
      <status>unmodified</status>
      <modifiedWord/>
      <trackRevisions>false</trackRevisions>
    </reviewItem>
    <reviewItem>
      <errorID>a97e5148-6cce-4590-997a-f395347ec6dd</errorID>
      <errorWord>，</errorWord>
      <group>L1_Format</group>
      <groupName>格式问题</groupName>
      <ability>L2_HalfPunc</ability>
      <abilityName>全半角检查</abilityName>
      <candidateList>
        <item>, </item>
      </candidateList>
      <explain>文本全半角错误。</explain>
      <paraID> FE0CA3C</paraID>
      <start>5</start>
      <end>6</end>
      <status>unmodified</status>
      <modifiedWord/>
      <trackRevisions>false</trackRevisions>
    </reviewItem>
    <reviewItem>
      <errorID>10d0ad01-fa0f-4dc7-8197-106bef7774d8</errorID>
      <errorWord>，</errorWord>
      <group>L1_Format</group>
      <groupName>格式问题</groupName>
      <ability>L2_HalfPunc</ability>
      <abilityName>全半角检查</abilityName>
      <candidateList>
        <item>, </item>
      </candidateList>
      <explain>文本全半角错误。</explain>
      <paraID>2340D22E</paraID>
      <start>5</start>
      <end>6</end>
      <status>unmodified</status>
      <modifiedWord/>
      <trackRevisions>false</trackRevisions>
    </reviewItem>
    <reviewItem>
      <errorID>4782216d-2c77-4580-81f0-ea35b1de2e84</errorID>
      <errorWord>，</errorWord>
      <group>L1_Format</group>
      <groupName>格式问题</groupName>
      <ability>L2_HalfPunc</ability>
      <abilityName>全半角检查</abilityName>
      <candidateList>
        <item>, </item>
      </candidateList>
      <explain>文本全半角错误。</explain>
      <paraID>416184EF</paraID>
      <start>5</start>
      <end>6</end>
      <status>unmodified</status>
      <modifiedWord/>
      <trackRevisions>false</trackRevisions>
    </reviewItem>
    <reviewItem>
      <errorID>6ce76540-bf96-4c0e-9c77-699af2a7391b</errorID>
      <errorWord>，</errorWord>
      <group>L1_Format</group>
      <groupName>格式问题</groupName>
      <ability>L2_HalfPunc</ability>
      <abilityName>全半角检查</abilityName>
      <candidateList>
        <item>, </item>
      </candidateList>
      <explain>文本全半角错误。</explain>
      <paraID>38B2A9E0</paraID>
      <start>5</start>
      <end>6</end>
      <status>unmodified</status>
      <modifiedWord/>
      <trackRevisions>false</trackRevisions>
    </reviewItem>
    <reviewItem>
      <errorID>790aca82-8521-471f-9cb3-6dda27c437ba</errorID>
      <errorWord>，</errorWord>
      <group>L1_Format</group>
      <groupName>格式问题</groupName>
      <ability>L2_HalfPunc</ability>
      <abilityName>全半角检查</abilityName>
      <candidateList>
        <item>, </item>
      </candidateList>
      <explain>文本全半角错误。</explain>
      <paraID>655512D7</paraID>
      <start>4</start>
      <end>5</end>
      <status>unmodified</status>
      <modifiedWord/>
      <trackRevisions>false</trackRevisions>
    </reviewItem>
    <reviewItem>
      <errorID>b43d188b-ebf9-4828-af2f-2fbc8efb5c85</errorID>
      <errorWord>,</errorWord>
      <group>L1_Format</group>
      <groupName>格式问题</groupName>
      <ability>L2_HalfPunc</ability>
      <abilityName>全半角检查</abilityName>
      <candidateList>
        <item>，</item>
      </candidateList>
      <explain>文本全半角错误。</explain>
      <paraID> 78EE455</paraID>
      <start>9</start>
      <end>10</end>
      <status>unmodified</status>
      <modifiedWord/>
      <trackRevisions>false</trackRevisions>
    </reviewItem>
    <reviewItem>
      <errorID>0343f703-3a1c-4811-9a68-ab04d971eece</errorID>
      <errorWord>,</errorWord>
      <group>L1_Format</group>
      <groupName>格式问题</groupName>
      <ability>L2_HalfPunc</ability>
      <abilityName>全半角检查</abilityName>
      <candidateList>
        <item>，</item>
      </candidateList>
      <explain>文本全半角错误。</explain>
      <paraID>1A6AC2B6</paraID>
      <start>10</start>
      <end>11</end>
      <status>unmodified</status>
      <modifiedWord/>
      <trackRevisions>false</trackRevisions>
    </reviewItem>
    <reviewItem>
      <errorID>b67a1f7d-bb5d-45fe-a3e0-7974c005b456</errorID>
      <errorWord>，</errorWord>
      <group>L1_Format</group>
      <groupName>格式问题</groupName>
      <ability>L2_HalfPunc</ability>
      <abilityName>全半角检查</abilityName>
      <candidateList>
        <item>, </item>
      </candidateList>
      <explain>文本全半角错误。</explain>
      <paraID>642DA0BE</paraID>
      <start>4</start>
      <end>5</end>
      <status>unmodified</status>
      <modifiedWord/>
      <trackRevisions>false</trackRevisions>
    </reviewItem>
    <reviewItem>
      <errorID>29c3d46e-47d4-429f-aa6b-f90c75f7033d</errorID>
      <errorWord>，</errorWord>
      <group>L1_Format</group>
      <groupName>格式问题</groupName>
      <ability>L2_HalfPunc</ability>
      <abilityName>全半角检查</abilityName>
      <candidateList>
        <item>, </item>
      </candidateList>
      <explain>文本全半角错误。</explain>
      <paraID>5BC7E3C2</paraID>
      <start>4</start>
      <end>5</end>
      <status>unmodified</status>
      <modifiedWord/>
      <trackRevisions>false</trackRevisions>
    </reviewItem>
    <reviewItem>
      <errorID>9c249b0d-c6be-4e2e-89c3-37238789467a</errorID>
      <errorWord>，</errorWord>
      <group>L1_Format</group>
      <groupName>格式问题</groupName>
      <ability>L2_HalfPunc</ability>
      <abilityName>全半角检查</abilityName>
      <candidateList>
        <item>, </item>
      </candidateList>
      <explain>文本全半角错误。</explain>
      <paraID>521CCF0F</paraID>
      <start>4</start>
      <end>5</end>
      <status>unmodified</status>
      <modifiedWord/>
      <trackRevisions>false</trackRevisions>
    </reviewItem>
    <reviewItem>
      <errorID>c9faec18-0379-4292-9ddb-fcad4215b56a</errorID>
      <errorWord>，</errorWord>
      <group>L1_Format</group>
      <groupName>格式问题</groupName>
      <ability>L2_HalfPunc</ability>
      <abilityName>全半角检查</abilityName>
      <candidateList>
        <item>, </item>
      </candidateList>
      <explain>文本全半角错误。</explain>
      <paraID>49933529</paraID>
      <start>4</start>
      <end>5</end>
      <status>unmodified</status>
      <modifiedWord/>
      <trackRevisions>false</trackRevisions>
    </reviewItem>
    <reviewItem>
      <errorID>183a20ae-08ce-4ff4-9123-7993dcfdfcf6</errorID>
      <errorWord>，</errorWord>
      <group>L1_Format</group>
      <groupName>格式问题</groupName>
      <ability>L2_HalfPunc</ability>
      <abilityName>全半角检查</abilityName>
      <candidateList>
        <item>, </item>
      </candidateList>
      <explain>文本全半角错误。</explain>
      <paraID>5B2DA676</paraID>
      <start>6</start>
      <end>7</end>
      <status>unmodified</status>
      <modifiedWord/>
      <trackRevisions>false</trackRevisions>
    </reviewItem>
    <reviewItem>
      <errorID>825774c8-7090-45be-8005-06b2e0dd5f7a</errorID>
      <errorWord>，</errorWord>
      <group>L1_Format</group>
      <groupName>格式问题</groupName>
      <ability>L2_HalfPunc</ability>
      <abilityName>全半角检查</abilityName>
      <candidateList>
        <item>, </item>
      </candidateList>
      <explain>文本全半角错误。</explain>
      <paraID>6BD61E35</paraID>
      <start>6</start>
      <end>7</end>
      <status>unmodified</status>
      <modifiedWord/>
      <trackRevisions>false</trackRevisions>
    </reviewItem>
    <reviewItem>
      <errorID>73552269-fe0f-4bf9-8792-b1bfdc16cd00</errorID>
      <errorWord>，</errorWord>
      <group>L1_Format</group>
      <groupName>格式问题</groupName>
      <ability>L2_HalfPunc</ability>
      <abilityName>全半角检查</abilityName>
      <candidateList>
        <item>, </item>
      </candidateList>
      <explain>文本全半角错误。</explain>
      <paraID>48EB08B5</paraID>
      <start>6</start>
      <end>7</end>
      <status>unmodified</status>
      <modifiedWord/>
      <trackRevisions>false</trackRevisions>
    </reviewItem>
    <reviewItem>
      <errorID>65cf824c-620c-42a5-9316-42ffa56d8ad3</errorID>
      <errorWord>，</errorWord>
      <group>L1_Format</group>
      <groupName>格式问题</groupName>
      <ability>L2_HalfPunc</ability>
      <abilityName>全半角检查</abilityName>
      <candidateList>
        <item>, </item>
      </candidateList>
      <explain>文本全半角错误。</explain>
      <paraID> 115874D</paraID>
      <start>6</start>
      <end>7</end>
      <status>unmodified</status>
      <modifiedWord/>
      <trackRevisions>false</trackRevisions>
    </reviewItem>
    <reviewItem>
      <errorID>8f2dd5c9-6740-4530-a4d9-56e2832add17</errorID>
      <errorWord>，</errorWord>
      <group>L1_Format</group>
      <groupName>格式问题</groupName>
      <ability>L2_HalfPunc</ability>
      <abilityName>全半角检查</abilityName>
      <candidateList>
        <item>, </item>
      </candidateList>
      <explain>文本全半角错误。</explain>
      <paraID>52E29D9C</paraID>
      <start>5</start>
      <end>6</end>
      <status>unmodified</status>
      <modifiedWord/>
      <trackRevisions>false</trackRevisions>
    </reviewItem>
    <reviewItem>
      <errorID>4d7c74e6-f6d0-48d7-9d4b-9bc191037500</errorID>
      <errorWord>，</errorWord>
      <group>L1_Format</group>
      <groupName>格式问题</groupName>
      <ability>L2_HalfPunc</ability>
      <abilityName>全半角检查</abilityName>
      <candidateList>
        <item>, </item>
      </candidateList>
      <explain>文本全半角错误。</explain>
      <paraID>205F8AA7</paraID>
      <start>5</start>
      <end>6</end>
      <status>unmodified</status>
      <modifiedWord/>
      <trackRevisions>false</trackRevisions>
    </reviewItem>
    <reviewItem>
      <errorID>20ac8ec1-2f9f-4ace-a46a-c8b6f7c96753</errorID>
      <errorWord>，</errorWord>
      <group>L1_Format</group>
      <groupName>格式问题</groupName>
      <ability>L2_HalfPunc</ability>
      <abilityName>全半角检查</abilityName>
      <candidateList>
        <item>, </item>
      </candidateList>
      <explain>文本全半角错误。</explain>
      <paraID>12D86843</paraID>
      <start>5</start>
      <end>6</end>
      <status>unmodified</status>
      <modifiedWord/>
      <trackRevisions>false</trackRevisions>
    </reviewItem>
    <reviewItem>
      <errorID>4c98a192-b4b7-4e6c-aaca-6b19c59e4167</errorID>
      <errorWord>，</errorWord>
      <group>L1_Format</group>
      <groupName>格式问题</groupName>
      <ability>L2_HalfPunc</ability>
      <abilityName>全半角检查</abilityName>
      <candidateList>
        <item>, </item>
      </candidateList>
      <explain>文本全半角错误。</explain>
      <paraID>6600C65C</paraID>
      <start>5</start>
      <end>6</end>
      <status>unmodified</status>
      <modifiedWord/>
      <trackRevisions>false</trackRevisions>
    </reviewItem>
    <reviewItem>
      <errorID>bd147a34-0564-4a53-98aa-4e1a80963c78</errorID>
      <errorWord>，</errorWord>
      <group>L1_Format</group>
      <groupName>格式问题</groupName>
      <ability>L2_HalfPunc</ability>
      <abilityName>全半角检查</abilityName>
      <candidateList>
        <item>, </item>
      </candidateList>
      <explain>文本全半角错误。</explain>
      <paraID>35EC6AB5</paraID>
      <start>5</start>
      <end>6</end>
      <status>unmodified</status>
      <modifiedWord/>
      <trackRevisions>false</trackRevisions>
    </reviewItem>
    <reviewItem>
      <errorID>90206e47-670b-4bc8-b542-8639d73980af</errorID>
      <errorWord>，</errorWord>
      <group>L1_Format</group>
      <groupName>格式问题</groupName>
      <ability>L2_HalfPunc</ability>
      <abilityName>全半角检查</abilityName>
      <candidateList>
        <item>, </item>
      </candidateList>
      <explain>文本全半角错误。</explain>
      <paraID>2DCDB425</paraID>
      <start>5</start>
      <end>6</end>
      <status>unmodified</status>
      <modifiedWord/>
      <trackRevisions>false</trackRevisions>
    </reviewItem>
    <reviewItem>
      <errorID>fab1c0d0-96ef-44a7-8e16-bc5b73fcf08c</errorID>
      <errorWord>，</errorWord>
      <group>L1_Format</group>
      <groupName>格式问题</groupName>
      <ability>L2_HalfPunc</ability>
      <abilityName>全半角检查</abilityName>
      <candidateList>
        <item>, </item>
      </candidateList>
      <explain>文本全半角错误。</explain>
      <paraID>361D5A7B</paraID>
      <start>5</start>
      <end>6</end>
      <status>unmodified</status>
      <modifiedWord/>
      <trackRevisions>false</trackRevisions>
    </reviewItem>
    <reviewItem>
      <errorID>941caa75-d35e-4f90-991f-196e1106ec7d</errorID>
      <errorWord>，</errorWord>
      <group>L1_Format</group>
      <groupName>格式问题</groupName>
      <ability>L2_HalfPunc</ability>
      <abilityName>全半角检查</abilityName>
      <candidateList>
        <item>, </item>
      </candidateList>
      <explain>文本全半角错误。</explain>
      <paraID>31F5B0FD</paraID>
      <start>5</start>
      <end>6</end>
      <status>unmodified</status>
      <modifiedWord/>
      <trackRevisions>false</trackRevisions>
    </reviewItem>
    <reviewItem>
      <errorID>c32ecd24-3787-4429-87ec-ec85a56ddfee</errorID>
      <errorWord>，</errorWord>
      <group>L1_Format</group>
      <groupName>格式问题</groupName>
      <ability>L2_HalfPunc</ability>
      <abilityName>全半角检查</abilityName>
      <candidateList>
        <item>, </item>
      </candidateList>
      <explain>文本全半角错误。</explain>
      <paraID>5DF5FC01</paraID>
      <start>2</start>
      <end>3</end>
      <status>unmodified</status>
      <modifiedWord/>
      <trackRevisions>false</trackRevisions>
    </reviewItem>
    <reviewItem>
      <errorID>e55d98e7-93d1-4140-bdb8-8c50c413adcd</errorID>
      <errorWord>，</errorWord>
      <group>L1_Format</group>
      <groupName>格式问题</groupName>
      <ability>L2_HalfPunc</ability>
      <abilityName>全半角检查</abilityName>
      <candidateList>
        <item>, </item>
      </candidateList>
      <explain>文本全半角错误。</explain>
      <paraID>5DF5FC01</paraID>
      <start>5</start>
      <end>6</end>
      <status>unmodified</status>
      <modifiedWord/>
      <trackRevisions>false</trackRevisions>
    </reviewItem>
    <reviewItem>
      <errorID>f058b63a-bae1-4203-ab0e-d0e4c550226d</errorID>
      <errorWord>，</errorWord>
      <group>L1_Format</group>
      <groupName>格式问题</groupName>
      <ability>L2_HalfPunc</ability>
      <abilityName>全半角检查</abilityName>
      <candidateList>
        <item>, </item>
      </candidateList>
      <explain>文本全半角错误。</explain>
      <paraID>5DF5FC01</paraID>
      <start>12</start>
      <end>13</end>
      <status>unmodified</status>
      <modifiedWord/>
      <trackRevisions>false</trackRevisions>
    </reviewItem>
    <reviewItem>
      <errorID>6150433c-b982-4a58-beb0-35ebb8bca53a</errorID>
      <errorWord>，</errorWord>
      <group>L1_Format</group>
      <groupName>格式问题</groupName>
      <ability>L2_HalfPunc</ability>
      <abilityName>全半角检查</abilityName>
      <candidateList>
        <item>, </item>
      </candidateList>
      <explain>文本全半角错误。</explain>
      <paraID> ECF725C</paraID>
      <start>2</start>
      <end>3</end>
      <status>unmodified</status>
      <modifiedWord/>
      <trackRevisions>false</trackRevisions>
    </reviewItem>
    <reviewItem>
      <errorID>606a3ea0-e38c-4b55-8bfb-0f97d09f1ff6</errorID>
      <errorWord>，</errorWord>
      <group>L1_Format</group>
      <groupName>格式问题</groupName>
      <ability>L2_HalfPunc</ability>
      <abilityName>全半角检查</abilityName>
      <candidateList>
        <item>, </item>
      </candidateList>
      <explain>文本全半角错误。</explain>
      <paraID> ECF725C</paraID>
      <start>5</start>
      <end>6</end>
      <status>unmodified</status>
      <modifiedWord/>
      <trackRevisions>false</trackRevisions>
    </reviewItem>
    <reviewItem>
      <errorID>1faa4b3d-c32d-43de-823a-e67c457d3f29</errorID>
      <errorWord>，</errorWord>
      <group>L1_Format</group>
      <groupName>格式问题</groupName>
      <ability>L2_HalfPunc</ability>
      <abilityName>全半角检查</abilityName>
      <candidateList>
        <item>, </item>
      </candidateList>
      <explain>文本全半角错误。</explain>
      <paraID> ECF725C</paraID>
      <start>11</start>
      <end>12</end>
      <status>unmodified</status>
      <modifiedWord/>
      <trackRevisions>false</trackRevisions>
    </reviewItem>
    <reviewItem>
      <errorID>ca10e867-9999-4622-93c6-c64249991abe</errorID>
      <errorWord>，</errorWord>
      <group>L1_Format</group>
      <groupName>格式问题</groupName>
      <ability>L2_HalfPunc</ability>
      <abilityName>全半角检查</abilityName>
      <candidateList>
        <item>, </item>
      </candidateList>
      <explain>文本全半角错误。</explain>
      <paraID>5F4F83D1</paraID>
      <start>2</start>
      <end>3</end>
      <status>unmodified</status>
      <modifiedWord/>
      <trackRevisions>false</trackRevisions>
    </reviewItem>
    <reviewItem>
      <errorID>a3146dc1-0647-4101-81cf-659f91ae5893</errorID>
      <errorWord>，</errorWord>
      <group>L1_Format</group>
      <groupName>格式问题</groupName>
      <ability>L2_HalfPunc</ability>
      <abilityName>全半角检查</abilityName>
      <candidateList>
        <item>, </item>
      </candidateList>
      <explain>文本全半角错误。</explain>
      <paraID>5F4F83D1</paraID>
      <start>5</start>
      <end>6</end>
      <status>unmodified</status>
      <modifiedWord/>
      <trackRevisions>false</trackRevisions>
    </reviewItem>
    <reviewItem>
      <errorID>60dd886f-d13d-42a1-91e0-4ec286f988e0</errorID>
      <errorWord>，</errorWord>
      <group>L1_Format</group>
      <groupName>格式问题</groupName>
      <ability>L2_HalfPunc</ability>
      <abilityName>全半角检查</abilityName>
      <candidateList>
        <item>, </item>
      </candidateList>
      <explain>文本全半角错误。</explain>
      <paraID>5F4F83D1</paraID>
      <start>11</start>
      <end>12</end>
      <status>unmodified</status>
      <modifiedWord/>
      <trackRevisions>false</trackRevisions>
    </reviewItem>
    <reviewItem>
      <errorID>3f1bd997-868c-49e5-a27b-46a549bba43e</errorID>
      <errorWord>，</errorWord>
      <group>L1_Format</group>
      <groupName>格式问题</groupName>
      <ability>L2_HalfPunc</ability>
      <abilityName>全半角检查</abilityName>
      <candidateList>
        <item>, </item>
      </candidateList>
      <explain>文本全半角错误。</explain>
      <paraID>6AD00CF0</paraID>
      <start>2</start>
      <end>3</end>
      <status>unmodified</status>
      <modifiedWord/>
      <trackRevisions>false</trackRevisions>
    </reviewItem>
    <reviewItem>
      <errorID>bb041c80-a46b-4ed7-a387-8b99c04fe861</errorID>
      <errorWord>，</errorWord>
      <group>L1_Format</group>
      <groupName>格式问题</groupName>
      <ability>L2_HalfPunc</ability>
      <abilityName>全半角检查</abilityName>
      <candidateList>
        <item>, </item>
      </candidateList>
      <explain>文本全半角错误。</explain>
      <paraID>6AD00CF0</paraID>
      <start>5</start>
      <end>6</end>
      <status>unmodified</status>
      <modifiedWord/>
      <trackRevisions>false</trackRevisions>
    </reviewItem>
    <reviewItem>
      <errorID>628c0bf4-09cd-4ba6-8b5b-18e599ff3d21</errorID>
      <errorWord>，</errorWord>
      <group>L1_Format</group>
      <groupName>格式问题</groupName>
      <ability>L2_HalfPunc</ability>
      <abilityName>全半角检查</abilityName>
      <candidateList>
        <item>, </item>
      </candidateList>
      <explain>文本全半角错误。</explain>
      <paraID>6AD00CF0</paraID>
      <start>11</start>
      <end>12</end>
      <status>unmodified</status>
      <modifiedWord/>
      <trackRevisions>false</trackRevisions>
    </reviewItem>
    <reviewItem>
      <errorID>fb693e89-2d6c-44a7-b379-ef05a9e5625e</errorID>
      <errorWord>，</errorWord>
      <group>L1_Format</group>
      <groupName>格式问题</groupName>
      <ability>L2_HalfPunc</ability>
      <abilityName>全半角检查</abilityName>
      <candidateList>
        <item>, </item>
      </candidateList>
      <explain>文本全半角错误。</explain>
      <paraID>47CAA12D</paraID>
      <start>2</start>
      <end>3</end>
      <status>unmodified</status>
      <modifiedWord/>
      <trackRevisions>false</trackRevisions>
    </reviewItem>
    <reviewItem>
      <errorID>274b28e2-5eb6-45e9-9b5b-e420cd823a80</errorID>
      <errorWord>，</errorWord>
      <group>L1_Format</group>
      <groupName>格式问题</groupName>
      <ability>L2_HalfPunc</ability>
      <abilityName>全半角检查</abilityName>
      <candidateList>
        <item>, </item>
      </candidateList>
      <explain>文本全半角错误。</explain>
      <paraID>47CAA12D</paraID>
      <start>5</start>
      <end>6</end>
      <status>unmodified</status>
      <modifiedWord/>
      <trackRevisions>false</trackRevisions>
    </reviewItem>
    <reviewItem>
      <errorID>ebbcb0a2-4cf6-497a-bd11-3767a1cab01b</errorID>
      <errorWord>，</errorWord>
      <group>L1_Format</group>
      <groupName>格式问题</groupName>
      <ability>L2_HalfPunc</ability>
      <abilityName>全半角检查</abilityName>
      <candidateList>
        <item>, </item>
      </candidateList>
      <explain>文本全半角错误。</explain>
      <paraID>47CAA12D</paraID>
      <start>11</start>
      <end>12</end>
      <status>unmodified</status>
      <modifiedWord/>
      <trackRevisions>false</trackRevisions>
    </reviewItem>
    <reviewItem>
      <errorID>a36db67b-819a-4507-8063-a045f869dec5</errorID>
      <errorWord>，</errorWord>
      <group>L1_Format</group>
      <groupName>格式问题</groupName>
      <ability>L2_HalfPunc</ability>
      <abilityName>全半角检查</abilityName>
      <candidateList>
        <item>, </item>
      </candidateList>
      <explain>文本全半角错误。</explain>
      <paraID>5992DE78</paraID>
      <start>2</start>
      <end>3</end>
      <status>unmodified</status>
      <modifiedWord/>
      <trackRevisions>false</trackRevisions>
    </reviewItem>
    <reviewItem>
      <errorID>a8353f09-bf7e-4cae-8205-03cd1fa2162e</errorID>
      <errorWord>，</errorWord>
      <group>L1_Format</group>
      <groupName>格式问题</groupName>
      <ability>L2_HalfPunc</ability>
      <abilityName>全半角检查</abilityName>
      <candidateList>
        <item>, </item>
      </candidateList>
      <explain>文本全半角错误。</explain>
      <paraID>5992DE78</paraID>
      <start>5</start>
      <end>6</end>
      <status>unmodified</status>
      <modifiedWord/>
      <trackRevisions>false</trackRevisions>
    </reviewItem>
    <reviewItem>
      <errorID>bcb3126f-1ab4-43f6-bc41-9ae9ad64402d</errorID>
      <errorWord>，</errorWord>
      <group>L1_Format</group>
      <groupName>格式问题</groupName>
      <ability>L2_HalfPunc</ability>
      <abilityName>全半角检查</abilityName>
      <candidateList>
        <item>, </item>
      </candidateList>
      <explain>文本全半角错误。</explain>
      <paraID>5992DE78</paraID>
      <start>10</start>
      <end>11</end>
      <status>unmodified</status>
      <modifiedWord/>
      <trackRevisions>false</trackRevisions>
    </reviewItem>
    <reviewItem>
      <errorID>821b3a52-c2a9-48c6-a567-f68495e50051</errorID>
      <errorWord>，</errorWord>
      <group>L1_Format</group>
      <groupName>格式问题</groupName>
      <ability>L2_HalfPunc</ability>
      <abilityName>全半角检查</abilityName>
      <candidateList>
        <item>, </item>
      </candidateList>
      <explain>文本全半角错误。</explain>
      <paraID>14291242</paraID>
      <start>2</start>
      <end>3</end>
      <status>unmodified</status>
      <modifiedWord/>
      <trackRevisions>false</trackRevisions>
    </reviewItem>
    <reviewItem>
      <errorID>7cbc75e8-483d-4365-b93b-42339f37e5e9</errorID>
      <errorWord>，</errorWord>
      <group>L1_Format</group>
      <groupName>格式问题</groupName>
      <ability>L2_HalfPunc</ability>
      <abilityName>全半角检查</abilityName>
      <candidateList>
        <item>, </item>
      </candidateList>
      <explain>文本全半角错误。</explain>
      <paraID>14291242</paraID>
      <start>5</start>
      <end>6</end>
      <status>unmodified</status>
      <modifiedWord/>
      <trackRevisions>false</trackRevisions>
    </reviewItem>
    <reviewItem>
      <errorID>4bc94075-a379-416d-9671-ca75f293c570</errorID>
      <errorWord>，</errorWord>
      <group>L1_Format</group>
      <groupName>格式问题</groupName>
      <ability>L2_HalfPunc</ability>
      <abilityName>全半角检查</abilityName>
      <candidateList>
        <item>, </item>
      </candidateList>
      <explain>文本全半角错误。</explain>
      <paraID>14291242</paraID>
      <start>10</start>
      <end>11</end>
      <status>unmodified</status>
      <modifiedWord/>
      <trackRevisions>false</trackRevisions>
    </reviewItem>
    <reviewItem>
      <errorID>891701e6-4b3a-4c42-8c5e-92d582b90e74</errorID>
      <errorWord>，</errorWord>
      <group>L1_Format</group>
      <groupName>格式问题</groupName>
      <ability>L2_HalfPunc</ability>
      <abilityName>全半角检查</abilityName>
      <candidateList>
        <item>, </item>
      </candidateList>
      <explain>文本全半角错误。</explain>
      <paraID>77F44D46</paraID>
      <start>6</start>
      <end>7</end>
      <status>unmodified</status>
      <modifiedWord/>
      <trackRevisions>false</trackRevisions>
    </reviewItem>
    <reviewItem>
      <errorID>50bec2a4-ad18-4d45-bd90-5098cd86d6e3</errorID>
      <errorWord>，</errorWord>
      <group>L1_Format</group>
      <groupName>格式问题</groupName>
      <ability>L2_HalfPunc</ability>
      <abilityName>全半角检查</abilityName>
      <candidateList>
        <item>, </item>
      </candidateList>
      <explain>文本全半角错误。</explain>
      <paraID>1E8B2D33</paraID>
      <start>6</start>
      <end>7</end>
      <status>unmodified</status>
      <modifiedWord/>
      <trackRevisions>false</trackRevisions>
    </reviewItem>
    <reviewItem>
      <errorID>f115448d-7c2d-48b3-ae78-813bbcfd3b9f</errorID>
      <errorWord>，</errorWord>
      <group>L1_Format</group>
      <groupName>格式问题</groupName>
      <ability>L2_HalfPunc</ability>
      <abilityName>全半角检查</abilityName>
      <candidateList>
        <item>, </item>
      </candidateList>
      <explain>文本全半角错误。</explain>
      <paraID>48792733</paraID>
      <start>6</start>
      <end>7</end>
      <status>unmodified</status>
      <modifiedWord/>
      <trackRevisions>false</trackRevisions>
    </reviewItem>
    <reviewItem>
      <errorID>6904b8d7-de82-4cc6-a1a5-5340097d589c</errorID>
      <errorWord>，</errorWord>
      <group>L1_Format</group>
      <groupName>格式问题</groupName>
      <ability>L2_HalfPunc</ability>
      <abilityName>全半角检查</abilityName>
      <candidateList>
        <item>, </item>
      </candidateList>
      <explain>文本全半角错误。</explain>
      <paraID>31FF9CE6</paraID>
      <start>6</start>
      <end>7</end>
      <status>unmodified</status>
      <modifiedWord/>
      <trackRevisions>false</trackRevisions>
    </reviewItem>
    <reviewItem>
      <errorID>2bae4846-9b2c-4eb7-a7ff-b3e36627147c</errorID>
      <errorWord>，</errorWord>
      <group>L1_Format</group>
      <groupName>格式问题</groupName>
      <ability>L2_HalfPunc</ability>
      <abilityName>全半角检查</abilityName>
      <candidateList>
        <item>, </item>
      </candidateList>
      <explain>文本全半角错误。</explain>
      <paraID>7952B1CB</paraID>
      <start>5</start>
      <end>6</end>
      <status>unmodified</status>
      <modifiedWord/>
      <trackRevisions>false</trackRevisions>
    </reviewItem>
    <reviewItem>
      <errorID>fd6f5df1-4485-4103-a4ad-2fe7146065ad</errorID>
      <errorWord>，</errorWord>
      <group>L1_Format</group>
      <groupName>格式问题</groupName>
      <ability>L2_HalfPunc</ability>
      <abilityName>全半角检查</abilityName>
      <candidateList>
        <item>, </item>
      </candidateList>
      <explain>文本全半角错误。</explain>
      <paraID>6380B520</paraID>
      <start>5</start>
      <end>6</end>
      <status>unmodified</status>
      <modifiedWord/>
      <trackRevisions>false</trackRevisions>
    </reviewItem>
    <reviewItem>
      <errorID>251c009e-423e-4433-9e3d-1866dcc93705</errorID>
      <errorWord>，</errorWord>
      <group>L1_Format</group>
      <groupName>格式问题</groupName>
      <ability>L2_HalfPunc</ability>
      <abilityName>全半角检查</abilityName>
      <candidateList>
        <item>, </item>
      </candidateList>
      <explain>文本全半角错误。</explain>
      <paraID> 454CEA6</paraID>
      <start>5</start>
      <end>6</end>
      <status>unmodified</status>
      <modifiedWord/>
      <trackRevisions>false</trackRevisions>
    </reviewItem>
    <reviewItem>
      <errorID>5fcbbca0-5370-454d-8b01-9fa5f784f8c9</errorID>
      <errorWord>，</errorWord>
      <group>L1_Format</group>
      <groupName>格式问题</groupName>
      <ability>L2_HalfPunc</ability>
      <abilityName>全半角检查</abilityName>
      <candidateList>
        <item>, </item>
      </candidateList>
      <explain>文本全半角错误。</explain>
      <paraID> CE2C210</paraID>
      <start>5</start>
      <end>6</end>
      <status>unmodified</status>
      <modifiedWord/>
      <trackRevisions>false</trackRevisions>
    </reviewItem>
    <reviewItem>
      <errorID>87170765-99da-4e1e-bf36-f8a4ae7fe059</errorID>
      <errorWord>，</errorWord>
      <group>L1_Format</group>
      <groupName>格式问题</groupName>
      <ability>L2_HalfPunc</ability>
      <abilityName>全半角检查</abilityName>
      <candidateList>
        <item>, </item>
      </candidateList>
      <explain>文本全半角错误。</explain>
      <paraID>45744B03</paraID>
      <start>5</start>
      <end>6</end>
      <status>unmodified</status>
      <modifiedWord/>
      <trackRevisions>false</trackRevisions>
    </reviewItem>
    <reviewItem>
      <errorID>ea59f508-e9bd-4a65-9a5e-91436da3090a</errorID>
      <errorWord>，</errorWord>
      <group>L1_Format</group>
      <groupName>格式问题</groupName>
      <ability>L2_HalfPunc</ability>
      <abilityName>全半角检查</abilityName>
      <candidateList>
        <item>, </item>
      </candidateList>
      <explain>文本全半角错误。</explain>
      <paraID> 7460369</paraID>
      <start>5</start>
      <end>6</end>
      <status>unmodified</status>
      <modifiedWord/>
      <trackRevisions>false</trackRevisions>
    </reviewItem>
    <reviewItem>
      <errorID>a0963c06-56ea-4ec1-a48f-a6e3ba2032f4</errorID>
      <errorWord>，</errorWord>
      <group>L1_Format</group>
      <groupName>格式问题</groupName>
      <ability>L2_HalfPunc</ability>
      <abilityName>全半角检查</abilityName>
      <candidateList>
        <item>, </item>
      </candidateList>
      <explain>文本全半角错误。</explain>
      <paraID>2CD2498E</paraID>
      <start>5</start>
      <end>6</end>
      <status>unmodified</status>
      <modifiedWord/>
      <trackRevisions>false</trackRevisions>
    </reviewItem>
    <reviewItem>
      <errorID>8031e448-a881-4498-99ba-111110704432</errorID>
      <errorWord>，</errorWord>
      <group>L1_Format</group>
      <groupName>格式问题</groupName>
      <ability>L2_HalfPunc</ability>
      <abilityName>全半角检查</abilityName>
      <candidateList>
        <item>, </item>
      </candidateList>
      <explain>文本全半角错误。</explain>
      <paraID>2436E23D</paraID>
      <start>5</start>
      <end>6</end>
      <status>unmodified</status>
      <modifiedWord/>
      <trackRevisions>false</trackRevisions>
    </reviewItem>
    <reviewItem>
      <errorID>e7ab6100-0522-4fbb-b381-6f578c374f77</errorID>
      <errorWord>进人</errorWord>
      <group>L1_Word</group>
      <groupName>字词问题</groupName>
      <ability>L2_Typo</ability>
      <abilityName>字词错误</abilityName>
      <candidateList>
        <item>进入</item>
      </candidateList>
      <explain>〈动〉支进到某个范围或某个时期里：～学校｜～新阶段◇～角色。</explain>
      <paraID>5A4E288F</paraID>
      <start>2</start>
      <end>4</end>
      <status>unmodified</status>
      <modifiedWord/>
      <trackRevisions>false</trackRevisions>
    </reviewItem>
    <reviewItem>
      <errorID>a420baf3-0816-4c52-81fe-7e1e04bbd2b4</errorID>
      <errorWord>(</errorWord>
      <group>L1_Format</group>
      <groupName>格式问题</groupName>
      <ability>L2_HalfPunc</ability>
      <abilityName>全半角检查</abilityName>
      <candidateList>
        <item>（</item>
      </candidateList>
      <explain>文本全半角错误。</explain>
      <paraID>5A4E288F</paraID>
      <start>5</start>
      <end>6</end>
      <status>unmodified</status>
      <modifiedWord/>
      <trackRevisions>false</trackRevisions>
    </reviewItem>
    <reviewItem>
      <errorID>45b58406-b777-45f0-a9d1-808d8473af2e</errorID>
      <errorWord>)</errorWord>
      <group>L1_Format</group>
      <groupName>格式问题</groupName>
      <ability>L2_HalfPunc</ability>
      <abilityName>全半角检查</abilityName>
      <candidateList>
        <item>）</item>
      </candidateList>
      <explain>文本全半角错误。</explain>
      <paraID>5A4E288F</paraID>
      <start>9</start>
      <end>10</end>
      <status>unmodified</status>
      <modifiedWord/>
      <trackRevisions>false</trackRevisions>
    </reviewItem>
    <reviewItem>
      <errorID>efdf0706-14d4-4ee8-b43e-66d9c647cc92</errorID>
      <errorWord>，</errorWord>
      <group>L1_Format</group>
      <groupName>格式问题</groupName>
      <ability>L2_HalfPunc</ability>
      <abilityName>全半角检查</abilityName>
      <candidateList>
        <item>, </item>
      </candidateList>
      <explain>文本全半角错误。</explain>
      <paraID>59A20011</paraID>
      <start>6</start>
      <end>7</end>
      <status>unmodified</status>
      <modifiedWord/>
      <trackRevisions>false</trackRevisions>
    </reviewItem>
    <reviewItem>
      <errorID>728948ee-f38a-4a4d-a540-3f3b392a0267</errorID>
      <errorWord>进人</errorWord>
      <group>L1_Word</group>
      <groupName>字词问题</groupName>
      <ability>L2_Typo</ability>
      <abilityName>字词错误</abilityName>
      <candidateList>
        <item>进入</item>
      </candidateList>
      <explain>〈动〉支进到某个范围或某个时期里：～学校｜～新阶段◇～角色。</explain>
      <paraID>24E1E262</paraID>
      <start>2</start>
      <end>4</end>
      <status>unmodified</status>
      <modifiedWord/>
      <trackRevisions>false</trackRevisions>
    </reviewItem>
    <reviewItem>
      <errorID>668df8d9-a553-4b66-a450-31d4f6f0d378</errorID>
      <errorWord>(</errorWord>
      <group>L1_Format</group>
      <groupName>格式问题</groupName>
      <ability>L2_HalfPunc</ability>
      <abilityName>全半角检查</abilityName>
      <candidateList>
        <item>（</item>
      </candidateList>
      <explain>文本全半角错误。</explain>
      <paraID>24E1E262</paraID>
      <start>5</start>
      <end>6</end>
      <status>unmodified</status>
      <modifiedWord/>
      <trackRevisions>false</trackRevisions>
    </reviewItem>
    <reviewItem>
      <errorID>c87e1be7-1907-45ba-9966-7fe61df35137</errorID>
      <errorWord>)</errorWord>
      <group>L1_Format</group>
      <groupName>格式问题</groupName>
      <ability>L2_HalfPunc</ability>
      <abilityName>全半角检查</abilityName>
      <candidateList>
        <item>）</item>
      </candidateList>
      <explain>文本全半角错误。</explain>
      <paraID>24E1E262</paraID>
      <start>9</start>
      <end>10</end>
      <status>unmodified</status>
      <modifiedWord/>
      <trackRevisions>false</trackRevisions>
    </reviewItem>
    <reviewItem>
      <errorID>383c878c-746c-4661-b7e4-c9028cbf3a09</errorID>
      <errorWord>，</errorWord>
      <group>L1_Format</group>
      <groupName>格式问题</groupName>
      <ability>L2_HalfPunc</ability>
      <abilityName>全半角检查</abilityName>
      <candidateList>
        <item>, </item>
      </candidateList>
      <explain>文本全半角错误。</explain>
      <paraID> E72ED51</paraID>
      <start>6</start>
      <end>7</end>
      <status>unmodified</status>
      <modifiedWord/>
      <trackRevisions>false</trackRevisions>
    </reviewItem>
    <reviewItem>
      <errorID>3fe79db8-788e-42ef-a91c-905f816af630</errorID>
      <errorWord>，</errorWord>
      <group>L1_Format</group>
      <groupName>格式问题</groupName>
      <ability>L2_HalfPunc</ability>
      <abilityName>全半角检查</abilityName>
      <candidateList>
        <item>, </item>
      </candidateList>
      <explain>文本全半角错误。</explain>
      <paraID>6105E81C</paraID>
      <start>6</start>
      <end>7</end>
      <status>unmodified</status>
      <modifiedWord/>
      <trackRevisions>false</trackRevisions>
    </reviewItem>
    <reviewItem>
      <errorID>d70b0912-dd94-4d7b-9a24-eaa55769b40f</errorID>
      <errorWord>，</errorWord>
      <group>L1_Format</group>
      <groupName>格式问题</groupName>
      <ability>L2_HalfPunc</ability>
      <abilityName>全半角检查</abilityName>
      <candidateList>
        <item>, </item>
      </candidateList>
      <explain>文本全半角错误。</explain>
      <paraID>3C3D6434</paraID>
      <start>6</start>
      <end>7</end>
      <status>unmodified</status>
      <modifiedWord/>
      <trackRevisions>false</trackRevisions>
    </reviewItem>
    <reviewItem>
      <errorID>3f2874ce-abaf-425b-8acb-c6d06eb101ce</errorID>
      <errorWord>，</errorWord>
      <group>L1_Format</group>
      <groupName>格式问题</groupName>
      <ability>L2_HalfPunc</ability>
      <abilityName>全半角检查</abilityName>
      <candidateList>
        <item>, </item>
      </candidateList>
      <explain>文本全半角错误。</explain>
      <paraID>1D04E627</paraID>
      <start>5</start>
      <end>6</end>
      <status>unmodified</status>
      <modifiedWord/>
      <trackRevisions>false</trackRevisions>
    </reviewItem>
    <reviewItem>
      <errorID>f821770c-e2c8-4436-8785-73ed48ee09a1</errorID>
      <errorWord>，</errorWord>
      <group>L1_Format</group>
      <groupName>格式问题</groupName>
      <ability>L2_HalfPunc</ability>
      <abilityName>全半角检查</abilityName>
      <candidateList>
        <item>, </item>
      </candidateList>
      <explain>文本全半角错误。</explain>
      <paraID>7F7B96DE</paraID>
      <start>5</start>
      <end>6</end>
      <status>unmodified</status>
      <modifiedWord/>
      <trackRevisions>false</trackRevisions>
    </reviewItem>
    <reviewItem>
      <errorID>ddfa67a2-6245-4a1b-9e93-902e21dd4b31</errorID>
      <errorWord>，</errorWord>
      <group>L1_Format</group>
      <groupName>格式问题</groupName>
      <ability>L2_HalfPunc</ability>
      <abilityName>全半角检查</abilityName>
      <candidateList>
        <item>, </item>
      </candidateList>
      <explain>文本全半角错误。</explain>
      <paraID>40CE5094</paraID>
      <start>5</start>
      <end>6</end>
      <status>unmodified</status>
      <modifiedWord/>
      <trackRevisions>false</trackRevisions>
    </reviewItem>
    <reviewItem>
      <errorID>43d0ba16-8469-474f-b373-4f4a20ba8cad</errorID>
      <errorWord>(</errorWord>
      <group>L1_Format</group>
      <groupName>格式问题</groupName>
      <ability>L2_HalfPunc</ability>
      <abilityName>全半角检查</abilityName>
      <candidateList>
        <item>（</item>
      </candidateList>
      <explain>文本全半角错误。</explain>
      <paraID>2BCCF702</paraID>
      <start>4</start>
      <end>5</end>
      <status>unmodified</status>
      <modifiedWord/>
      <trackRevisions>false</trackRevisions>
    </reviewItem>
    <reviewItem>
      <errorID>c165d881-5244-4622-9754-f9f8f6fe8859</errorID>
      <errorWord>)</errorWord>
      <group>L1_Format</group>
      <groupName>格式问题</groupName>
      <ability>L2_HalfPunc</ability>
      <abilityName>全半角检查</abilityName>
      <candidateList>
        <item>）</item>
      </candidateList>
      <explain>文本全半角错误。</explain>
      <paraID>2BCCF702</paraID>
      <start>12</start>
      <end>13</end>
      <status>unmodified</status>
      <modifiedWord/>
      <trackRevisions>false</trackRevisions>
    </reviewItem>
    <reviewItem>
      <errorID>525a6083-e548-40fb-8d1d-3d4eba0a63bf</errorID>
      <errorWord>(</errorWord>
      <group>L1_Format</group>
      <groupName>格式问题</groupName>
      <ability>L2_HalfPunc</ability>
      <abilityName>全半角检查</abilityName>
      <candidateList>
        <item>（</item>
      </candidateList>
      <explain>文本全半角错误。</explain>
      <paraID>24A25730</paraID>
      <start>4</start>
      <end>5</end>
      <status>unmodified</status>
      <modifiedWord/>
      <trackRevisions>false</trackRevisions>
    </reviewItem>
    <reviewItem>
      <errorID>27e53fd1-f9a9-48d7-99c7-e466b6e9786f</errorID>
      <errorWord>)</errorWord>
      <group>L1_Format</group>
      <groupName>格式问题</groupName>
      <ability>L2_HalfPunc</ability>
      <abilityName>全半角检查</abilityName>
      <candidateList>
        <item>）</item>
      </candidateList>
      <explain>文本全半角错误。</explain>
      <paraID>24A25730</paraID>
      <start>12</start>
      <end>13</end>
      <status>unmodified</status>
      <modifiedWord/>
      <trackRevisions>false</trackRevisions>
    </reviewItem>
    <reviewItem>
      <errorID>ff1eae83-f707-4262-a8eb-c9c8950f8ab0</errorID>
      <errorWord>做</errorWord>
      <group>L1_Word</group>
      <groupName>字词问题</groupName>
      <ability>L2_Typo</ability>
      <abilityName>字词错误</abilityName>
      <candidateList>
        <item>作</item>
      </candidateList>
      <explain>存在发音相同字词的误用。</explain>
      <paraID>2157758D</paraID>
      <start>16</start>
      <end>17</end>
      <status>unmodified</status>
      <modifiedWord/>
      <trackRevisions>false</trackRevisions>
    </reviewItem>
    <reviewItem>
      <errorID>d1a31472-dbdc-456f-9a0c-a9101aa0860d</errorID>
      <errorWord>,</errorWord>
      <group>L1_Format</group>
      <groupName>格式问题</groupName>
      <ability>L2_HalfPunc</ability>
      <abilityName>全半角检查</abilityName>
      <candidateList>
        <item>，</item>
      </candidateList>
      <explain>文本全半角错误。</explain>
      <paraID>12D482F6</paraID>
      <start>63</start>
      <end>64</end>
      <status>unmodified</status>
      <modifiedWord/>
      <trackRevisions>false</trackRevisions>
    </reviewItem>
    <reviewItem>
      <errorID>6d3c5ec2-04f7-491c-be5f-df98e08eec46</errorID>
      <errorWord>,</errorWord>
      <group>L1_Format</group>
      <groupName>格式问题</groupName>
      <ability>L2_HalfPunc</ability>
      <abilityName>全半角检查</abilityName>
      <candidateList>
        <item>，</item>
      </candidateList>
      <explain>文本全半角错误。</explain>
      <paraID>2CF8F04B</paraID>
      <start>90</start>
      <end>91</end>
      <status>unmodified</status>
      <modifiedWord/>
      <trackRevisions>false</trackRevisions>
    </reviewItem>
    <reviewItem>
      <errorID>9b2e6c84-e45b-46e5-a9ae-aa15b9aa1a85</errorID>
      <errorWord>己</errorWord>
      <group>L1_Word</group>
      <groupName>字词问题</groupName>
      <ability>L2_Typo</ability>
      <abilityName>字词错误</abilityName>
      <candidateList>
        <item>已</item>
      </candidateList>
      <explain>❶停止：争论不～｜有加无～。❷〈副〉已经（跟“未”相对）：时间～过｜此事～设法解决。❸〈书〉副后来；过了一会儿：～而｜～忽不见。❹〈书〉副太；过：不为～甚。❺（Yǐ）〈名〉姓。</explain>
      <paraID>76074699</paraID>
      <start>1</start>
      <end>2</end>
      <status>unmodified</status>
      <modifiedWord/>
      <trackRevisions>false</trackRevisions>
    </reviewItem>
    <reviewItem>
      <errorID>4ec97ba9-e6a7-4e09-89eb-4f4fce14a02b</errorID>
      <errorWord>需</errorWord>
      <group>L1_Word</group>
      <groupName>字词问题</groupName>
      <ability>L2_Typo</ability>
      <abilityName>字词错误</abilityName>
      <candidateList>
        <item>须</item>
      </candidateList>
      <explain>存在发音相同字词的误用。</explain>
      <paraID>37428C42</paraID>
      <start>13</start>
      <end>14</end>
      <status>unmodified</status>
      <modifiedWord/>
      <trackRevisions>false</trackRevisions>
    </reviewItem>
    <reviewItem>
      <errorID>b6c50d3a-4557-46f1-9312-293e68427cd4</errorID>
      <errorWord>(</errorWord>
      <group>L1_Format</group>
      <groupName>格式问题</groupName>
      <ability>L2_HalfPunc</ability>
      <abilityName>全半角检查</abilityName>
      <candidateList>
        <item>（</item>
      </candidateList>
      <explain>文本全半角错误。</explain>
      <paraID>3BCE3855</paraID>
      <start>16</start>
      <end>17</end>
      <status>unmodified</status>
      <modifiedWord/>
      <trackRevisions>false</trackRevisions>
    </reviewItem>
    <reviewItem>
      <errorID>1be41cb8-0b74-4c74-9799-8bf6215f7232</errorID>
      <errorWord>)</errorWord>
      <group>L1_Format</group>
      <groupName>格式问题</groupName>
      <ability>L2_HalfPunc</ability>
      <abilityName>全半角检查</abilityName>
      <candidateList>
        <item>）</item>
      </candidateList>
      <explain>文本全半角错误。</explain>
      <paraID>3BCE3855</paraID>
      <start>21</start>
      <end>22</end>
      <status>unmodified</status>
      <modifiedWord/>
      <trackRevisions>false</trackRevisions>
    </reviewItem>
    <reviewItem>
      <errorID>67b3ddd4-4729-416d-b036-3b9cf4b2adb8</errorID>
      <errorWord>具备的</errorWord>
      <group>L1_Word</group>
      <groupName>字词问题</groupName>
      <ability>L2_Typo</ability>
      <abilityName>字词错误</abilityName>
      <candidateList>
        <item>具备</item>
      </candidateList>
      <explain/>
      <paraID>72A4FFC8</paraID>
      <start>6</start>
      <end>9</end>
      <status>unmodified</status>
      <modifiedWord/>
      <trackRevisions>false</trackRevisions>
    </reviewItem>
    <reviewItem>
      <errorID>644e4a55-3c7b-4e93-8051-b181a9a41560</errorID>
      <errorWord>噪音</errorWord>
      <group>L1_Word</group>
      <groupName>字词问题</groupName>
      <ability>L2_Alias</ability>
      <abilityName>也作/曾用词</abilityName>
      <candidateList>
        <item>噪声</item>
      </candidateList>
      <explain>词汇[噪音]为不规范表述或旧称，其规范书面表述为[噪声]。</explain>
      <paraID>2D57A548</paraID>
      <start>27</start>
      <end>29</end>
      <status>unmodified</status>
      <modifiedWord/>
      <trackRevisions>false</trackRevisions>
    </reviewItem>
    <reviewItem>
      <errorID>a2fb4335-0efb-407c-b634-c6b83d45d0cc</errorID>
      <errorWord>噪音</errorWord>
      <group>L1_Word</group>
      <groupName>字词问题</groupName>
      <ability>L2_Alias</ability>
      <abilityName>也作/曾用词</abilityName>
      <candidateList>
        <item>噪声</item>
      </candidateList>
      <explain>词汇[噪音]为不规范表述或旧称，其规范书面表述为[噪声]。</explain>
      <paraID>7810899F</paraID>
      <start>30</start>
      <end>32</end>
      <status>unmodified</status>
      <modifiedWord/>
      <trackRevisions>false</trackRevisions>
    </reviewItem>
    <reviewItem>
      <errorID>cffd546a-1689-4bb2-a1ee-6811226b172f</errorID>
      <errorWord>噪音</errorWord>
      <group>L1_Word</group>
      <groupName>字词问题</groupName>
      <ability>L2_Alias</ability>
      <abilityName>也作/曾用词</abilityName>
      <candidateList>
        <item>噪声</item>
      </candidateList>
      <explain>词汇[噪音]为不规范表述或旧称，其规范书面表述为[噪声]。</explain>
      <paraID> 86E470A</paraID>
      <start>30</start>
      <end>32</end>
      <status>unmodified</status>
      <modifiedWord/>
      <trackRevisions>false</trackRevisions>
    </reviewItem>
    <reviewItem>
      <errorID>daeb286e-109b-48b1-8059-a10b908c6d6d</errorID>
      <errorWord>噪音</errorWord>
      <group>L1_Word</group>
      <groupName>字词问题</groupName>
      <ability>L2_Alias</ability>
      <abilityName>也作/曾用词</abilityName>
      <candidateList>
        <item>噪声</item>
      </candidateList>
      <explain>词汇[噪音]为不规范表述或旧称，其规范书面表述为[噪声]。</explain>
      <paraID>176DB085</paraID>
      <start>29</start>
      <end>31</end>
      <status>unmodified</status>
      <modifiedWord/>
      <trackRevisions>false</trackRevisions>
    </reviewItem>
    <reviewItem>
      <errorID>c5290ec4-8c4c-48b2-87a4-65b7f107aa60</errorID>
      <errorWord>其它</errorWord>
      <group>L1_Word</group>
      <groupName>字词问题</groupName>
      <ability>L2_Alias</ability>
      <abilityName>也作/曾用词</abilityName>
      <candidateList>
        <item>其他</item>
      </candidateList>
      <explain>词汇[其它]为不规范表述或旧称，其规范书面表述为[其他]。</explain>
      <paraID> 9E8FD0C</paraID>
      <start>2</start>
      <end>4</end>
      <status>unmodified</status>
      <modifiedWord/>
      <trackRevisions>false</trackRevisions>
    </reviewItem>
    <reviewItem>
      <errorID>68e727a8-d4af-4717-84b4-f3681dd24bb1</errorID>
      <errorWord>年</errorWord>
      <group>L1_Word</group>
      <groupName>字词问题</groupName>
      <ability>L2_Typo</ability>
      <abilityName>字词错误</abilityName>
      <candidateList>
        <item>年来</item>
      </candidateList>
      <explain/>
      <paraID>7B1BF319</paraID>
      <start>5</start>
      <end>6</end>
      <status>unmodified</status>
      <modifiedWord/>
      <trackRevisions>false</trackRevisions>
    </reviewItem>
    <reviewItem>
      <errorID>3c1e6cdf-01c9-44ae-a5e2-e5e2bf059d7c</errorID>
      <errorWord>(</errorWord>
      <group>L1_Format</group>
      <groupName>格式问题</groupName>
      <ability>L2_HalfPunc</ability>
      <abilityName>全半角检查</abilityName>
      <candidateList>
        <item>（</item>
      </candidateList>
      <explain>文本全半角错误。</explain>
      <paraID>74CDCE63</paraID>
      <start>6</start>
      <end>7</end>
      <status>unmodified</status>
      <modifiedWord/>
      <trackRevisions>false</trackRevisions>
    </reviewItem>
    <reviewItem>
      <errorID>01d383b4-526c-4978-8f03-b7072d89f60e</errorID>
      <errorWord>)</errorWord>
      <group>L1_Format</group>
      <groupName>格式问题</groupName>
      <ability>L2_HalfPunc</ability>
      <abilityName>全半角检查</abilityName>
      <candidateList>
        <item>）</item>
      </candidateList>
      <explain>文本全半角错误。</explain>
      <paraID>74CDCE63</paraID>
      <start>9</start>
      <end>10</end>
      <status>unmodified</status>
      <modifiedWord/>
      <trackRevisions>false</trackRevisions>
    </reviewItem>
    <reviewItem>
      <errorID>f20ce6ef-f970-4900-8e33-04bf923d8949</errorID>
      <errorWord>标</errorWord>
      <group>L1_Word</group>
      <groupName>字词问题</groupName>
      <ability>L2_Typo</ability>
      <abilityName>字词错误</abilityName>
      <candidateList>
        <item>表</item>
      </candidateList>
      <explain/>
      <paraID>19D967D3</paraID>
      <start>29</start>
      <end>30</end>
      <status>unmodified</status>
      <modifiedWord/>
      <trackRevisions>false</trackRevisions>
    </reviewItem>
    <reviewItem>
      <errorID>aac7923a-e91c-4748-adb6-8b8c96f03043</errorID>
      <errorWord>(</errorWord>
      <group>L1_Format</group>
      <groupName>格式问题</groupName>
      <ability>L2_HalfPunc</ability>
      <abilityName>全半角检查</abilityName>
      <candidateList>
        <item>（</item>
      </candidateList>
      <explain>文本全半角错误。</explain>
      <paraID>3DC519ED</paraID>
      <start>18</start>
      <end>19</end>
      <status>unmodified</status>
      <modifiedWord/>
      <trackRevisions>false</trackRevisions>
    </reviewItem>
    <reviewItem>
      <errorID>aeca22f8-4fae-469d-905a-03ab77a95034</errorID>
      <errorWord>)</errorWord>
      <group>L1_Format</group>
      <groupName>格式问题</groupName>
      <ability>L2_HalfPunc</ability>
      <abilityName>全半角检查</abilityName>
      <candidateList>
        <item>）</item>
      </candidateList>
      <explain>文本全半角错误。</explain>
      <paraID>3DC519ED</paraID>
      <start>21</start>
      <end>22</end>
      <status>unmodified</status>
      <modifiedWord/>
      <trackRevisions>false</trackRevisions>
    </reviewItem>
    <reviewItem>
      <errorID>77110941-14f7-4a45-b9ec-39ab3da097ad</errorID>
      <errorWord>(</errorWord>
      <group>L1_Format</group>
      <groupName>格式问题</groupName>
      <ability>L2_HalfPunc</ability>
      <abilityName>全半角检查</abilityName>
      <candidateList>
        <item>（</item>
      </candidateList>
      <explain>文本全半角错误。</explain>
      <paraID>3DC519ED</paraID>
      <start>77</start>
      <end>78</end>
      <status>unmodified</status>
      <modifiedWord/>
      <trackRevisions>false</trackRevisions>
    </reviewItem>
    <reviewItem>
      <errorID>4c309ae7-132e-49e5-aaf1-be7ff24e4a1e</errorID>
      <errorWord>)</errorWord>
      <group>L1_Format</group>
      <groupName>格式问题</groupName>
      <ability>L2_HalfPunc</ability>
      <abilityName>全半角检查</abilityName>
      <candidateList>
        <item>）</item>
      </candidateList>
      <explain>文本全半角错误。</explain>
      <paraID>3DC519ED</paraID>
      <start>94</start>
      <end>95</end>
      <status>unmodified</status>
      <modifiedWord/>
      <trackRevisions>false</trackRevisions>
    </reviewItem>
    <reviewItem>
      <errorID>db153470-31b9-449f-9b9f-f03ecaf2a397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28A0C9E3</paraID>
      <start>0</start>
      <end>3</end>
      <status>unmodified</status>
      <modifiedWord/>
      <trackRevisions>false</trackRevisions>
    </reviewItem>
    <reviewItem>
      <errorID>350dcce9-b794-4d83-b876-7f09708de003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3DFA3F18</paraID>
      <start>0</start>
      <end>3</end>
      <status>unmodified</status>
      <modifiedWord/>
      <trackRevisions>false</trackRevisions>
    </reviewItem>
    <reviewItem>
      <errorID>3197c6e8-dac7-4579-8fab-b9b5afc6b219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55A62C4B</paraID>
      <start>0</start>
      <end>3</end>
      <status>unmodified</status>
      <modifiedWord/>
      <trackRevisions>false</trackRevisions>
    </reviewItem>
    <reviewItem>
      <errorID>84495912-51b3-4aa5-b1e0-1322954785aa</errorID>
      <errorWord>撤消的</errorWord>
      <group>L1_Word</group>
      <groupName>字词问题</groupName>
      <ability>L2_Alias</ability>
      <abilityName>也作/曾用词</abilityName>
      <candidateList>
        <item>撤销的</item>
      </candidateList>
      <explain>词汇[撤消的]为不规范表述或旧称，其规范书面表述为[撤销的]。</explain>
      <paraID>55A62C4B</paraID>
      <start>62</start>
      <end>65</end>
      <status>unmodified</status>
      <modifiedWord/>
      <trackRevisions>false</trackRevisions>
    </reviewItem>
    <reviewItem>
      <errorID>e58b1c73-61ee-4561-b267-0e352d26d2d4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76D16E9C</paraID>
      <start>0</start>
      <end>2</end>
      <status>unmodified</status>
      <modifiedWord/>
      <trackRevisions>false</trackRevisions>
    </reviewItem>
    <reviewItem>
      <errorID>128fcd6e-d8a2-4b7f-99cc-0e99d280ebfd</errorID>
      <errorWord>(</errorWord>
      <group>L1_Punc</group>
      <groupName>标点问题</groupName>
      <ability>L2_Punc</ability>
      <abilityName>标点符号检查</abilityName>
      <candidateList>
        <item/>
      </candidateList>
      <explain>同一形式括号套用。</explain>
      <paraID>76D16E9C</paraID>
      <start>22</start>
      <end>23</end>
      <status>unmodified</status>
      <modifiedWord/>
      <trackRevisions>false</trackRevisions>
    </reviewItem>
    <reviewItem>
      <errorID>68b1f5ab-bd92-44f3-9bfe-ab1bd46040e4</errorID>
      <errorWord>（</errorWord>
      <group>L1_Punc</group>
      <groupName>标点问题</groupName>
      <ability>L2_Punc</ability>
      <abilityName>标点符号检查</abilityName>
      <candidateList/>
      <explain>同一形式括号套用。</explain>
      <paraID>76D16E9C</paraID>
      <start>41</start>
      <end>42</end>
      <status>unmodified</status>
      <modifiedWord/>
      <trackRevisions>false</trackRevisions>
    </reviewItem>
    <reviewItem>
      <errorID>156544cf-eaa9-4bfe-adaa-0b7c8b36ec5a</errorID>
      <errorWord>）</errorWord>
      <group>L1_Punc</group>
      <groupName>标点问题</groupName>
      <ability>L2_Punc</ability>
      <abilityName>标点符号检查</abilityName>
      <candidateList/>
      <explain>同一形式括号套用。</explain>
      <paraID>76D16E9C</paraID>
      <start>46</start>
      <end>47</end>
      <status>unmodified</status>
      <modifiedWord/>
      <trackRevisions>false</trackRevisions>
    </reviewItem>
    <reviewItem>
      <errorID>3ca42010-e3bf-448e-92d3-5c6e10624e78</errorID>
      <errorWord>的的</errorWord>
      <group>L1_Word</group>
      <groupName>字词问题</groupName>
      <ability>L2_Typo</ability>
      <abilityName>字词错误</abilityName>
      <candidateList>
        <item>的</item>
      </candidateList>
      <explain>“的”常用于连接修饰语与名词性中心语，表示属性、所属或描述。</explain>
      <paraID>76D16E9C</paraID>
      <start>54</start>
      <end>56</end>
      <status>unmodified</status>
      <modifiedWord/>
      <trackRevisions>false</trackRevisions>
    </reviewItem>
    <reviewItem>
      <errorID>b158f086-aa27-40dd-bd4b-2f90a8c23965</errorID>
      <errorWord>)</errorWord>
      <group>L1_Punc</group>
      <groupName>标点问题</groupName>
      <ability>L2_Punc</ability>
      <abilityName>标点符号检查</abilityName>
      <candidateList/>
      <explain>同一形式括号套用。</explain>
      <paraID>76D16E9C</paraID>
      <start>60</start>
      <end>61</end>
      <status>unmodified</status>
      <modifiedWord/>
      <trackRevisions>false</trackRevisions>
    </reviewItem>
    <reviewItem>
      <errorID>09753fa1-d96d-4865-922b-0ed6491a78f6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152F20B3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10cd4df-3d36-458e-a084-9a4f32d54b0d}">
  <ds:schemaRefs/>
</ds:datastoreItem>
</file>

<file path=docProps/app.xml><?xml version="1.0" encoding="utf-8"?>
<Properties xmlns="http://schemas.openxmlformats.org/officeDocument/2006/extended-properties" xmlns:vt="http://schemas.openxmlformats.org/officeDocument/2006/docPropsVTypes">
  <Template>Normal</Template>
  <Pages>223</Pages>
  <Words>8856</Words>
  <Characters>9920</Characters>
  <Lines>349</Lines>
  <Paragraphs>98</Paragraphs>
  <TotalTime>5</TotalTime>
  <ScaleCrop>false</ScaleCrop>
  <LinksUpToDate>false</LinksUpToDate>
  <CharactersWithSpaces>10366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2024-10-21T06:57:00Z</dcterms:created>
  <dc:creator>微软系统</dc:creator>
  <cp:lastModifiedBy>金晓亮</cp:lastModifiedBy>
  <cp:lastPrinted>2026-03-01T00:32:00Z</cp:lastPrinted>
  <dcterms:modified xsi:type="dcterms:W3CDTF">2026-03-12T03:15:25Z</dcterms:modified>
  <dc:title>（项目名称）         标段服务招标</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2052-12.1.0.25225</vt:lpwstr>
  </property>
  <property fmtid="{D5CDD505-2E9C-101B-9397-08002B2CF9AE}" pid="5" name="ICV">
    <vt:lpwstr>7985E8AEBA0347FA982D6DDEF54FF5F9_13</vt:lpwstr>
  </property>
  <property fmtid="{D5CDD505-2E9C-101B-9397-08002B2CF9AE}" pid="6" name="KSOTemplateDocerSaveRecord">
    <vt:lpwstr>eyJoZGlkIjoiMmY1MmY1MWE2MjE3ZDZkNmQ0ZDMwMjBmNTRjNGRkNTkiLCJ1c2VySWQiOiIyMzAzNzI0MjMifQ==</vt:lpwstr>
  </property>
</Properties>
</file>